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647D" w14:textId="77777777" w:rsidR="00F016BA" w:rsidRPr="00F016BA" w:rsidRDefault="00F016BA" w:rsidP="00F016B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14:ligatures w14:val="none"/>
        </w:rPr>
      </w:pPr>
      <w:r w:rsidRPr="00F016BA">
        <w:rPr>
          <w:rFonts w:ascii="Arial" w:eastAsia="Times New Roman" w:hAnsi="Arial" w:cs="Arial"/>
          <w:color w:val="000000"/>
          <w:kern w:val="36"/>
          <w14:ligatures w14:val="none"/>
        </w:rPr>
        <w:t>Resumen Ejecutivo</w:t>
      </w:r>
    </w:p>
    <w:p w14:paraId="3B96F876" w14:textId="77777777" w:rsidR="00F016BA" w:rsidRPr="00F016BA" w:rsidRDefault="00F016BA" w:rsidP="00F016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Este proyecto desarrolla un modelo de predicción de precios de apartamentos en Bogotá para la empresa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HabitAlpes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, con el propósito de automatizar y optimizar el proceso de valoración inmobiliaria. A partir de un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dataset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real con características estructurales, geográficas y administrativas de miles de inmuebles, se construyó una solución de analítica avanzada capaz de estimar el precio de venta con alta precisión, interpretabilidad y valor económico para la operación.</w:t>
      </w:r>
    </w:p>
    <w:p w14:paraId="29C693AC" w14:textId="45253FDF" w:rsidR="00F016BA" w:rsidRPr="00F016BA" w:rsidRDefault="00F016BA" w:rsidP="00F016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El proceso inició con una depuración detallada de los datos, tratamiento de valores faltantes, categorización de variables poco frecuentes y estandarización de columnas numéricas. Se enriqueció la información incorporando nuevas variables geográficas mediante la fórmula de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Haversine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, así como una característica derivada del precio promedio por metro cuadrado de los 50 vecinos más cercanos, calculada con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BallTree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. Aunque estas transformaciones añadieron estructura espacial al modelo, su contribución al desempeño fue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un 1% comparado con los resultados obtenidos por </w:t>
      </w:r>
      <w:proofErr w:type="spellStart"/>
      <w:r>
        <w:rPr>
          <w:rFonts w:ascii="Arial" w:eastAsia="Times New Roman" w:hAnsi="Arial" w:cs="Arial"/>
          <w:color w:val="000000"/>
          <w:kern w:val="0"/>
          <w14:ligatures w14:val="none"/>
        </w:rPr>
        <w:t>XGboost</w:t>
      </w:r>
      <w:proofErr w:type="spellEnd"/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que no fue entrenado con estas transformaciones de incorporación </w:t>
      </w: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lo cual evidencia que las coordenadas latitud/longitud ya capturan la mayor parte de la variabilidad espacial relevante.</w:t>
      </w:r>
    </w:p>
    <w:p w14:paraId="421BE7EE" w14:textId="77777777" w:rsidR="00F016BA" w:rsidRPr="00F016BA" w:rsidRDefault="00F016BA" w:rsidP="00F016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Se implementaron y compararon dos modelos principales: 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CatBoost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Regressor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 y 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XGBoost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Regressor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. Ambos alcanzaron métricas destacadas, con R² cercanos al 90%, MAE alrededor de 64 millones de pesos y un error relativo (MAPE) cercano al 10%. Sin embargo, 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XGBoost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obtuvo el mejor desempeño, mostrando un equilibrio superior entre error, estabilidad y generalización entre los conjuntos de validación y prueba, lo cual lo posiciona como el modelo final recomendado.</w:t>
      </w:r>
    </w:p>
    <w:p w14:paraId="439D6303" w14:textId="4EC79342" w:rsidR="00F016BA" w:rsidRPr="00F016BA" w:rsidRDefault="00F016BA" w:rsidP="00F016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Se aplicaron técnicas de interpretabilidad global y local a través de SHAP y LIME</w:t>
      </w: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sobre el mejor modelo</w:t>
      </w: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. Los resultados identificaron como variables más influyentes el área construida, administración, ubicación espacial (latitud y longitud), número de parqueadero</w:t>
      </w: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.</w:t>
      </w: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533FC823" w14:textId="716CD978" w:rsidR="00F016BA" w:rsidRPr="00F016BA" w:rsidRDefault="00F016BA" w:rsidP="00F016BA">
      <w:pPr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</w:rPr>
      </w:pPr>
      <w:r w:rsidRPr="00F016BA">
        <w:rPr>
          <w:rFonts w:ascii="Arial" w:hAnsi="Arial" w:cs="Arial"/>
          <w:color w:val="000000"/>
        </w:rPr>
        <w:t xml:space="preserve">La automatización de los avalúos mediante el modelo de regresión genera un impacto financiero altamente favorable para </w:t>
      </w:r>
      <w:proofErr w:type="spellStart"/>
      <w:r w:rsidRPr="00F016BA">
        <w:rPr>
          <w:rFonts w:ascii="Arial" w:hAnsi="Arial" w:cs="Arial"/>
          <w:color w:val="000000"/>
        </w:rPr>
        <w:t>HabitAlpes</w:t>
      </w:r>
      <w:proofErr w:type="spellEnd"/>
      <w:r w:rsidRPr="00F016BA">
        <w:rPr>
          <w:rFonts w:ascii="Arial" w:hAnsi="Arial" w:cs="Arial"/>
          <w:color w:val="000000"/>
        </w:rPr>
        <w:t>. El tiempo requerido por un perito se reduce de 6 a 1 hora, lo que implica un ahorro directo de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Style w:val="Textoennegrita"/>
          <w:rFonts w:ascii="Arial" w:hAnsi="Arial" w:cs="Arial"/>
          <w:color w:val="000000"/>
        </w:rPr>
        <w:t>$47.500 COP por valoración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Fonts w:ascii="Arial" w:hAnsi="Arial" w:cs="Arial"/>
          <w:color w:val="000000"/>
        </w:rPr>
        <w:t>y más de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Style w:val="Textoennegrita"/>
          <w:rFonts w:ascii="Arial" w:hAnsi="Arial" w:cs="Arial"/>
          <w:color w:val="000000"/>
        </w:rPr>
        <w:t>$2,7 millones mensuales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Fonts w:ascii="Arial" w:hAnsi="Arial" w:cs="Arial"/>
          <w:color w:val="000000"/>
        </w:rPr>
        <w:t>en eficiencia para un volumen de 500 avalúos. Incluso considerando el costo asociado a errores donde un 31% de los casos requiere verificación presencial por un valor de $57.000 CO</w:t>
      </w:r>
      <w:r w:rsidRPr="00F016BA">
        <w:rPr>
          <w:rFonts w:ascii="Arial" w:hAnsi="Arial" w:cs="Arial"/>
          <w:color w:val="000000"/>
        </w:rPr>
        <w:t>P</w:t>
      </w:r>
      <w:r w:rsidRPr="00F016BA">
        <w:rPr>
          <w:rFonts w:ascii="Arial" w:hAnsi="Arial" w:cs="Arial"/>
          <w:color w:val="000000"/>
        </w:rPr>
        <w:t xml:space="preserve"> y los gastos de infraestructura en la nube, el balance mensual sigue siendo positivo. Con un costo de desarrollo cercano a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Style w:val="Textoennegrita"/>
          <w:rFonts w:ascii="Arial" w:hAnsi="Arial" w:cs="Arial"/>
          <w:color w:val="000000"/>
        </w:rPr>
        <w:t>$25 millones COP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Fonts w:ascii="Arial" w:hAnsi="Arial" w:cs="Arial"/>
          <w:color w:val="000000"/>
        </w:rPr>
        <w:t>y una operación que continúa generando ahorros sostenidos, la inversión se recupera en aproximadamente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Style w:val="Textoennegrita"/>
          <w:rFonts w:ascii="Arial" w:hAnsi="Arial" w:cs="Arial"/>
          <w:color w:val="000000"/>
        </w:rPr>
        <w:t>7 meses</w:t>
      </w:r>
      <w:r w:rsidRPr="00F016BA">
        <w:rPr>
          <w:rFonts w:ascii="Arial" w:hAnsi="Arial" w:cs="Arial"/>
          <w:color w:val="000000"/>
        </w:rPr>
        <w:t>, logrando un ROI mensual del</w:t>
      </w:r>
      <w:r w:rsidRPr="00F016BA">
        <w:rPr>
          <w:rStyle w:val="apple-converted-space"/>
          <w:rFonts w:ascii="Arial" w:hAnsi="Arial" w:cs="Arial"/>
          <w:color w:val="000000"/>
        </w:rPr>
        <w:t> </w:t>
      </w:r>
      <w:r w:rsidRPr="00F016BA">
        <w:rPr>
          <w:rStyle w:val="Textoennegrita"/>
          <w:rFonts w:ascii="Arial" w:hAnsi="Arial" w:cs="Arial"/>
          <w:color w:val="000000"/>
        </w:rPr>
        <w:t>15,6%</w:t>
      </w:r>
      <w:r w:rsidRPr="00F016BA">
        <w:rPr>
          <w:rFonts w:ascii="Arial" w:hAnsi="Arial" w:cs="Arial"/>
          <w:color w:val="000000"/>
        </w:rPr>
        <w:t>, lo que confirma que el modelo no solo es financieramente rentable, sino estratégico para la operación desde sus primeras etapas de uso</w:t>
      </w:r>
    </w:p>
    <w:p w14:paraId="1B86BA6E" w14:textId="2F4A5F89" w:rsidR="00F81839" w:rsidRPr="00F016BA" w:rsidRDefault="00F016BA" w:rsidP="00F016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En conclusión, la solución desarrollada no solo demuestra viabilidad técnica, sino también relevancia operativa y rentabilidad financiera.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XGBoost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se consolida como el modelo más adecuado para la tarea, y la herramienta resultante ofrece </w:t>
      </w:r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a </w:t>
      </w:r>
      <w:proofErr w:type="spellStart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>HabitAlpes</w:t>
      </w:r>
      <w:proofErr w:type="spellEnd"/>
      <w:r w:rsidRPr="00F016BA">
        <w:rPr>
          <w:rFonts w:ascii="Arial" w:eastAsia="Times New Roman" w:hAnsi="Arial" w:cs="Arial"/>
          <w:color w:val="000000"/>
          <w:kern w:val="0"/>
          <w14:ligatures w14:val="none"/>
        </w:rPr>
        <w:t xml:space="preserve"> una base sólida para avanzar hacia una plataforma de avalúos automatizados, escalable, interpretable y alineada con las dinámicas reales del mercado inmobiliario.</w:t>
      </w:r>
    </w:p>
    <w:sectPr w:rsidR="00F81839" w:rsidRPr="00F01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BA"/>
    <w:rsid w:val="00944E3A"/>
    <w:rsid w:val="00A8263E"/>
    <w:rsid w:val="00E935BC"/>
    <w:rsid w:val="00F016BA"/>
    <w:rsid w:val="00F8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9B29"/>
  <w15:chartTrackingRefBased/>
  <w15:docId w15:val="{BBC3EB33-F0C4-6145-8F55-B882B66B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6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6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6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F016BA"/>
  </w:style>
  <w:style w:type="character" w:styleId="Textoennegrita">
    <w:name w:val="Strong"/>
    <w:basedOn w:val="Fuentedeprrafopredeter"/>
    <w:uiPriority w:val="22"/>
    <w:qFormat/>
    <w:rsid w:val="00F01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482</Words>
  <Characters>2802</Characters>
  <Application>Microsoft Office Word</Application>
  <DocSecurity>0</DocSecurity>
  <Lines>63</Lines>
  <Paragraphs>39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Maria Ojeda Amaya</dc:creator>
  <cp:keywords/>
  <dc:description/>
  <cp:lastModifiedBy>Lina Maria Ojeda Amaya</cp:lastModifiedBy>
  <cp:revision>1</cp:revision>
  <dcterms:created xsi:type="dcterms:W3CDTF">2025-11-23T23:40:00Z</dcterms:created>
  <dcterms:modified xsi:type="dcterms:W3CDTF">2025-11-23T23:47:00Z</dcterms:modified>
</cp:coreProperties>
</file>