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4C"/>
          <w:sz w:val="36"/>
          <w:szCs w:val="36"/>
        </w:rPr>
        <w:t xml:space="preserve">Royal Pal Professional Services</w:t>
      </w:r>
    </w:p>
    <w:p>
      <w:pPr>
        <w:spacing w:after="40"/>
      </w:pPr>
      <w:r>
        <w:rPr>
          <w:b/>
          <w:bCs/>
          <w:color w:val="1F4E4C"/>
          <w:sz w:val="30"/>
          <w:szCs w:val="30"/>
        </w:rPr>
        <w:t xml:space="preserve">New Business Registration Checklist</w:t>
      </w:r>
    </w:p>
    <w:p>
      <w:pPr>
        <w:pBdr>
          <w:bottom w:val="single" w:color="1F4E4C" w:sz="12" w:space="8"/>
        </w:pBdr>
        <w:spacing w:after="250"/>
      </w:pPr>
      <w:r>
        <w:rPr>
          <w:i/>
          <w:iCs/>
          <w:color w:val="666666"/>
          <w:sz w:val="20"/>
          <w:szCs w:val="20"/>
        </w:rPr>
        <w:t xml:space="preserve">Chartered Accounting &amp; Tax Consultancy — Lagos, Nigeria</w:t>
      </w:r>
    </w:p>
    <w:p>
      <w:pPr>
        <w:pStyle w:val="Heading1"/>
        <w:spacing w:after="150" w:before="300"/>
      </w:pPr>
      <w:r>
        <w:t xml:space="preserve">1. Choosing a Business Structure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Business Name (Sole Proprietorship / Partnership) — simplest structure, suited to small, single-owner operations.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Limited Liability Company (Ltd) — separate legal entity, suited to businesses seeking liability protection or outside investment.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Incorporated Trustees — for NGOs, associations, and non-profit entities.</w:t>
      </w:r>
    </w:p>
    <w:p>
      <w:pPr>
        <w:spacing w:after="150"/>
      </w:pPr>
      <w:r>
        <w:t xml:space="preserve">Royal Pal Professional Services advises on the most suitable structure based on liability exposure, tax treatment, and growth plans before registration begins.</w:t>
      </w:r>
    </w:p>
    <w:p>
      <w:pPr>
        <w:pStyle w:val="Heading1"/>
        <w:spacing w:after="150" w:before="300"/>
      </w:pPr>
      <w:r>
        <w:t xml:space="preserve">2. Documents Required for Registration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Proposed business/company name (with 1-2 alternatives)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 means of identification for all owners/directors (National ID, passport, or driver's license)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Passport photographs of owners/directors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Proof of registered business address (utility bill or tenancy agreement)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Memorandum &amp; Articles of Association (for limited companies)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Tax Identification Number (TIN) application details</w:t>
      </w:r>
    </w:p>
    <w:p>
      <w:pPr>
        <w:pStyle w:val="Heading1"/>
        <w:spacing w:after="150" w:before="300"/>
      </w:pPr>
      <w:r>
        <w:t xml:space="preserve">3. Registration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1 — Name Reservation: Search and reserve the proposed business name with the Corporate Affairs Commission (CAC).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2 — Document Preparation: Prepare incorporation documents, including Memorandum &amp; Articles of Association for limited companies.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3 — CAC Submission: Submit the complete application through the CAC portal.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4 — Certificate Issuance: Once approved, CAC issues the Certificate of Incorporation (or Business Name Registration Certificate).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5 — Post-Registration Setup: Obtain a Tax Identification Number (TIN), register for VAT if applicable, and open a corporate bank account.</w:t>
      </w:r>
    </w:p>
    <w:p>
      <w:pPr>
        <w:pStyle w:val="Heading1"/>
        <w:spacing w:after="150" w:before="300"/>
      </w:pPr>
      <w:r>
        <w:t xml:space="preserve">4. Estimated Timelines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Registration Type</w:t>
            </w:r>
          </w:p>
        </w:tc>
        <w:tc>
          <w:tcPr>
            <w:tcW w:type="dxa" w:w="4500"/>
            <w:shd w:fill="1F4E4C" w:val="clear"/>
          </w:tcPr>
          <w:p>
            <w:r>
              <w:rPr>
                <w:b/>
                <w:bCs/>
                <w:color w:val="FFFFFF"/>
              </w:rPr>
              <w:t xml:space="preserve">Typical Processing Time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Business Name Registration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3–5 business days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Limited Company Incorporation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1–2 weeks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Tax Identification Number (TIN)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Issued alongside or shortly after CAC registration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After Registration — Ongoing Compliance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annual returns with CAC every year following incorporation.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 for VAT if turnover exceeds the statutory threshold.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up PAYE remittance if the business has employees.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Maintain proper bookkeeping records from day one to simplify year-end tax filing.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Processing times are estimates and depend on CAC volumes and document completeness. Requirements should be reconfirmed against current CAC guidelines at the time of registration.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2026-07-14T16:53:44.990Z</dcterms:created>
  <dcterms:modified xsi:type="dcterms:W3CDTF">2026-07-14T16:53:44.990Z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