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4C"/>
          <w:sz w:val="44"/>
          <w:szCs w:val="44"/>
        </w:rPr>
        <w:t xml:space="preserve">Royal Pal Professional Services</w:t>
      </w:r>
    </w:p>
    <w:p>
      <w:pPr>
        <w:spacing w:after="60"/>
      </w:pPr>
      <w:r>
        <w:rPr>
          <w:color w:val="444444"/>
          <w:sz w:val="26"/>
          <w:szCs w:val="26"/>
        </w:rPr>
        <w:t xml:space="preserve">Client Procedures &amp; Service Guidelines</w:t>
      </w:r>
    </w:p>
    <w:p>
      <w:pPr>
        <w:pBdr>
          <w:bottom w:val="single" w:color="1F4E4C" w:sz="12" w:space="8"/>
        </w:pBdr>
        <w:spacing w:after="300"/>
      </w:pPr>
      <w:r>
        <w:rPr>
          <w:i/>
          <w:iCs/>
          <w:color w:val="666666"/>
          <w:sz w:val="20"/>
          <w:szCs w:val="20"/>
        </w:rPr>
        <w:t xml:space="preserve">Chartered Accounting &amp; Tax Consultancy — Lagos, Nigeria</w:t>
      </w:r>
    </w:p>
    <w:p>
      <w:pPr>
        <w:pStyle w:val="Heading1"/>
        <w:spacing w:after="150" w:before="300"/>
      </w:pPr>
      <w:r>
        <w:t xml:space="preserve">1. About Royal Pal Professional Services</w:t>
      </w:r>
    </w:p>
    <w:p>
      <w:pPr>
        <w:spacing w:after="150"/>
      </w:pPr>
      <w:r>
        <w:t xml:space="preserve">Royal Pal Professional Services is a chartered accounting and tax consultancy firm based in Lagos, Nigeria, providing accounting, audit, tax advisory, and business support services to individuals, small businesses, and corporate clients. This document sets out the firm's core service procedures and client-facing guidelines, and serves as the reference knowledge base for internal use and client-facing support tools.</w:t>
      </w:r>
    </w:p>
    <w:p>
      <w:pPr>
        <w:pStyle w:val="Heading1"/>
        <w:spacing w:after="150" w:before="300"/>
      </w:pPr>
      <w:r>
        <w:t xml:space="preserve">2. Services Offered</w:t>
      </w:r>
    </w:p>
    <w:p>
      <w:pPr>
        <w:pStyle w:val="Heading2"/>
        <w:spacing w:after="100" w:before="200"/>
      </w:pPr>
      <w:r>
        <w:t xml:space="preserve">2.1 Audit &amp; Assurance</w:t>
      </w:r>
    </w:p>
    <w:p>
      <w:pPr>
        <w:pStyle w:val="ListParagraph"/>
        <w:numPr>
          <w:ilvl w:val="0"/>
          <w:numId w:val="2"/>
        </w:numPr>
        <w:spacing w:after="100"/>
      </w:pPr>
      <w:r>
        <w:t xml:space="preserve">Statutory audits for private and public companies</w:t>
      </w:r>
    </w:p>
    <w:p>
      <w:pPr>
        <w:pStyle w:val="ListParagraph"/>
        <w:numPr>
          <w:ilvl w:val="0"/>
          <w:numId w:val="2"/>
        </w:numPr>
        <w:spacing w:after="100"/>
      </w:pPr>
      <w:r>
        <w:t xml:space="preserve">Internal audit and controls review</w:t>
      </w:r>
    </w:p>
    <w:p>
      <w:pPr>
        <w:pStyle w:val="ListParagraph"/>
        <w:numPr>
          <w:ilvl w:val="0"/>
          <w:numId w:val="2"/>
        </w:numPr>
        <w:spacing w:after="100"/>
      </w:pPr>
      <w:r>
        <w:t xml:space="preserve">Financial statement review and compilation</w:t>
      </w:r>
    </w:p>
    <w:p>
      <w:pPr>
        <w:pStyle w:val="Heading2"/>
        <w:spacing w:after="100" w:before="200"/>
      </w:pPr>
      <w:r>
        <w:t xml:space="preserve">2.2 Tax Advisory &amp; Compliance</w:t>
      </w:r>
    </w:p>
    <w:p>
      <w:pPr>
        <w:pStyle w:val="ListParagraph"/>
        <w:numPr>
          <w:ilvl w:val="0"/>
          <w:numId w:val="2"/>
        </w:numPr>
        <w:spacing w:after="100"/>
      </w:pPr>
      <w:r>
        <w:t xml:space="preserve">Personal income tax (PAYE) filing and advisory</w:t>
      </w:r>
    </w:p>
    <w:p>
      <w:pPr>
        <w:pStyle w:val="ListParagraph"/>
        <w:numPr>
          <w:ilvl w:val="0"/>
          <w:numId w:val="2"/>
        </w:numPr>
        <w:spacing w:after="100"/>
      </w:pPr>
      <w:r>
        <w:t xml:space="preserve">Company income tax (CIT) computation and filing</w:t>
      </w:r>
    </w:p>
    <w:p>
      <w:pPr>
        <w:pStyle w:val="ListParagraph"/>
        <w:numPr>
          <w:ilvl w:val="0"/>
          <w:numId w:val="2"/>
        </w:numPr>
        <w:spacing w:after="100"/>
      </w:pPr>
      <w:r>
        <w:t xml:space="preserve">Value Added Tax (VAT) registration and returns</w:t>
      </w:r>
    </w:p>
    <w:p>
      <w:pPr>
        <w:pStyle w:val="ListParagraph"/>
        <w:numPr>
          <w:ilvl w:val="0"/>
          <w:numId w:val="2"/>
        </w:numPr>
        <w:spacing w:after="100"/>
      </w:pPr>
      <w:r>
        <w:t xml:space="preserve">Withholding tax (WHT) compliance</w:t>
      </w:r>
    </w:p>
    <w:p>
      <w:pPr>
        <w:pStyle w:val="ListParagraph"/>
        <w:numPr>
          <w:ilvl w:val="0"/>
          <w:numId w:val="2"/>
        </w:numPr>
        <w:spacing w:after="100"/>
      </w:pPr>
      <w:r>
        <w:t xml:space="preserve">Tax planning and dispute resolution support</w:t>
      </w:r>
    </w:p>
    <w:p>
      <w:pPr>
        <w:pStyle w:val="Heading2"/>
        <w:spacing w:after="100" w:before="200"/>
      </w:pPr>
      <w:r>
        <w:t xml:space="preserve">2.3 Accounting &amp; Bookkeeping</w:t>
      </w:r>
    </w:p>
    <w:p>
      <w:pPr>
        <w:pStyle w:val="ListParagraph"/>
        <w:numPr>
          <w:ilvl w:val="0"/>
          <w:numId w:val="2"/>
        </w:numPr>
        <w:spacing w:after="100"/>
      </w:pPr>
      <w:r>
        <w:t xml:space="preserve">Monthly bookkeeping and management accounts</w:t>
      </w:r>
    </w:p>
    <w:p>
      <w:pPr>
        <w:pStyle w:val="ListParagraph"/>
        <w:numPr>
          <w:ilvl w:val="0"/>
          <w:numId w:val="2"/>
        </w:numPr>
        <w:spacing w:after="100"/>
      </w:pPr>
      <w:r>
        <w:t xml:space="preserve">Payroll processing and statutory remittances</w:t>
      </w:r>
    </w:p>
    <w:p>
      <w:pPr>
        <w:pStyle w:val="ListParagraph"/>
        <w:numPr>
          <w:ilvl w:val="0"/>
          <w:numId w:val="2"/>
        </w:numPr>
        <w:spacing w:after="100"/>
      </w:pPr>
      <w:r>
        <w:t xml:space="preserve">Financial statement preparation (IFRS-aligned)</w:t>
      </w:r>
    </w:p>
    <w:p>
      <w:pPr>
        <w:pStyle w:val="Heading2"/>
        <w:spacing w:after="100" w:before="200"/>
      </w:pPr>
      <w:r>
        <w:t xml:space="preserve">2.4 Business Advisory</w:t>
      </w:r>
    </w:p>
    <w:p>
      <w:pPr>
        <w:pStyle w:val="ListParagraph"/>
        <w:numPr>
          <w:ilvl w:val="0"/>
          <w:numId w:val="2"/>
        </w:numPr>
        <w:spacing w:after="100"/>
      </w:pPr>
      <w:r>
        <w:t xml:space="preserve">Business registration and CAC compliance</w:t>
      </w:r>
    </w:p>
    <w:p>
      <w:pPr>
        <w:pStyle w:val="ListParagraph"/>
        <w:numPr>
          <w:ilvl w:val="0"/>
          <w:numId w:val="2"/>
        </w:numPr>
        <w:spacing w:after="100"/>
      </w:pPr>
      <w:r>
        <w:t xml:space="preserve">Financial planning and budgeting support</w:t>
      </w:r>
    </w:p>
    <w:p>
      <w:pPr>
        <w:pStyle w:val="ListParagraph"/>
        <w:numPr>
          <w:ilvl w:val="0"/>
          <w:numId w:val="2"/>
        </w:numPr>
        <w:spacing w:after="100"/>
      </w:pPr>
      <w:r>
        <w:t xml:space="preserve">Startup and SME advisory services</w:t>
      </w:r>
    </w:p>
    <w:p>
      <w:pPr>
        <w:pStyle w:val="Heading1"/>
        <w:spacing w:after="150" w:before="300"/>
      </w:pPr>
      <w:r>
        <w:t xml:space="preserve">3. Client Onboarding Procedure</w:t>
      </w:r>
    </w:p>
    <w:p>
      <w:pPr>
        <w:spacing w:after="150"/>
      </w:pPr>
      <w:r>
        <w:t xml:space="preserve">New clients are onboarded through a structured four-step process to ensure regulatory compliance and clear scope agreement before any engagement begins.</w:t>
      </w:r>
    </w:p>
    <w:p>
      <w:pPr>
        <w:pStyle w:val="ListParagraph"/>
        <w:numPr>
          <w:ilvl w:val="0"/>
          <w:numId w:val="2"/>
        </w:numPr>
        <w:spacing w:after="100"/>
      </w:pPr>
      <w:r>
        <w:t xml:space="preserve">Step 1 — Initial Consultation: A discovery call or meeting to understand the client's needs, business structure, and applicable regulatory obligations.</w:t>
      </w:r>
    </w:p>
    <w:p>
      <w:pPr>
        <w:pStyle w:val="ListParagraph"/>
        <w:numPr>
          <w:ilvl w:val="0"/>
          <w:numId w:val="2"/>
        </w:numPr>
        <w:spacing w:after="100"/>
      </w:pPr>
      <w:r>
        <w:t xml:space="preserve">Step 2 — Documentation Collection: Client provides incorporation documents (CAC certificate), means of identification, TIN (Tax Identification Number), and relevant prior financial records.</w:t>
      </w:r>
    </w:p>
    <w:p>
      <w:pPr>
        <w:pStyle w:val="ListParagraph"/>
        <w:numPr>
          <w:ilvl w:val="0"/>
          <w:numId w:val="2"/>
        </w:numPr>
        <w:spacing w:after="100"/>
      </w:pPr>
      <w:r>
        <w:t xml:space="preserve">Step 3 — Engagement Letter: A formal engagement letter is issued outlining scope of services, fees, timelines, and responsibilities of both parties. Work begins only after this is signed.</w:t>
      </w:r>
    </w:p>
    <w:p>
      <w:pPr>
        <w:pStyle w:val="ListParagraph"/>
        <w:numPr>
          <w:ilvl w:val="0"/>
          <w:numId w:val="2"/>
        </w:numPr>
        <w:spacing w:after="100"/>
      </w:pPr>
      <w:r>
        <w:t xml:space="preserve">Step 4 — Kickoff &amp; Access Setup: Client is granted access to the secure document portal, assigned a dedicated account contact, and given a schedule of recurring deliverables (e.g., monthly bookkeeping, quarterly VAT filing).</w:t>
      </w:r>
    </w:p>
    <w:p>
      <w:pPr>
        <w:pStyle w:val="Heading1"/>
        <w:spacing w:after="150" w:before="300"/>
      </w:pPr>
      <w:r>
        <w:t xml:space="preserve">4. Document Submission Guidelines</w:t>
      </w:r>
    </w:p>
    <w:p>
      <w:pPr>
        <w:spacing w:after="150"/>
      </w:pPr>
      <w:r>
        <w:t xml:space="preserve">To maintain accuracy and meet statutory deadlines, clients are asked to follow these submission standards:</w:t>
      </w:r>
    </w:p>
    <w:p>
      <w:pPr>
        <w:pStyle w:val="ListParagraph"/>
        <w:numPr>
          <w:ilvl w:val="0"/>
          <w:numId w:val="2"/>
        </w:numPr>
        <w:spacing w:after="100"/>
      </w:pPr>
      <w:r>
        <w:t xml:space="preserve">Submit source documents (invoices, receipts, bank statements) by the 5th of each month for the prior month's bookkeeping cycle.</w:t>
      </w:r>
    </w:p>
    <w:p>
      <w:pPr>
        <w:pStyle w:val="ListParagraph"/>
        <w:numPr>
          <w:ilvl w:val="0"/>
          <w:numId w:val="2"/>
        </w:numPr>
        <w:spacing w:after="100"/>
      </w:pPr>
      <w:r>
        <w:t xml:space="preserve">All documents should be submitted in digital format (PDF, JPEG, or scanned copies) through the secure client portal or designated email.</w:t>
      </w:r>
    </w:p>
    <w:p>
      <w:pPr>
        <w:pStyle w:val="ListParagraph"/>
        <w:numPr>
          <w:ilvl w:val="0"/>
          <w:numId w:val="2"/>
        </w:numPr>
        <w:spacing w:after="100"/>
      </w:pPr>
      <w:r>
        <w:t xml:space="preserve">Bank statements must be provided in full (no partial months) to allow accurate reconciliation.</w:t>
      </w:r>
    </w:p>
    <w:p>
      <w:pPr>
        <w:pStyle w:val="ListParagraph"/>
        <w:numPr>
          <w:ilvl w:val="0"/>
          <w:numId w:val="2"/>
        </w:numPr>
        <w:spacing w:after="100"/>
      </w:pPr>
      <w:r>
        <w:t xml:space="preserve">Any changes to business structure, directorship, or registered address should be communicated within 7 days, as these affect statutory filings.</w:t>
      </w:r>
    </w:p>
    <w:p>
      <w:pPr>
        <w:pStyle w:val="Heading1"/>
        <w:spacing w:after="150" w:before="300"/>
      </w:pPr>
      <w:r>
        <w:t xml:space="preserve">5. Tax Filing Procedures</w:t>
      </w:r>
    </w:p>
    <w:p>
      <w:pPr>
        <w:pStyle w:val="Heading2"/>
        <w:spacing w:after="100" w:before="200"/>
      </w:pPr>
      <w:r>
        <w:t xml:space="preserve">5.1 Monthly Obligations</w:t>
      </w:r>
    </w:p>
    <w:p>
      <w:pPr>
        <w:pStyle w:val="ListParagraph"/>
        <w:numPr>
          <w:ilvl w:val="0"/>
          <w:numId w:val="2"/>
        </w:numPr>
        <w:spacing w:after="100"/>
      </w:pPr>
      <w:r>
        <w:t xml:space="preserve">PAYE remittance: due by the 10th of the following month</w:t>
      </w:r>
    </w:p>
    <w:p>
      <w:pPr>
        <w:pStyle w:val="ListParagraph"/>
        <w:numPr>
          <w:ilvl w:val="0"/>
          <w:numId w:val="2"/>
        </w:numPr>
        <w:spacing w:after="100"/>
      </w:pPr>
      <w:r>
        <w:t xml:space="preserve">VAT returns: due by the 21st of the following month</w:t>
      </w:r>
    </w:p>
    <w:p>
      <w:pPr>
        <w:pStyle w:val="ListParagraph"/>
        <w:numPr>
          <w:ilvl w:val="0"/>
          <w:numId w:val="2"/>
        </w:numPr>
        <w:spacing w:after="100"/>
      </w:pPr>
      <w:r>
        <w:t xml:space="preserve">Withholding tax remittance: due by the 21st of the following month</w:t>
      </w:r>
    </w:p>
    <w:p>
      <w:pPr>
        <w:pStyle w:val="Heading2"/>
        <w:spacing w:after="100" w:before="200"/>
      </w:pPr>
      <w:r>
        <w:t xml:space="preserve">5.2 Annual Obligations</w:t>
      </w:r>
    </w:p>
    <w:p>
      <w:pPr>
        <w:pStyle w:val="ListParagraph"/>
        <w:numPr>
          <w:ilvl w:val="0"/>
          <w:numId w:val="2"/>
        </w:numPr>
        <w:spacing w:after="100"/>
      </w:pPr>
      <w:r>
        <w:t xml:space="preserve">Company Income Tax (CIT) filing: due within 6 months of financial year-end</w:t>
      </w:r>
    </w:p>
    <w:p>
      <w:pPr>
        <w:pStyle w:val="ListParagraph"/>
        <w:numPr>
          <w:ilvl w:val="0"/>
          <w:numId w:val="2"/>
        </w:numPr>
        <w:spacing w:after="100"/>
      </w:pPr>
      <w:r>
        <w:t xml:space="preserve">Annual returns to the Corporate Affairs Commission (CAC): due annually</w:t>
      </w:r>
    </w:p>
    <w:p>
      <w:pPr>
        <w:spacing w:after="150"/>
      </w:pPr>
      <w:r>
        <w:t xml:space="preserve">Royal Pal Professional Services prepares and files all statutory returns on behalf of retained clients, subject to timely document submission per Section 4. Clients are notified in advance of upcoming deadlines and any outstanding requirements.</w:t>
      </w:r>
    </w:p>
    <w:p>
      <w:pPr>
        <w:pStyle w:val="Heading1"/>
        <w:spacing w:after="150" w:before="300"/>
      </w:pPr>
      <w:r>
        <w:t xml:space="preserve">6. Communication Protocol</w:t>
      </w:r>
    </w:p>
    <w:p>
      <w:pPr>
        <w:pStyle w:val="ListParagraph"/>
        <w:numPr>
          <w:ilvl w:val="0"/>
          <w:numId w:val="2"/>
        </w:numPr>
        <w:spacing w:after="100"/>
      </w:pPr>
      <w:r>
        <w:t xml:space="preserve">Each client is assigned a dedicated account contact for day-to-day queries.</w:t>
      </w:r>
    </w:p>
    <w:p>
      <w:pPr>
        <w:pStyle w:val="ListParagraph"/>
        <w:numPr>
          <w:ilvl w:val="0"/>
          <w:numId w:val="2"/>
        </w:numPr>
        <w:spacing w:after="100"/>
      </w:pPr>
      <w:r>
        <w:t xml:space="preserve">Standard response time for email inquiries is within 1 business day.</w:t>
      </w:r>
    </w:p>
    <w:p>
      <w:pPr>
        <w:pStyle w:val="ListParagraph"/>
        <w:numPr>
          <w:ilvl w:val="0"/>
          <w:numId w:val="2"/>
        </w:numPr>
        <w:spacing w:after="100"/>
      </w:pPr>
      <w:r>
        <w:t xml:space="preserve">Urgent matters (e.g., regulatory notices, audit queries) should be flagged as "Urgent" in the subject line and will be addressed within 4 business hours.</w:t>
      </w:r>
    </w:p>
    <w:p>
      <w:pPr>
        <w:pStyle w:val="ListParagraph"/>
        <w:numPr>
          <w:ilvl w:val="0"/>
          <w:numId w:val="2"/>
        </w:numPr>
        <w:spacing w:after="100"/>
      </w:pPr>
      <w:r>
        <w:t xml:space="preserve">Quarterly review meetings are scheduled with retained clients to discuss financial performance and compliance status.</w:t>
      </w:r>
    </w:p>
    <w:p>
      <w:pPr>
        <w:pStyle w:val="Heading1"/>
        <w:spacing w:after="150" w:before="300"/>
      </w:pPr>
      <w:r>
        <w:t xml:space="preserve">7. Fees &amp; Engagement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4E4C" w:val="clear"/>
          </w:tcPr>
          <w:p>
            <w:r>
              <w:rPr>
                <w:b/>
                <w:bCs/>
                <w:color w:val="FFFFFF"/>
              </w:rPr>
              <w:t xml:space="preserve">Service Type</w:t>
            </w:r>
          </w:p>
        </w:tc>
        <w:tc>
          <w:tcPr>
            <w:tcW w:type="dxa" w:w="3000"/>
            <w:shd w:fill="1F4E4C" w:val="clear"/>
          </w:tcPr>
          <w:p>
            <w:r>
              <w:rPr>
                <w:b/>
                <w:bCs/>
                <w:color w:val="FFFFFF"/>
              </w:rPr>
              <w:t xml:space="preserve">Billing Basis</w:t>
            </w:r>
          </w:p>
        </w:tc>
        <w:tc>
          <w:tcPr>
            <w:tcW w:type="dxa" w:w="3000"/>
            <w:shd w:fill="1F4E4C" w:val="clear"/>
          </w:tcPr>
          <w:p>
            <w:r>
              <w:rPr>
                <w:b/>
                <w:bCs/>
                <w:color w:val="FFFFFF"/>
              </w:rPr>
              <w:t xml:space="preserve">Typical Frequency</w:t>
            </w:r>
          </w:p>
        </w:tc>
      </w:tr>
      <w:tr>
        <w:tc>
          <w:tcPr>
            <w:tcW w:type="dxa" w:w="3000"/>
          </w:tcPr>
          <w:p>
            <w:r>
              <w:rPr>
                <w:b w:val="false"/>
                <w:bCs w:val="false"/>
              </w:rPr>
              <w:t xml:space="preserve">Bookkeeping &amp; Payroll</w:t>
            </w:r>
          </w:p>
        </w:tc>
        <w:tc>
          <w:tcPr>
            <w:tcW w:type="dxa" w:w="3000"/>
          </w:tcPr>
          <w:p>
            <w:r>
              <w:rPr>
                <w:b w:val="false"/>
                <w:bCs w:val="false"/>
              </w:rPr>
              <w:t xml:space="preserve">Fixed monthly retainer</w:t>
            </w:r>
          </w:p>
        </w:tc>
        <w:tc>
          <w:tcPr>
            <w:tcW w:type="dxa" w:w="3000"/>
          </w:tcPr>
          <w:p>
            <w:r>
              <w:rPr>
                <w:b w:val="false"/>
                <w:bCs w:val="false"/>
              </w:rPr>
              <w:t xml:space="preserve">Monthly</w:t>
            </w:r>
          </w:p>
        </w:tc>
      </w:tr>
      <w:tr>
        <w:tc>
          <w:tcPr>
            <w:tcW w:type="dxa" w:w="3000"/>
          </w:tcPr>
          <w:p>
            <w:r>
              <w:rPr>
                <w:b w:val="false"/>
                <w:bCs w:val="false"/>
              </w:rPr>
              <w:t xml:space="preserve">Tax Filing &amp; Compliance</w:t>
            </w:r>
          </w:p>
        </w:tc>
        <w:tc>
          <w:tcPr>
            <w:tcW w:type="dxa" w:w="3000"/>
          </w:tcPr>
          <w:p>
            <w:r>
              <w:rPr>
                <w:b w:val="false"/>
                <w:bCs w:val="false"/>
              </w:rPr>
              <w:t xml:space="preserve">Fixed monthly or per-filing fee</w:t>
            </w:r>
          </w:p>
        </w:tc>
        <w:tc>
          <w:tcPr>
            <w:tcW w:type="dxa" w:w="3000"/>
          </w:tcPr>
          <w:p>
            <w:r>
              <w:rPr>
                <w:b w:val="false"/>
                <w:bCs w:val="false"/>
              </w:rPr>
              <w:t xml:space="preserve">Monthly / Quarterly</w:t>
            </w:r>
          </w:p>
        </w:tc>
      </w:tr>
      <w:tr>
        <w:tc>
          <w:tcPr>
            <w:tcW w:type="dxa" w:w="3000"/>
          </w:tcPr>
          <w:p>
            <w:r>
              <w:rPr>
                <w:b w:val="false"/>
                <w:bCs w:val="false"/>
              </w:rPr>
              <w:t xml:space="preserve">Statutory Audit</w:t>
            </w:r>
          </w:p>
        </w:tc>
        <w:tc>
          <w:tcPr>
            <w:tcW w:type="dxa" w:w="3000"/>
          </w:tcPr>
          <w:p>
            <w:r>
              <w:rPr>
                <w:b w:val="false"/>
                <w:bCs w:val="false"/>
              </w:rPr>
              <w:t xml:space="preserve">Scope-based fixed fee</w:t>
            </w:r>
          </w:p>
        </w:tc>
        <w:tc>
          <w:tcPr>
            <w:tcW w:type="dxa" w:w="3000"/>
          </w:tcPr>
          <w:p>
            <w:r>
              <w:rPr>
                <w:b w:val="false"/>
                <w:bCs w:val="false"/>
              </w:rPr>
              <w:t xml:space="preserve">Annual</w:t>
            </w:r>
          </w:p>
        </w:tc>
      </w:tr>
      <w:tr>
        <w:tc>
          <w:tcPr>
            <w:tcW w:type="dxa" w:w="3000"/>
          </w:tcPr>
          <w:p>
            <w:r>
              <w:rPr>
                <w:b w:val="false"/>
                <w:bCs w:val="false"/>
              </w:rPr>
              <w:t xml:space="preserve">Business Advisory</w:t>
            </w:r>
          </w:p>
        </w:tc>
        <w:tc>
          <w:tcPr>
            <w:tcW w:type="dxa" w:w="3000"/>
          </w:tcPr>
          <w:p>
            <w:r>
              <w:rPr>
                <w:b w:val="false"/>
                <w:bCs w:val="false"/>
              </w:rPr>
              <w:t xml:space="preserve">Hourly or project-based fee</w:t>
            </w:r>
          </w:p>
        </w:tc>
        <w:tc>
          <w:tcPr>
            <w:tcW w:type="dxa" w:w="3000"/>
          </w:tcPr>
          <w:p>
            <w:r>
              <w:rPr>
                <w:b w:val="false"/>
                <w:bCs w:val="false"/>
              </w:rPr>
              <w:t xml:space="preserve">As needed</w:t>
            </w:r>
          </w:p>
        </w:tc>
      </w:tr>
    </w:tbl>
    <w:p>
      <w:pPr>
        <w:spacing w:after="150"/>
      </w:pPr>
    </w:p>
    <w:p>
      <w:pPr>
        <w:spacing w:after="150"/>
      </w:pPr>
      <w:r>
        <w:t xml:space="preserve">Exact fees are confirmed in the engagement letter based on business size, transaction volume, and scope of work. Invoices are issued monthly for retained clients and are due within 14 days of issue.</w:t>
      </w:r>
    </w:p>
    <w:p>
      <w:pPr>
        <w:pStyle w:val="Heading1"/>
        <w:spacing w:after="150" w:before="300"/>
      </w:pPr>
      <w:r>
        <w:t xml:space="preserve">8. Frequently Asked Questions</w:t>
      </w:r>
    </w:p>
    <w:p>
      <w:pPr>
        <w:spacing w:after="50" w:before="150"/>
      </w:pPr>
      <w:r>
        <w:rPr>
          <w:b/>
          <w:bCs/>
        </w:rPr>
        <w:t xml:space="preserve">Q: What documents do I need to get started as a new client?</w:t>
      </w:r>
    </w:p>
    <w:p>
      <w:pPr>
        <w:spacing w:after="100"/>
      </w:pPr>
      <w:r>
        <w:t xml:space="preserve">A: A CAC certificate of incorporation, valid means of identification for directors, a Tax Identification Number (TIN), and, if available, the last 12 months of financial records or bank statements.</w:t>
      </w:r>
    </w:p>
    <w:p>
      <w:pPr>
        <w:spacing w:after="50" w:before="150"/>
      </w:pPr>
      <w:r>
        <w:rPr>
          <w:b/>
          <w:bCs/>
        </w:rPr>
        <w:t xml:space="preserve">Q: How long does it take to register a new business?</w:t>
      </w:r>
    </w:p>
    <w:p>
      <w:pPr>
        <w:spacing w:after="100"/>
      </w:pPr>
      <w:r>
        <w:t xml:space="preserve">A: CAC business name registration typically takes 3–5 business days once all required documents are submitted; full company incorporation can take 1–2 weeks depending on CAC processing times.</w:t>
      </w:r>
    </w:p>
    <w:p>
      <w:pPr>
        <w:spacing w:after="50" w:before="150"/>
      </w:pPr>
      <w:r>
        <w:rPr>
          <w:b/>
          <w:bCs/>
        </w:rPr>
        <w:t xml:space="preserve">Q: What happens if I miss a monthly document submission deadline?</w:t>
      </w:r>
    </w:p>
    <w:p>
      <w:pPr>
        <w:spacing w:after="100"/>
      </w:pPr>
      <w:r>
        <w:t xml:space="preserve">A: Late submission may delay bookkeeping and risk missing statutory filing deadlines (e.g., VAT, PAYE), which can result in regulatory penalties. Clients are encouraged to contact their account contact as early as possible if a delay is expected.</w:t>
      </w:r>
    </w:p>
    <w:p>
      <w:pPr>
        <w:spacing w:after="50" w:before="150"/>
      </w:pPr>
      <w:r>
        <w:rPr>
          <w:b/>
          <w:bCs/>
        </w:rPr>
        <w:t xml:space="preserve">Q: Do you handle both personal and company tax filings?</w:t>
      </w:r>
    </w:p>
    <w:p>
      <w:pPr>
        <w:spacing w:after="100"/>
      </w:pPr>
      <w:r>
        <w:t xml:space="preserve">A: Yes. Royal Pal Professional Services handles personal income tax (PAYE) for individuals and employees, as well as company income tax (CIT), VAT, and withholding tax for registered businesses.</w:t>
      </w:r>
    </w:p>
    <w:p>
      <w:pPr>
        <w:spacing w:after="50" w:before="150"/>
      </w:pPr>
      <w:r>
        <w:rPr>
          <w:b/>
          <w:bCs/>
        </w:rPr>
        <w:t xml:space="preserve">Q: Can I switch from another accountant mid-year?</w:t>
      </w:r>
    </w:p>
    <w:p>
      <w:pPr>
        <w:spacing w:after="100"/>
      </w:pPr>
      <w:r>
        <w:t xml:space="preserve">A: Yes. We coordinate a handover process with your previous accountant or request the relevant prior records directly, and can pick up mid-cycle for bookkeeping, payroll, or tax compliance.</w:t>
      </w:r>
    </w:p>
    <w:p>
      <w:pPr>
        <w:spacing w:after="50" w:before="150"/>
      </w:pPr>
      <w:r>
        <w:rPr>
          <w:b/>
          <w:bCs/>
        </w:rPr>
        <w:t xml:space="preserve">Q: Is my financial information kept confidential?</w:t>
      </w:r>
    </w:p>
    <w:p>
      <w:pPr>
        <w:spacing w:after="100"/>
      </w:pPr>
      <w:r>
        <w:t xml:space="preserve">A: Yes. All client information is handled under strict confidentiality, accessible only to assigned staff working on that engagement, and stored securely on the client document portal.</w:t>
      </w:r>
    </w:p>
    <w:p>
      <w:pPr>
        <w:pBdr>
          <w:top w:val="single" w:color="CCCCCC" w:sz="6" w:space="8"/>
        </w:pBdr>
        <w:spacing w:before="300"/>
      </w:pPr>
      <w:r>
        <w:rPr>
          <w:i/>
          <w:iCs/>
          <w:color w:val="888888"/>
          <w:sz w:val="18"/>
          <w:szCs w:val="18"/>
        </w:rPr>
        <w:t xml:space="preserve">This document is intended as an internal reference and knowledge base for client support tools. For binding terms, refer to the signed engagement letter.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2026-07-14T12:54:07.727Z</dcterms:created>
  <dcterms:modified xsi:type="dcterms:W3CDTF">2026-07-14T12:54:07.740Z</dcterms:modified>
</cp:coreProperties>
</file>

<file path=docProps/custom.xml><?xml version="1.0" encoding="utf-8"?>
<Properties xmlns="http://schemas.openxmlformats.org/officeDocument/2006/custom-properties" xmlns:vt="http://schemas.openxmlformats.org/officeDocument/2006/docPropsVTypes"/>
</file>