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4C"/>
          <w:sz w:val="36"/>
          <w:szCs w:val="36"/>
        </w:rPr>
        <w:t xml:space="preserve">Royal Pal Professional Services</w:t>
      </w:r>
    </w:p>
    <w:p>
      <w:pPr>
        <w:spacing w:after="40"/>
      </w:pPr>
      <w:r>
        <w:rPr>
          <w:b/>
          <w:bCs/>
          <w:color w:val="1F4E4C"/>
          <w:sz w:val="30"/>
          <w:szCs w:val="30"/>
        </w:rPr>
        <w:t xml:space="preserve">Tax Deadlines Quick Reference</w:t>
      </w:r>
    </w:p>
    <w:p>
      <w:pPr>
        <w:pBdr>
          <w:bottom w:val="single" w:color="1F4E4C" w:sz="12" w:space="8"/>
        </w:pBdr>
        <w:spacing w:after="250"/>
      </w:pPr>
      <w:r>
        <w:rPr>
          <w:i/>
          <w:iCs/>
          <w:color w:val="666666"/>
          <w:sz w:val="20"/>
          <w:szCs w:val="20"/>
        </w:rPr>
        <w:t xml:space="preserve">Chartered Accounting &amp; Tax Consultancy — Lagos, Nigeria</w:t>
      </w:r>
    </w:p>
    <w:p>
      <w:pPr>
        <w:pStyle w:val="Heading1"/>
        <w:spacing w:after="150" w:before="300"/>
      </w:pPr>
      <w:r>
        <w:t xml:space="preserve">1. Monthly Recurring Deadlines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Obligation</w:t>
            </w:r>
          </w:p>
        </w:tc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Filed With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PAYE Remittance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10th of following month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State Internal Revenue Service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VAT Returns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21st of following month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Federal Inland Revenue Service (FIRS)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Withholding Tax (WHT)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21st of following month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FIRS / State IRS (per income type)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Annual Deadlines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Obligation</w:t>
            </w:r>
          </w:p>
        </w:tc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  <w:tc>
          <w:tcPr>
            <w:tcW w:type="dxa" w:w="30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Filed With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Company Income Tax (CIT)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 months after financial year-end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Annual Returns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Annually, per incorporation anniversary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Corporate Affairs Commission (CAC)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Personal Income Tax (Direct Assessment)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31 March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State Internal Revenue Service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Penalties for Late Filing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VAT returns: fixed penalty plus additional daily penalty until filed.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CIT filing: penalty plus interest on unpaid tax from the due date.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annual returns to CAC: escalating penalty the longer the filing is overdue.</w:t>
      </w:r>
    </w:p>
    <w:p>
      <w:pPr>
        <w:spacing w:after="150"/>
      </w:pPr>
      <w:r>
        <w:t xml:space="preserve">Royal Pal Professional Services tracks all client deadlines and sends reminders at least 7 days in advance of each due date, provided source documents were submitted per the standard submission schedule.</w:t>
      </w:r>
    </w:p>
    <w:p>
      <w:pPr>
        <w:pStyle w:val="Heading1"/>
        <w:spacing w:after="150" w:before="300"/>
      </w:pPr>
      <w:r>
        <w:t xml:space="preserve">4. How Royal Pal Keeps You Compliant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Dedicated compliance calendar maintained per client, covering all applicable monthly and annual obligations.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reminders sent to the client's account contact ahead of each deadline.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Filing confirmation and receipts shared with the client after each submission.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Deadlines and penalty figures are subject to change based on current FIRS/CAC regulations. This reference should be verified against the latest official guidance before relying on it for compliance decisions.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2026-07-14T16:53:44.948Z</dcterms:created>
  <dcterms:modified xsi:type="dcterms:W3CDTF">2026-07-14T16:53:44.962Z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