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Sommaire</w:t>
          </w:r>
        </w:p>
        <w:p>
          <w:r>
            <w:fldChar w:fldCharType="begin" w:dirty="true"/>
            <w:instrText xml:space="preserve">TOC \o "1-1" \h \z \u</w:instrText>
            <w:fldChar w:fldCharType="separate"/>
            <w:fldChar w:fldCharType="end"/>
          </w:r>
        </w:p>
      </w:sdtContent>
    </w:sdt>
    <w:bookmarkStart w:id="21" w:name="documents-légaux-de-nexis-hub"/>
    <w:p>
      <w:pPr>
        <w:pStyle w:val="Heading1"/>
      </w:pPr>
      <w:r>
        <w:t xml:space="preserve">Documents légaux de Nexis Hub</w:t>
      </w:r>
    </w:p>
    <w:p>
      <w:pPr>
        <w:pStyle w:val="FirstParagraph"/>
      </w:pPr>
      <w:r>
        <w:t xml:space="preserve">3 octobre 2026 · Ben Lokakao</w:t>
      </w:r>
    </w:p>
    <w:p>
      <w:pPr>
        <w:pStyle w:val="BodyText"/>
      </w:pPr>
      <w:r>
        <w:t xml:space="preserve">Ce dossier contient les projets de conditions et de politiques de Nexis Hub. Ce sont des projets à faire relire par un juriste à Kinshasa : aucun texte ne doit être publié ni montré aux utilisateurs avant sa validation.</w:t>
      </w:r>
    </w:p>
    <w:bookmarkStart w:id="10" w:name="statut-de-ces-textes"/>
    <w:p>
      <w:pPr>
        <w:pStyle w:val="Heading2"/>
      </w:pPr>
      <w:r>
        <w:t xml:space="preserve">Statut de ces textes</w:t>
      </w:r>
    </w:p>
    <w:p>
      <w:pPr>
        <w:pStyle w:val="FirstParagraph"/>
      </w:pPr>
      <w:r>
        <w:t xml:space="preserve">Ces textes sont des</w:t>
      </w:r>
      <w:r>
        <w:t xml:space="preserve"> </w:t>
      </w:r>
      <w:r>
        <w:rPr>
          <w:b/>
          <w:bCs/>
        </w:rPr>
        <w:t xml:space="preserve">projets de travail</w:t>
      </w:r>
      <w:r>
        <w:t xml:space="preserve">, rédigés le 3 octobre 2026 à partir du fonctionnement réel de Nexis Hub (dépôt Nexis-Hub :</w:t>
      </w:r>
      <w:r>
        <w:t xml:space="preserve"> </w:t>
      </w:r>
      <w:r>
        <w:rPr>
          <w:rStyle w:val="VerbatimChar"/>
        </w:rPr>
        <w:t xml:space="preserve">CONCEPTION_ARGENT.md</w:t>
      </w:r>
      <w:r>
        <w:t xml:space="preserve">,</w:t>
      </w:r>
      <w:r>
        <w:t xml:space="preserve"> </w:t>
      </w:r>
      <w:r>
        <w:rPr>
          <w:rStyle w:val="VerbatimChar"/>
        </w:rPr>
        <w:t xml:space="preserve">CONCEPTION_MOBILE_MONEY.md</w:t>
      </w:r>
      <w:r>
        <w:t xml:space="preserve">,</w:t>
      </w:r>
      <w:r>
        <w:t xml:space="preserve"> </w:t>
      </w:r>
      <w:r>
        <w:rPr>
          <w:rStyle w:val="VerbatimChar"/>
        </w:rPr>
        <w:t xml:space="preserve">docs/ARCHITECTURE_WHATSAPP.md</w:t>
      </w:r>
      <w:r>
        <w:t xml:space="preserve">, textes du bot). Ils ne sont pas l'œuvre d'un juriste et n'ont aucune valeur d'avis juridique.</w:t>
      </w:r>
    </w:p>
    <w:p>
      <w:pPr>
        <w:pStyle w:val="Compact"/>
        <w:numPr>
          <w:ilvl w:val="0"/>
          <w:numId w:val="1001"/>
        </w:numPr>
      </w:pPr>
      <w:r>
        <w:rPr>
          <w:b/>
          <w:bCs/>
        </w:rPr>
        <w:t xml:space="preserve">Rien n'est publiable en l'état.</w:t>
      </w:r>
      <w:r>
        <w:t xml:space="preserve"> </w:t>
      </w:r>
      <w:r>
        <w:t xml:space="preserve">Trois points peuvent changer le texte en profondeur : la forme de l'entreprise (Ets ou SARL), l'éventuel agrément de la Banque Centrale du Congo (BCC) pour le séquestre et le wallet, et le régime de déclaration prévu par le Code du numérique.</w:t>
      </w:r>
    </w:p>
    <w:p>
      <w:pPr>
        <w:pStyle w:val="Compact"/>
        <w:numPr>
          <w:ilvl w:val="0"/>
          <w:numId w:val="1001"/>
        </w:numPr>
      </w:pPr>
      <w:r>
        <w:rPr>
          <w:b/>
          <w:bCs/>
        </w:rPr>
        <w:t xml:space="preserve">Les passages entre crochets</w:t>
      </w:r>
      <w:r>
        <w:t xml:space="preserve"> </w:t>
      </w:r>
      <w:r>
        <w:rPr>
          <w:rStyle w:val="VerbatimChar"/>
        </w:rPr>
        <w:t xml:space="preserve">[À COMPLÉTER : …]</w:t>
      </w:r>
      <w:r>
        <w:t xml:space="preserve"> </w:t>
      </w:r>
      <w:r>
        <w:t xml:space="preserve">attendent une information que nous n'avons pas encore. Aucun n'a été inventé.</w:t>
      </w:r>
    </w:p>
    <w:p>
      <w:pPr>
        <w:pStyle w:val="Compact"/>
        <w:numPr>
          <w:ilvl w:val="0"/>
          <w:numId w:val="1001"/>
        </w:numPr>
      </w:pPr>
      <w:r>
        <w:rPr>
          <w:b/>
          <w:bCs/>
        </w:rPr>
        <w:t xml:space="preserve">Les notes « Pour le juriste »</w:t>
      </w:r>
      <w:r>
        <w:t xml:space="preserve"> </w:t>
      </w:r>
      <w:r>
        <w:t xml:space="preserve">signalent un choix de rédaction à confirmer. Elles disparaissent de la version publiée.</w:t>
      </w:r>
    </w:p>
    <w:p>
      <w:pPr>
        <w:pStyle w:val="Compact"/>
        <w:numPr>
          <w:ilvl w:val="0"/>
          <w:numId w:val="1001"/>
        </w:numPr>
      </w:pPr>
      <w:r>
        <w:rPr>
          <w:b/>
          <w:bCs/>
        </w:rPr>
        <w:t xml:space="preserve">Langues</w:t>
      </w:r>
      <w:r>
        <w:t xml:space="preserve"> </w:t>
      </w:r>
      <w:r>
        <w:t xml:space="preserve">: le français fait foi dans ce projet. Les versions lingala et anglaise seront traduites après validation, puis relues comme les autres textes du bot.</w:t>
      </w:r>
    </w:p>
    <w:p>
      <w:pPr>
        <w:pStyle w:val="Compact"/>
        <w:numPr>
          <w:ilvl w:val="0"/>
          <w:numId w:val="1001"/>
        </w:numPr>
      </w:pPr>
      <w:r>
        <w:rPr>
          <w:b/>
          <w:bCs/>
        </w:rPr>
        <w:t xml:space="preserve">Cohérence</w:t>
      </w:r>
      <w:r>
        <w:t xml:space="preserve"> </w:t>
      </w:r>
      <w:r>
        <w:t xml:space="preserve">: ces textes décrivent les règles d'argent telles qu'elles sont codées. Si le juriste demande de changer une règle (un délai, un remboursement), il faut changer le code et le texte ensemble, jamais l'un sans l'autre.</w:t>
      </w:r>
    </w:p>
    <w:p>
      <w:pPr>
        <w:pStyle w:val="FirstParagraph"/>
      </w:pPr>
      <w:r>
        <w:t xml:space="preserve">La fiche</w:t>
      </w:r>
      <w:r>
        <w:t xml:space="preserve"> </w:t>
      </w:r>
      <w:hyperlink r:id="rId9">
        <w:r>
          <w:rPr>
            <w:rStyle w:val="Hyperlink"/>
          </w:rPr>
          <w:t xml:space="preserve">Créer Nexis Hub au GUCE</w:t>
        </w:r>
      </w:hyperlink>
      <w:r>
        <w:t xml:space="preserve"> </w:t>
      </w:r>
      <w:r>
        <w:t xml:space="preserve">reste la référence pour la création de l'entreprise ; ce dossier ne la contredit pas et reprend ses questions au juriste.</w:t>
      </w:r>
    </w:p>
    <w:bookmarkEnd w:id="10"/>
    <w:bookmarkStart w:id="11" w:name="les-documents-du-dossier"/>
    <w:p>
      <w:pPr>
        <w:pStyle w:val="Heading2"/>
      </w:pPr>
      <w:r>
        <w:t xml:space="preserve">Les documents du dossier</w:t>
      </w:r>
    </w:p>
    <w:p>
      <w:pPr>
        <w:pStyle w:val="FirstParagraph"/>
      </w:pPr>
      <w:r>
        <w:t xml:space="preserve">Sept documents couvrent la plateforme. Les conditions générales sont le contrat de base ; les documents 2 à 5 en font partie et s'appliquent avec elles. La politique de confidentialité est une information, pas un contrat.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w:t>
            </w:r>
          </w:p>
        </w:tc>
        <w:tc>
          <w:tcPr/>
          <w:p>
            <w:pPr>
              <w:pStyle w:val="Compact"/>
            </w:pPr>
            <w:r>
              <w:t xml:space="preserve">Ce qu'il règle</w:t>
            </w:r>
          </w:p>
        </w:tc>
        <w:tc>
          <w:tcPr/>
          <w:p>
            <w:pPr>
              <w:pStyle w:val="Compact"/>
            </w:pPr>
            <w:r>
              <w:t xml:space="preserve">Qui l'accepte</w:t>
            </w:r>
          </w:p>
        </w:tc>
        <w:tc>
          <w:tcPr/>
          <w:p>
            <w:pPr>
              <w:pStyle w:val="Compact"/>
            </w:pPr>
            <w:r>
              <w:t xml:space="preserve">Quand</w:t>
            </w:r>
          </w:p>
        </w:tc>
      </w:tr>
      <w:tr>
        <w:tc>
          <w:tcPr/>
          <w:p>
            <w:pPr>
              <w:pStyle w:val="Compact"/>
            </w:pPr>
            <w:r>
              <w:t xml:space="preserve">1. Conditions générales d'utilisation</w:t>
            </w:r>
          </w:p>
        </w:tc>
        <w:tc>
          <w:tcPr/>
          <w:p>
            <w:pPr>
              <w:pStyle w:val="Compact"/>
            </w:pPr>
            <w:r>
              <w:t xml:space="preserve">Rôle de Nexis Hub, compte unique, canaux, missions et devis, commission, responsabilités, droit applicable</w:t>
            </w:r>
          </w:p>
        </w:tc>
        <w:tc>
          <w:tcPr/>
          <w:p>
            <w:pPr>
              <w:pStyle w:val="Compact"/>
            </w:pPr>
            <w:r>
              <w:t xml:space="preserve">Tout utilisateur</w:t>
            </w:r>
          </w:p>
        </w:tc>
        <w:tc>
          <w:tcPr/>
          <w:p>
            <w:pPr>
              <w:pStyle w:val="Compact"/>
            </w:pPr>
            <w:r>
              <w:t xml:space="preserve">À l'inscription, avant toute demande</w:t>
            </w:r>
          </w:p>
        </w:tc>
      </w:tr>
      <w:tr>
        <w:tc>
          <w:tcPr/>
          <w:p>
            <w:pPr>
              <w:pStyle w:val="Compact"/>
            </w:pPr>
            <w:r>
              <w:t xml:space="preserve">2. Paiement, séquestre, wallet et retraits</w:t>
            </w:r>
          </w:p>
        </w:tc>
        <w:tc>
          <w:tcPr/>
          <w:p>
            <w:pPr>
              <w:pStyle w:val="Compact"/>
            </w:pPr>
            <w:r>
              <w:t xml:space="preserve">Paiement d'un devis, argent bloqué jusqu'à la fin de la mission, libération, wallet, retraits, frais</w:t>
            </w:r>
          </w:p>
        </w:tc>
        <w:tc>
          <w:tcPr/>
          <w:p>
            <w:pPr>
              <w:pStyle w:val="Compact"/>
            </w:pPr>
            <w:r>
              <w:t xml:space="preserve">Tout utilisateur</w:t>
            </w:r>
          </w:p>
        </w:tc>
        <w:tc>
          <w:tcPr/>
          <w:p>
            <w:pPr>
              <w:pStyle w:val="Compact"/>
            </w:pPr>
            <w:r>
              <w:t xml:space="preserve">À l'inscription ; rappel avant le premier paiement et le premier retrait</w:t>
            </w:r>
          </w:p>
        </w:tc>
      </w:tr>
      <w:tr>
        <w:tc>
          <w:tcPr/>
          <w:p>
            <w:pPr>
              <w:pStyle w:val="Compact"/>
            </w:pPr>
            <w:r>
              <w:t xml:space="preserve">3. Litiges et remboursements</w:t>
            </w:r>
          </w:p>
        </w:tc>
        <w:tc>
          <w:tcPr/>
          <w:p>
            <w:pPr>
              <w:pStyle w:val="Compact"/>
            </w:pPr>
            <w:r>
              <w:t xml:space="preserve">Signaler un problème, gel des fonds, examen, décisions possibles, délais</w:t>
            </w:r>
          </w:p>
        </w:tc>
        <w:tc>
          <w:tcPr/>
          <w:p>
            <w:pPr>
              <w:pStyle w:val="Compact"/>
            </w:pPr>
            <w:r>
              <w:t xml:space="preserve">Tout utilisateur</w:t>
            </w:r>
          </w:p>
        </w:tc>
        <w:tc>
          <w:tcPr/>
          <w:p>
            <w:pPr>
              <w:pStyle w:val="Compact"/>
            </w:pPr>
            <w:r>
              <w:t xml:space="preserve">À l'inscription ; rappel à l'ouverture d'un litige</w:t>
            </w:r>
          </w:p>
        </w:tc>
      </w:tr>
      <w:tr>
        <w:tc>
          <w:tcPr/>
          <w:p>
            <w:pPr>
              <w:pStyle w:val="Compact"/>
            </w:pPr>
            <w:r>
              <w:t xml:space="preserve">4. Conditions particulières des prestataires</w:t>
            </w:r>
          </w:p>
        </w:tc>
        <w:tc>
          <w:tcPr/>
          <w:p>
            <w:pPr>
              <w:pStyle w:val="Compact"/>
            </w:pPr>
            <w:r>
              <w:t xml:space="preserve">Vérification d'identité, statut indépendant, obligations, devis, impôts</w:t>
            </w:r>
          </w:p>
        </w:tc>
        <w:tc>
          <w:tcPr/>
          <w:p>
            <w:pPr>
              <w:pStyle w:val="Compact"/>
            </w:pPr>
            <w:r>
              <w:t xml:space="preserve">Prestataires</w:t>
            </w:r>
          </w:p>
        </w:tc>
        <w:tc>
          <w:tcPr/>
          <w:p>
            <w:pPr>
              <w:pStyle w:val="Compact"/>
            </w:pPr>
            <w:r>
              <w:t xml:space="preserve">À l'inscription prestataire, avant la vérification</w:t>
            </w:r>
          </w:p>
        </w:tc>
      </w:tr>
      <w:tr>
        <w:tc>
          <w:tcPr/>
          <w:p>
            <w:pPr>
              <w:pStyle w:val="Compact"/>
            </w:pPr>
            <w:r>
              <w:t xml:space="preserve">5. Règles de conduite et sanctions</w:t>
            </w:r>
          </w:p>
        </w:tc>
        <w:tc>
          <w:tcPr/>
          <w:p>
            <w:pPr>
              <w:pStyle w:val="Compact"/>
            </w:pPr>
            <w:r>
              <w:t xml:space="preserve">Comportements interdits, contournement de la plateforme, suspension, clôture</w:t>
            </w:r>
          </w:p>
        </w:tc>
        <w:tc>
          <w:tcPr/>
          <w:p>
            <w:pPr>
              <w:pStyle w:val="Compact"/>
            </w:pPr>
            <w:r>
              <w:t xml:space="preserve">Tout utilisateur</w:t>
            </w:r>
          </w:p>
        </w:tc>
        <w:tc>
          <w:tcPr/>
          <w:p>
            <w:pPr>
              <w:pStyle w:val="Compact"/>
            </w:pPr>
            <w:r>
              <w:t xml:space="preserve">À l'inscription</w:t>
            </w:r>
          </w:p>
        </w:tc>
      </w:tr>
      <w:tr>
        <w:tc>
          <w:tcPr/>
          <w:p>
            <w:pPr>
              <w:pStyle w:val="Compact"/>
            </w:pPr>
            <w:r>
              <w:t xml:space="preserve">6. Politique de confidentialité</w:t>
            </w:r>
          </w:p>
        </w:tc>
        <w:tc>
          <w:tcPr/>
          <w:p>
            <w:pPr>
              <w:pStyle w:val="Compact"/>
            </w:pPr>
            <w:r>
              <w:t xml:space="preserve">Données collectées, finalités, destinataires (Telegram, Meta, FlexPaie), transferts hors RDC, conservation, droits</w:t>
            </w:r>
          </w:p>
        </w:tc>
        <w:tc>
          <w:tcPr/>
          <w:p>
            <w:pPr>
              <w:pStyle w:val="Compact"/>
            </w:pPr>
            <w:r>
              <w:t xml:space="preserve">Information de tout utilisateur ; consentements spécifiques recueillis à part</w:t>
            </w:r>
          </w:p>
        </w:tc>
        <w:tc>
          <w:tcPr/>
          <w:p>
            <w:pPr>
              <w:pStyle w:val="Compact"/>
            </w:pPr>
            <w:r>
              <w:t xml:space="preserve">Lien à l'inscription, toujours accessible dans le menu</w:t>
            </w:r>
          </w:p>
        </w:tc>
      </w:tr>
      <w:tr>
        <w:tc>
          <w:tcPr/>
          <w:p>
            <w:pPr>
              <w:pStyle w:val="Compact"/>
            </w:pPr>
            <w:r>
              <w:t xml:space="preserve">7. Textes courts dans WhatsApp et Telegram</w:t>
            </w:r>
          </w:p>
        </w:tc>
        <w:tc>
          <w:tcPr/>
          <w:p>
            <w:pPr>
              <w:pStyle w:val="Compact"/>
            </w:pPr>
            <w:r>
              <w:t xml:space="preserve">Les messages d'acceptation, de consentement et de rappel à afficher dans le bot</w:t>
            </w:r>
          </w:p>
        </w:tc>
        <w:tc>
          <w:tcPr/>
          <w:p>
            <w:pPr>
              <w:pStyle w:val="Compact"/>
            </w:pPr>
            <w:r>
              <w:t xml:space="preserve">Affichés aux utilisateurs</w:t>
            </w:r>
          </w:p>
        </w:tc>
        <w:tc>
          <w:tcPr/>
          <w:p>
            <w:pPr>
              <w:pStyle w:val="Compact"/>
            </w:pPr>
            <w:r>
              <w:t xml:space="preserve">Aux moments indiqués dans chaque texte</w:t>
            </w:r>
          </w:p>
        </w:tc>
      </w:tr>
    </w:tbl>
    <w:p>
      <w:pPr>
        <w:pStyle w:val="BodyText"/>
      </w:pPr>
      <w:r>
        <w:t xml:space="preserve">L'onglet</w:t>
      </w:r>
      <w:r>
        <w:t xml:space="preserve"> </w:t>
      </w:r>
      <w:r>
        <w:rPr>
          <w:b/>
          <w:bCs/>
        </w:rPr>
        <w:t xml:space="preserve">Questions pour le juriste</w:t>
      </w:r>
      <w:r>
        <w:t xml:space="preserve"> </w:t>
      </w:r>
      <w:r>
        <w:t xml:space="preserve">regroupe tout ce qui doit être tranché avant publication, classé par urgence.</w:t>
      </w:r>
    </w:p>
    <w:bookmarkEnd w:id="11"/>
    <w:bookmarkStart w:id="19" w:name="vérifié-déduit-à-valider"/>
    <w:p>
      <w:pPr>
        <w:pStyle w:val="Heading2"/>
      </w:pPr>
      <w:r>
        <w:t xml:space="preserve">Vérifié, déduit, à valider</w:t>
      </w:r>
    </w:p>
    <w:p>
      <w:pPr>
        <w:pStyle w:val="FirstParagraph"/>
      </w:pPr>
      <w:r>
        <w:t xml:space="preserve">Aucun texte de loi n'a pu être lu au Journal officiel depuis ici : les références ci-dessous viennent de copies et d'articles publiés en ligne. « Lu dans le texte » signifie que l'article a été lu dans une copie du texte ; le juriste doit tout confirmer sur la version officielle en vigueur.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Référence</w:t>
            </w:r>
          </w:p>
        </w:tc>
        <w:tc>
          <w:tcPr/>
          <w:p>
            <w:pPr>
              <w:pStyle w:val="Compact"/>
            </w:pPr>
            <w:r>
              <w:t xml:space="preserve">Ce que les projets en tirent</w:t>
            </w:r>
          </w:p>
        </w:tc>
        <w:tc>
          <w:tcPr/>
          <w:p>
            <w:pPr>
              <w:pStyle w:val="Compact"/>
            </w:pPr>
            <w:r>
              <w:t xml:space="preserve">Niveau</w:t>
            </w:r>
          </w:p>
        </w:tc>
        <w:tc>
          <w:tcPr/>
          <w:p>
            <w:pPr>
              <w:pStyle w:val="Compact"/>
            </w:pPr>
            <w:r>
              <w:t xml:space="preserve">Source consultée</w:t>
            </w:r>
          </w:p>
        </w:tc>
      </w:tr>
      <w:tr>
        <w:tc>
          <w:tcPr/>
          <w:p>
            <w:pPr>
              <w:pStyle w:val="Compact"/>
            </w:pPr>
            <w:r>
              <w:t xml:space="preserve">Ordonnance-loi n° 23/010 du 13 mars 2023 portant Code du numérique, art. 52, 53, 55</w:t>
            </w:r>
          </w:p>
        </w:tc>
        <w:tc>
          <w:tcPr/>
          <w:p>
            <w:pPr>
              <w:pStyle w:val="Compact"/>
            </w:pPr>
            <w:r>
              <w:t xml:space="preserve">Informations obligatoires sur l'éditeur (identité, RCCM, NIF…) ; conditions mises à disposition ; contrat conclu quand le client accepte après avoir pu vérifier sa commande ; accusé de réception</w:t>
            </w:r>
          </w:p>
        </w:tc>
        <w:tc>
          <w:tcPr/>
          <w:p>
            <w:pPr>
              <w:pStyle w:val="Compact"/>
            </w:pPr>
            <w:r>
              <w:t xml:space="preserve">Lu dans le texte (copie en ligne)</w:t>
            </w:r>
          </w:p>
        </w:tc>
        <w:tc>
          <w:tcPr/>
          <w:p>
            <w:pPr>
              <w:pStyle w:val="Compact"/>
            </w:pPr>
            <w:hyperlink r:id="rId12">
              <w:r>
                <w:rPr>
                  <w:rStyle w:val="Hyperlink"/>
                </w:rPr>
                <w:t xml:space="preserve">Code du numérique, copie droitnumerique.cd</w:t>
              </w:r>
            </w:hyperlink>
          </w:p>
        </w:tc>
      </w:tr>
      <w:tr>
        <w:tc>
          <w:tcPr/>
          <w:p>
            <w:pPr>
              <w:pStyle w:val="Compact"/>
            </w:pPr>
            <w:r>
              <w:t xml:space="preserve">Même code, art. 62 à 64</w:t>
            </w:r>
          </w:p>
        </w:tc>
        <w:tc>
          <w:tcPr/>
          <w:p>
            <w:pPr>
              <w:pStyle w:val="Compact"/>
            </w:pPr>
            <w:r>
              <w:t xml:space="preserve">Droit de rétractation de 72 heures, perdu quand le service a été fourni ; paiement proportionnel si le service est partiellement exécuté ; remboursement sous 72 heures</w:t>
            </w:r>
          </w:p>
        </w:tc>
        <w:tc>
          <w:tcPr/>
          <w:p>
            <w:pPr>
              <w:pStyle w:val="Compact"/>
            </w:pPr>
            <w:r>
              <w:t xml:space="preserve">Lu dans le texte ; application à Nexis à valider</w:t>
            </w:r>
          </w:p>
        </w:tc>
        <w:tc>
          <w:tcPr/>
          <w:p>
            <w:pPr>
              <w:pStyle w:val="Compact"/>
            </w:pPr>
            <w:r>
              <w:t xml:space="preserve">Même copie</w:t>
            </w:r>
          </w:p>
        </w:tc>
      </w:tr>
      <w:tr>
        <w:tc>
          <w:tcPr/>
          <w:p>
            <w:pPr>
              <w:pStyle w:val="Compact"/>
            </w:pPr>
            <w:r>
              <w:t xml:space="preserve">Même code, art. 13, 14, 17, 18</w:t>
            </w:r>
          </w:p>
        </w:tc>
        <w:tc>
          <w:tcPr/>
          <w:p>
            <w:pPr>
              <w:pStyle w:val="Compact"/>
            </w:pPr>
            <w:r>
              <w:t xml:space="preserve">Activités numériques soumises à autorisation, déclaration ou homologation ; déclaration des applications de startups auprès de l'Autorité de Régulation du Numérique</w:t>
            </w:r>
          </w:p>
        </w:tc>
        <w:tc>
          <w:tcPr/>
          <w:p>
            <w:pPr>
              <w:pStyle w:val="Compact"/>
            </w:pPr>
            <w:r>
              <w:t xml:space="preserve">Lu dans le texte ; le régime applicable à Nexis est à valider</w:t>
            </w:r>
          </w:p>
        </w:tc>
        <w:tc>
          <w:tcPr/>
          <w:p>
            <w:pPr>
              <w:pStyle w:val="Compact"/>
            </w:pPr>
            <w:r>
              <w:t xml:space="preserve">Même copie</w:t>
            </w:r>
          </w:p>
        </w:tc>
      </w:tr>
      <w:tr>
        <w:tc>
          <w:tcPr/>
          <w:p>
            <w:pPr>
              <w:pStyle w:val="Compact"/>
            </w:pPr>
            <w:r>
              <w:t xml:space="preserve">Même code, art. 2 (définitions)</w:t>
            </w:r>
          </w:p>
        </w:tc>
        <w:tc>
          <w:tcPr/>
          <w:p>
            <w:pPr>
              <w:pStyle w:val="Compact"/>
            </w:pPr>
            <w:r>
              <w:t xml:space="preserve">Consentement « exprès et non équivoque » ; données biométriques parmi les catégories particulières</w:t>
            </w:r>
          </w:p>
        </w:tc>
        <w:tc>
          <w:tcPr/>
          <w:p>
            <w:pPr>
              <w:pStyle w:val="Compact"/>
            </w:pPr>
            <w:r>
              <w:t xml:space="preserve">Lu dans le texte</w:t>
            </w:r>
          </w:p>
        </w:tc>
        <w:tc>
          <w:tcPr/>
          <w:p>
            <w:pPr>
              <w:pStyle w:val="Compact"/>
            </w:pPr>
            <w:r>
              <w:t xml:space="preserve">Même copie</w:t>
            </w:r>
          </w:p>
        </w:tc>
      </w:tr>
      <w:tr>
        <w:tc>
          <w:tcPr/>
          <w:p>
            <w:pPr>
              <w:pStyle w:val="Compact"/>
            </w:pPr>
            <w:r>
              <w:t xml:space="preserve">Même code, art. 201 et 202</w:t>
            </w:r>
          </w:p>
        </w:tc>
        <w:tc>
          <w:tcPr/>
          <w:p>
            <w:pPr>
              <w:pStyle w:val="Compact"/>
            </w:pPr>
            <w:r>
              <w:t xml:space="preserve">Transfert de données hors RDC seulement vers un pays à protection équivalente, ou avec le consentement explicite de la personne informée des risques, ou si le contrat l'exige</w:t>
            </w:r>
          </w:p>
        </w:tc>
        <w:tc>
          <w:tcPr/>
          <w:p>
            <w:pPr>
              <w:pStyle w:val="Compact"/>
            </w:pPr>
            <w:r>
              <w:t xml:space="preserve">Rapporté par un article spécialisé, non lu dans le texte</w:t>
            </w:r>
          </w:p>
        </w:tc>
        <w:tc>
          <w:tcPr/>
          <w:p>
            <w:pPr>
              <w:pStyle w:val="Compact"/>
            </w:pPr>
            <w:hyperlink r:id="rId13">
              <w:r>
                <w:rPr>
                  <w:rStyle w:val="Hyperlink"/>
                </w:rPr>
                <w:t xml:space="preserve">Le transfert des données personnelles hors de la RD Congo</w:t>
              </w:r>
            </w:hyperlink>
          </w:p>
        </w:tc>
      </w:tr>
      <w:tr>
        <w:tc>
          <w:tcPr/>
          <w:p>
            <w:pPr>
              <w:pStyle w:val="Compact"/>
            </w:pPr>
            <w:r>
              <w:t xml:space="preserve">Même code, art. 222</w:t>
            </w:r>
          </w:p>
        </w:tc>
        <w:tc>
          <w:tcPr/>
          <w:p>
            <w:pPr>
              <w:pStyle w:val="Compact"/>
            </w:pPr>
            <w:r>
              <w:t xml:space="preserve">Obligation de désigner un délégué à la protection des données, avec des exceptions pour petites entreprises sauf données particulières</w:t>
            </w:r>
          </w:p>
        </w:tc>
        <w:tc>
          <w:tcPr/>
          <w:p>
            <w:pPr>
              <w:pStyle w:val="Compact"/>
            </w:pPr>
            <w:r>
              <w:t xml:space="preserve">Rapporté par un article d'avocat, non lu dans le texte</w:t>
            </w:r>
          </w:p>
        </w:tc>
        <w:tc>
          <w:tcPr/>
          <w:p>
            <w:pPr>
              <w:pStyle w:val="Compact"/>
            </w:pPr>
            <w:hyperlink r:id="rId14">
              <w:r>
                <w:rPr>
                  <w:rStyle w:val="Hyperlink"/>
                </w:rPr>
                <w:t xml:space="preserve">Village de la Justice, 19 septembre 2023</w:t>
              </w:r>
            </w:hyperlink>
          </w:p>
        </w:tc>
      </w:tr>
      <w:tr>
        <w:tc>
          <w:tcPr/>
          <w:p>
            <w:pPr>
              <w:pStyle w:val="Compact"/>
            </w:pPr>
            <w:r>
              <w:t xml:space="preserve">Autorité de protection des données</w:t>
            </w:r>
          </w:p>
        </w:tc>
        <w:tc>
          <w:tcPr/>
          <w:p>
            <w:pPr>
              <w:pStyle w:val="Compact"/>
            </w:pPr>
            <w:r>
              <w:t xml:space="preserve">Pas encore créée en mars 2026 ; missions assurées provisoirement par l'ARPTC selon un auteur</w:t>
            </w:r>
          </w:p>
        </w:tc>
        <w:tc>
          <w:tcPr/>
          <w:p>
            <w:pPr>
              <w:pStyle w:val="Compact"/>
            </w:pPr>
            <w:r>
              <w:t xml:space="preserve">Rapporté par la presse, à valider</w:t>
            </w:r>
          </w:p>
        </w:tc>
        <w:tc>
          <w:tcPr/>
          <w:p>
            <w:pPr>
              <w:pStyle w:val="Compact"/>
            </w:pPr>
            <w:hyperlink r:id="rId15">
              <w:r>
                <w:rPr>
                  <w:rStyle w:val="Hyperlink"/>
                </w:rPr>
                <w:t xml:space="preserve">We Are Tech Africa, mars 2026</w:t>
              </w:r>
            </w:hyperlink>
          </w:p>
        </w:tc>
      </w:tr>
      <w:tr>
        <w:tc>
          <w:tcPr/>
          <w:p>
            <w:pPr>
              <w:pStyle w:val="Compact"/>
            </w:pPr>
            <w:r>
              <w:t xml:space="preserve">Loi n° 18/019 du 9 juillet 2018 relative aux systèmes de paiement et de règlement-titres</w:t>
            </w:r>
          </w:p>
        </w:tc>
        <w:tc>
          <w:tcPr/>
          <w:p>
            <w:pPr>
              <w:pStyle w:val="Compact"/>
            </w:pPr>
            <w:r>
              <w:t xml:space="preserve">Cadre des services de paiement : pertinente pour le séquestre et le wallet</w:t>
            </w:r>
          </w:p>
        </w:tc>
        <w:tc>
          <w:tcPr/>
          <w:p>
            <w:pPr>
              <w:pStyle w:val="Compact"/>
            </w:pPr>
            <w:r>
              <w:t xml:space="preserve">Référence confirmée ; contenu non lu</w:t>
            </w:r>
          </w:p>
        </w:tc>
        <w:tc>
          <w:tcPr/>
          <w:p>
            <w:pPr>
              <w:pStyle w:val="Compact"/>
            </w:pPr>
            <w:hyperlink r:id="rId16">
              <w:r>
                <w:rPr>
                  <w:rStyle w:val="Hyperlink"/>
                </w:rPr>
                <w:t xml:space="preserve">Lextenso, L'Essentiel droits africains, 2019</w:t>
              </w:r>
            </w:hyperlink>
          </w:p>
        </w:tc>
      </w:tr>
      <w:tr>
        <w:tc>
          <w:tcPr/>
          <w:p>
            <w:pPr>
              <w:pStyle w:val="Compact"/>
            </w:pPr>
            <w:r>
              <w:t xml:space="preserve">Loi n° 22/068 du 27 décembre 2022 (lutte contre le blanchiment)</w:t>
            </w:r>
          </w:p>
        </w:tc>
        <w:tc>
          <w:tcPr/>
          <w:p>
            <w:pPr>
              <w:pStyle w:val="Compact"/>
            </w:pPr>
            <w:r>
              <w:t xml:space="preserve">Possibles obligations d'identification et de conservation si Nexis est « assujetti »</w:t>
            </w:r>
          </w:p>
        </w:tc>
        <w:tc>
          <w:tcPr/>
          <w:p>
            <w:pPr>
              <w:pStyle w:val="Compact"/>
            </w:pPr>
            <w:r>
              <w:t xml:space="preserve">Référence confirmée ; assujettissement de Nexis non vérifié</w:t>
            </w:r>
          </w:p>
        </w:tc>
        <w:tc>
          <w:tcPr/>
          <w:p>
            <w:pPr>
              <w:pStyle w:val="Compact"/>
            </w:pPr>
            <w:hyperlink r:id="rId17">
              <w:r>
                <w:rPr>
                  <w:rStyle w:val="Hyperlink"/>
                </w:rPr>
                <w:t xml:space="preserve">Financial Afrik, octobre 2023</w:t>
              </w:r>
            </w:hyperlink>
          </w:p>
        </w:tc>
      </w:tr>
      <w:tr>
        <w:tc>
          <w:tcPr/>
          <w:p>
            <w:pPr>
              <w:pStyle w:val="Compact"/>
            </w:pPr>
            <w:r>
              <w:t xml:space="preserve">Acte uniforme OHADA relatif au droit comptable (2017)</w:t>
            </w:r>
          </w:p>
        </w:tc>
        <w:tc>
          <w:tcPr/>
          <w:p>
            <w:pPr>
              <w:pStyle w:val="Compact"/>
            </w:pPr>
            <w:r>
              <w:t xml:space="preserve">Livres comptables et pièces justificatives conservés 10 ans</w:t>
            </w:r>
          </w:p>
        </w:tc>
        <w:tc>
          <w:tcPr/>
          <w:p>
            <w:pPr>
              <w:pStyle w:val="Compact"/>
            </w:pPr>
            <w:r>
              <w:t xml:space="preserve">Rapporté par un résumé officiel ; article exact non lu</w:t>
            </w:r>
          </w:p>
        </w:tc>
        <w:tc>
          <w:tcPr/>
          <w:p>
            <w:pPr>
              <w:pStyle w:val="Compact"/>
            </w:pPr>
            <w:hyperlink r:id="rId18">
              <w:r>
                <w:rPr>
                  <w:rStyle w:val="Hyperlink"/>
                </w:rPr>
                <w:t xml:space="preserve">vie-publique.sn</w:t>
              </w:r>
            </w:hyperlink>
          </w:p>
        </w:tc>
      </w:tr>
    </w:tbl>
    <w:p>
      <w:pPr>
        <w:pStyle w:val="BodyText"/>
      </w:pPr>
      <w:r>
        <w:rPr>
          <w:b/>
          <w:bCs/>
        </w:rPr>
        <w:t xml:space="preserve">Non vérifié, donc absent des projets</w:t>
      </w:r>
      <w:r>
        <w:t xml:space="preserve"> </w:t>
      </w:r>
      <w:r>
        <w:t xml:space="preserve">: une loi générale de protection du consommateur en RDC, les instructions de la BCC sur la monnaie électronique et les établissements de paiement, et le texte de l'ARPTC sur la déclaration des traitements de données. Ce sont des questions pour le juriste.</w:t>
      </w:r>
    </w:p>
    <w:bookmarkEnd w:id="19"/>
    <w:bookmarkStart w:id="20" w:name="champs-à-compléter"/>
    <w:p>
      <w:pPr>
        <w:pStyle w:val="Heading2"/>
      </w:pPr>
      <w:r>
        <w:t xml:space="preserve">Champs à compléter</w:t>
      </w:r>
    </w:p>
    <w:p>
      <w:pPr>
        <w:pStyle w:val="FirstParagraph"/>
      </w:pPr>
      <w:r>
        <w:t xml:space="preserve">Ces informations manquent dans tous les documents. Chacune se remplit une seule fois, puis partout à l'identique.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Champ</w:t>
            </w:r>
          </w:p>
        </w:tc>
        <w:tc>
          <w:tcPr/>
          <w:p>
            <w:pPr>
              <w:pStyle w:val="Compact"/>
            </w:pPr>
            <w:r>
              <w:t xml:space="preserve">Où l'obtenir</w:t>
            </w:r>
          </w:p>
        </w:tc>
        <w:tc>
          <w:tcPr/>
          <w:p>
            <w:pPr>
              <w:pStyle w:val="Compact"/>
            </w:pPr>
            <w:r>
              <w:t xml:space="preserve">Dépend de</w:t>
            </w:r>
          </w:p>
        </w:tc>
      </w:tr>
      <w:tr>
        <w:tc>
          <w:tcPr/>
          <w:p>
            <w:pPr>
              <w:pStyle w:val="Compact"/>
            </w:pPr>
            <w:r>
              <w:t xml:space="preserve">Raison sociale et forme (Ets ou SARL)</w:t>
            </w:r>
          </w:p>
        </w:tc>
        <w:tc>
          <w:tcPr/>
          <w:p>
            <w:pPr>
              <w:pStyle w:val="Compact"/>
            </w:pPr>
            <w:r>
              <w:t xml:space="preserve">Statuts, GUCE</w:t>
            </w:r>
          </w:p>
        </w:tc>
        <w:tc>
          <w:tcPr/>
          <w:p>
            <w:pPr>
              <w:pStyle w:val="Compact"/>
            </w:pPr>
            <w:r>
              <w:t xml:space="preserve">Avis du juriste sur le séquestre</w:t>
            </w:r>
          </w:p>
        </w:tc>
      </w:tr>
      <w:tr>
        <w:tc>
          <w:tcPr/>
          <w:p>
            <w:pPr>
              <w:pStyle w:val="Compact"/>
            </w:pPr>
            <w:r>
              <w:t xml:space="preserve">RCCM, IDNAT, NIF de l'entreprise</w:t>
            </w:r>
          </w:p>
        </w:tc>
        <w:tc>
          <w:tcPr/>
          <w:p>
            <w:pPr>
              <w:pStyle w:val="Compact"/>
            </w:pPr>
            <w:r>
              <w:t xml:space="preserve">GUCE</w:t>
            </w:r>
          </w:p>
        </w:tc>
        <w:tc>
          <w:tcPr/>
          <w:p>
            <w:pPr>
              <w:pStyle w:val="Compact"/>
            </w:pPr>
            <w:r>
              <w:t xml:space="preserve">Création de l'entreprise</w:t>
            </w:r>
          </w:p>
        </w:tc>
      </w:tr>
      <w:tr>
        <w:tc>
          <w:tcPr/>
          <w:p>
            <w:pPr>
              <w:pStyle w:val="Compact"/>
            </w:pPr>
            <w:r>
              <w:t xml:space="preserve">Siège social à Kinshasa</w:t>
            </w:r>
          </w:p>
        </w:tc>
        <w:tc>
          <w:tcPr/>
          <w:p>
            <w:pPr>
              <w:pStyle w:val="Compact"/>
            </w:pPr>
            <w:r>
              <w:t xml:space="preserve">Statuts</w:t>
            </w:r>
          </w:p>
        </w:tc>
        <w:tc>
          <w:tcPr/>
          <w:p>
            <w:pPr>
              <w:pStyle w:val="Compact"/>
            </w:pPr>
            <w:r>
              <w:t xml:space="preserve">Choix du local</w:t>
            </w:r>
          </w:p>
        </w:tc>
      </w:tr>
      <w:tr>
        <w:tc>
          <w:tcPr/>
          <w:p>
            <w:pPr>
              <w:pStyle w:val="Compact"/>
            </w:pPr>
            <w:r>
              <w:t xml:space="preserve">Représentant légal (nom, qualité)</w:t>
            </w:r>
          </w:p>
        </w:tc>
        <w:tc>
          <w:tcPr/>
          <w:p>
            <w:pPr>
              <w:pStyle w:val="Compact"/>
            </w:pPr>
            <w:r>
              <w:t xml:space="preserve">Statuts</w:t>
            </w:r>
          </w:p>
        </w:tc>
        <w:tc>
          <w:tcPr/>
          <w:p>
            <w:pPr>
              <w:pStyle w:val="Compact"/>
            </w:pPr>
            <w:r>
              <w:t xml:space="preserve">Forme de l'entreprise</w:t>
            </w:r>
          </w:p>
        </w:tc>
      </w:tr>
      <w:tr>
        <w:tc>
          <w:tcPr/>
          <w:p>
            <w:pPr>
              <w:pStyle w:val="Compact"/>
            </w:pPr>
            <w:r>
              <w:t xml:space="preserve">Numéro d'autorisation ou de déclaration (Code du numérique, BCC)</w:t>
            </w:r>
          </w:p>
        </w:tc>
        <w:tc>
          <w:tcPr/>
          <w:p>
            <w:pPr>
              <w:pStyle w:val="Compact"/>
            </w:pPr>
            <w:r>
              <w:t xml:space="preserve">Autorité concernée</w:t>
            </w:r>
          </w:p>
        </w:tc>
        <w:tc>
          <w:tcPr/>
          <w:p>
            <w:pPr>
              <w:pStyle w:val="Compact"/>
            </w:pPr>
            <w:r>
              <w:t xml:space="preserve">Avis du juriste</w:t>
            </w:r>
          </w:p>
        </w:tc>
      </w:tr>
      <w:tr>
        <w:tc>
          <w:tcPr/>
          <w:p>
            <w:pPr>
              <w:pStyle w:val="Compact"/>
            </w:pPr>
            <w:r>
              <w:t xml:space="preserve">Adresse e-mail de contact et de réclamation</w:t>
            </w:r>
          </w:p>
        </w:tc>
        <w:tc>
          <w:tcPr/>
          <w:p>
            <w:pPr>
              <w:pStyle w:val="Compact"/>
            </w:pPr>
            <w:r>
              <w:t xml:space="preserve">À créer au nom de l'entreprise</w:t>
            </w:r>
          </w:p>
        </w:tc>
        <w:tc>
          <w:tcPr/>
          <w:p>
            <w:pPr>
              <w:pStyle w:val="Compact"/>
            </w:pPr>
            <w:r>
              <w:t xml:space="preserve">Rien</w:t>
            </w:r>
          </w:p>
        </w:tc>
      </w:tr>
      <w:tr>
        <w:tc>
          <w:tcPr/>
          <w:p>
            <w:pPr>
              <w:pStyle w:val="Compact"/>
            </w:pPr>
            <w:r>
              <w:t xml:space="preserve">Numéro du support</w:t>
            </w:r>
          </w:p>
        </w:tc>
        <w:tc>
          <w:tcPr/>
          <w:p>
            <w:pPr>
              <w:pStyle w:val="Compact"/>
            </w:pPr>
            <w:r>
              <w:t xml:space="preserve">Aujourd'hui +243 852 638 209 dans le bot, à confirmer comme numéro officiel</w:t>
            </w:r>
          </w:p>
        </w:tc>
        <w:tc>
          <w:tcPr/>
          <w:p>
            <w:pPr>
              <w:pStyle w:val="Compact"/>
            </w:pPr>
            <w:r>
              <w:t xml:space="preserve">Décision de Ben</w:t>
            </w:r>
          </w:p>
        </w:tc>
      </w:tr>
      <w:tr>
        <w:tc>
          <w:tcPr/>
          <w:p>
            <w:pPr>
              <w:pStyle w:val="Compact"/>
            </w:pPr>
            <w:r>
              <w:t xml:space="preserve">Hébergeur des serveurs et pays</w:t>
            </w:r>
          </w:p>
        </w:tc>
        <w:tc>
          <w:tcPr/>
          <w:p>
            <w:pPr>
              <w:pStyle w:val="Compact"/>
            </w:pPr>
            <w:r>
              <w:t xml:space="preserve">Choix de l'hébergement, pas encore fait</w:t>
            </w:r>
          </w:p>
        </w:tc>
        <w:tc>
          <w:tcPr/>
          <w:p>
            <w:pPr>
              <w:pStyle w:val="Compact"/>
            </w:pPr>
            <w:r>
              <w:t xml:space="preserve">Chantier hébergement</w:t>
            </w:r>
          </w:p>
        </w:tc>
      </w:tr>
      <w:tr>
        <w:tc>
          <w:tcPr/>
          <w:p>
            <w:pPr>
              <w:pStyle w:val="Compact"/>
            </w:pPr>
            <w:r>
              <w:t xml:space="preserve">Frais de retrait et montant minimum de retrait</w:t>
            </w:r>
          </w:p>
        </w:tc>
        <w:tc>
          <w:tcPr/>
          <w:p>
            <w:pPr>
              <w:pStyle w:val="Compact"/>
            </w:pPr>
            <w:r>
              <w:t xml:space="preserve">Tarifs PayOut de FlexPaie, pas encore reçus</w:t>
            </w:r>
          </w:p>
        </w:tc>
        <w:tc>
          <w:tcPr/>
          <w:p>
            <w:pPr>
              <w:pStyle w:val="Compact"/>
            </w:pPr>
            <w:r>
              <w:t xml:space="preserve">Relance FlexPaie du 3 octobre 2026</w:t>
            </w:r>
          </w:p>
        </w:tc>
      </w:tr>
      <w:tr>
        <w:tc>
          <w:tcPr/>
          <w:p>
            <w:pPr>
              <w:pStyle w:val="Compact"/>
            </w:pPr>
            <w:r>
              <w:t xml:space="preserve">Plafond des retraits automatiques</w:t>
            </w:r>
          </w:p>
        </w:tc>
        <w:tc>
          <w:tcPr/>
          <w:p>
            <w:pPr>
              <w:pStyle w:val="Compact"/>
            </w:pPr>
            <w:r>
              <w:t xml:space="preserve">Décision de Ben, après la période de validation manuelle</w:t>
            </w:r>
          </w:p>
        </w:tc>
        <w:tc>
          <w:tcPr/>
          <w:p>
            <w:pPr>
              <w:pStyle w:val="Compact"/>
            </w:pPr>
            <w:r>
              <w:t xml:space="preserve">Exploitation</w:t>
            </w:r>
          </w:p>
        </w:tc>
      </w:tr>
      <w:tr>
        <w:tc>
          <w:tcPr/>
          <w:p>
            <w:pPr>
              <w:pStyle w:val="Compact"/>
            </w:pPr>
            <w:r>
              <w:t xml:space="preserve">Durée de conservation des données d'argent</w:t>
            </w:r>
          </w:p>
        </w:tc>
        <w:tc>
          <w:tcPr/>
          <w:p>
            <w:pPr>
              <w:pStyle w:val="Compact"/>
            </w:pPr>
            <w:r>
              <w:t xml:space="preserve">Juriste (10 ans en comptabilité OHADA, à confirmer pour Nexis)</w:t>
            </w:r>
          </w:p>
        </w:tc>
        <w:tc>
          <w:tcPr/>
          <w:p>
            <w:pPr>
              <w:pStyle w:val="Compact"/>
            </w:pPr>
            <w:r>
              <w:t xml:space="preserve">Avis du juriste</w:t>
            </w:r>
          </w:p>
        </w:tc>
      </w:tr>
      <w:tr>
        <w:tc>
          <w:tcPr/>
          <w:p>
            <w:pPr>
              <w:pStyle w:val="Compact"/>
            </w:pPr>
            <w:r>
              <w:t xml:space="preserve">Délégué à la protection des données</w:t>
            </w:r>
          </w:p>
        </w:tc>
        <w:tc>
          <w:tcPr/>
          <w:p>
            <w:pPr>
              <w:pStyle w:val="Compact"/>
            </w:pPr>
            <w:r>
              <w:t xml:space="preserve">Ben ou une personne désignée</w:t>
            </w:r>
          </w:p>
        </w:tc>
        <w:tc>
          <w:tcPr/>
          <w:p>
            <w:pPr>
              <w:pStyle w:val="Compact"/>
            </w:pPr>
            <w:r>
              <w:t xml:space="preserve">Art. 222 du Code du numérique, à confirmer</w:t>
            </w:r>
          </w:p>
        </w:tc>
      </w:tr>
      <w:tr>
        <w:tc>
          <w:tcPr/>
          <w:p>
            <w:pPr>
              <w:pStyle w:val="Compact"/>
            </w:pPr>
            <w:r>
              <w:t xml:space="preserve">Juridiction compétente et médiation éventuelle</w:t>
            </w:r>
          </w:p>
        </w:tc>
        <w:tc>
          <w:tcPr/>
          <w:p>
            <w:pPr>
              <w:pStyle w:val="Compact"/>
            </w:pPr>
            <w:r>
              <w:t xml:space="preserve">Juriste</w:t>
            </w:r>
          </w:p>
        </w:tc>
        <w:tc>
          <w:tcPr/>
          <w:p>
            <w:pPr>
              <w:pStyle w:val="Compact"/>
            </w:pPr>
            <w:r>
              <w:t xml:space="preserve">Avis du juriste</w:t>
            </w:r>
          </w:p>
        </w:tc>
      </w:tr>
    </w:tbl>
    <w:p>
      <w:r>
        <w:br w:type="page"/>
      </w:r>
    </w:p>
    <w:bookmarkEnd w:id="20"/>
    <w:bookmarkEnd w:id="21"/>
    <w:bookmarkStart w:id="38" w:name="conditions-générales-dutilisation"/>
    <w:p>
      <w:pPr>
        <w:pStyle w:val="Heading1"/>
      </w:pPr>
      <w:r>
        <w:t xml:space="preserve">Conditions générales d'utilisation</w:t>
      </w:r>
    </w:p>
    <w:p>
      <w:pPr>
        <w:pStyle w:val="FirstParagraph"/>
      </w:pPr>
      <w:r>
        <w:t xml:space="preserve">Projet du 3 octobre 2026, à faire valider par un juriste. Version : [À COMPLÉTER : numéro et date d'entrée en vigueur].</w:t>
      </w:r>
    </w:p>
    <w:bookmarkStart w:id="22" w:name="article-1-qui-édite-nexis-hub"/>
    <w:p>
      <w:pPr>
        <w:pStyle w:val="Heading2"/>
      </w:pPr>
      <w:r>
        <w:t xml:space="preserve">Article 1. Qui édite Nexis Hub</w:t>
      </w:r>
    </w:p>
    <w:p>
      <w:pPr>
        <w:pStyle w:val="FirstParagraph"/>
      </w:pPr>
      <w:r>
        <w:t xml:space="preserve">Nexis Hub est édité par [À COMPLÉTER : raison sociale], [À COMPLÉTER : forme juridique, Ets ou SARL au capital de …], immatriculée au RCCM sous le n° [À COMPLÉTER], IDNAT [À COMPLÉTER], NIF [À COMPLÉTER], dont le siège est à [À COMPLÉTER : adresse, Kinshasa], représentée par [À COMPLÉTER : nom et qualité] (ci-après « Nexis Hub » ou « nous »).</w:t>
      </w:r>
    </w:p>
    <w:p>
      <w:pPr>
        <w:pStyle w:val="BodyText"/>
      </w:pPr>
      <w:r>
        <w:t xml:space="preserve">Contact : [À COMPLÉTER : e-mail], téléphone [À COMPLÉTER : numéro officiel du support]. [À COMPLÉTER : autorisation ou déclaration obtenue, autorité et numéro, si le juriste confirme qu'elle est requise.]</w:t>
      </w:r>
    </w:p>
    <w:p>
      <w:pPr>
        <w:pStyle w:val="BlockText"/>
      </w:pPr>
      <w:r>
        <w:t xml:space="preserve">Pour le juriste : le Code du numérique (art. 52) impose un accès permanent à ces informations. Elles seront affichées dans le menu « À propos » du bot.</w:t>
      </w:r>
    </w:p>
    <w:bookmarkEnd w:id="22"/>
    <w:bookmarkStart w:id="23" w:name="article-2-ce-que-fait-nexis-hub"/>
    <w:p>
      <w:pPr>
        <w:pStyle w:val="Heading2"/>
      </w:pPr>
      <w:r>
        <w:t xml:space="preserve">Article 2. Ce que fait Nexis Hub</w:t>
      </w:r>
    </w:p>
    <w:p>
      <w:pPr>
        <w:pStyle w:val="FirstParagraph"/>
      </w:pPr>
      <w:r>
        <w:t xml:space="preserve">Nexis Hub est une plateforme qui met en relation des personnes qui ont besoin d'un service (les</w:t>
      </w:r>
      <w:r>
        <w:t xml:space="preserve"> </w:t>
      </w:r>
      <w:r>
        <w:rPr>
          <w:b/>
          <w:bCs/>
        </w:rPr>
        <w:t xml:space="preserve">clients</w:t>
      </w:r>
      <w:r>
        <w:t xml:space="preserve">) avec des personnes qui le réalisent (les</w:t>
      </w:r>
      <w:r>
        <w:t xml:space="preserve"> </w:t>
      </w:r>
      <w:r>
        <w:rPr>
          <w:b/>
          <w:bCs/>
        </w:rPr>
        <w:t xml:space="preserve">prestataires</w:t>
      </w:r>
      <w:r>
        <w:t xml:space="preserve">), à Kinshasa. Nexis Hub :</w:t>
      </w:r>
    </w:p>
    <w:p>
      <w:pPr>
        <w:pStyle w:val="Compact"/>
        <w:numPr>
          <w:ilvl w:val="0"/>
          <w:numId w:val="1002"/>
        </w:numPr>
      </w:pPr>
      <w:r>
        <w:t xml:space="preserve">transmet la demande du client aux prestataires disponibles pour ce service et cette commune ;</w:t>
      </w:r>
    </w:p>
    <w:p>
      <w:pPr>
        <w:pStyle w:val="Compact"/>
        <w:numPr>
          <w:ilvl w:val="0"/>
          <w:numId w:val="1002"/>
        </w:numPr>
      </w:pPr>
      <w:r>
        <w:t xml:space="preserve">transmet les devis des prestataires au client ;</w:t>
      </w:r>
    </w:p>
    <w:p>
      <w:pPr>
        <w:pStyle w:val="Compact"/>
        <w:numPr>
          <w:ilvl w:val="0"/>
          <w:numId w:val="1002"/>
        </w:numPr>
      </w:pPr>
      <w:r>
        <w:t xml:space="preserve">encaisse le paiement du devis accepté et le garde bloqué jusqu'à la fin de la mission (le</w:t>
      </w:r>
      <w:r>
        <w:t xml:space="preserve"> </w:t>
      </w:r>
      <w:r>
        <w:rPr>
          <w:b/>
          <w:bCs/>
        </w:rPr>
        <w:t xml:space="preserve">séquestre</w:t>
      </w:r>
      <w:r>
        <w:t xml:space="preserve">), selon les Conditions de paiement ;</w:t>
      </w:r>
    </w:p>
    <w:p>
      <w:pPr>
        <w:pStyle w:val="Compact"/>
        <w:numPr>
          <w:ilvl w:val="0"/>
          <w:numId w:val="1002"/>
        </w:numPr>
      </w:pPr>
      <w:r>
        <w:t xml:space="preserve">verse au prestataire le montant dû, commission déduite, ou rembourse le client selon les règles des Litiges.</w:t>
      </w:r>
    </w:p>
    <w:p>
      <w:pPr>
        <w:pStyle w:val="FirstParagraph"/>
      </w:pPr>
      <w:r>
        <w:t xml:space="preserve">Nexis Hub</w:t>
      </w:r>
      <w:r>
        <w:t xml:space="preserve"> </w:t>
      </w:r>
      <w:r>
        <w:rPr>
          <w:b/>
          <w:bCs/>
        </w:rPr>
        <w:t xml:space="preserve">n'exécute pas</w:t>
      </w:r>
      <w:r>
        <w:t xml:space="preserve"> </w:t>
      </w:r>
      <w:r>
        <w:t xml:space="preserve">les prestations. Le contrat de prestation est conclu entre le client et le prestataire. Nexis Hub n'est ni l'employeur ni le mandataire du prestataire.</w:t>
      </w:r>
    </w:p>
    <w:p>
      <w:pPr>
        <w:pStyle w:val="BlockText"/>
      </w:pPr>
      <w:r>
        <w:t xml:space="preserve">Pour le juriste : à confirmer que ce rôle d'intermédiaire est compatible avec la garde des fonds (séquestre) et avec le message « Garantie NEXIS HUB » utilisé dans le bot. Le mot « garantie » ne doit pas laisser croire à une assurance ou à une garantie de résultat : voir article 9.</w:t>
      </w:r>
    </w:p>
    <w:bookmarkEnd w:id="23"/>
    <w:bookmarkStart w:id="24" w:name="X8ad004f88b1f4c1bb663ff406955e41182cfadf"/>
    <w:p>
      <w:pPr>
        <w:pStyle w:val="Heading2"/>
      </w:pPr>
      <w:r>
        <w:t xml:space="preserve">Article 3. Documents qui forment le contrat</w:t>
      </w:r>
    </w:p>
    <w:p>
      <w:pPr>
        <w:pStyle w:val="FirstParagraph"/>
      </w:pPr>
      <w:r>
        <w:t xml:space="preserve">En utilisant Nexis Hub, vous acceptez :</w:t>
      </w:r>
    </w:p>
    <w:p>
      <w:pPr>
        <w:pStyle w:val="Compact"/>
        <w:numPr>
          <w:ilvl w:val="0"/>
          <w:numId w:val="1003"/>
        </w:numPr>
      </w:pPr>
      <w:r>
        <w:t xml:space="preserve">les présentes Conditions générales ;</w:t>
      </w:r>
    </w:p>
    <w:p>
      <w:pPr>
        <w:pStyle w:val="Compact"/>
        <w:numPr>
          <w:ilvl w:val="0"/>
          <w:numId w:val="1003"/>
        </w:numPr>
      </w:pPr>
      <w:r>
        <w:t xml:space="preserve">les Conditions de paiement, séquestre, wallet et retraits ;</w:t>
      </w:r>
    </w:p>
    <w:p>
      <w:pPr>
        <w:pStyle w:val="Compact"/>
        <w:numPr>
          <w:ilvl w:val="0"/>
          <w:numId w:val="1003"/>
        </w:numPr>
      </w:pPr>
      <w:r>
        <w:t xml:space="preserve">le Règlement des litiges et remboursements ;</w:t>
      </w:r>
    </w:p>
    <w:p>
      <w:pPr>
        <w:pStyle w:val="Compact"/>
        <w:numPr>
          <w:ilvl w:val="0"/>
          <w:numId w:val="1003"/>
        </w:numPr>
      </w:pPr>
      <w:r>
        <w:t xml:space="preserve">les Règles de conduite ;</w:t>
      </w:r>
    </w:p>
    <w:p>
      <w:pPr>
        <w:pStyle w:val="Compact"/>
        <w:numPr>
          <w:ilvl w:val="0"/>
          <w:numId w:val="1003"/>
        </w:numPr>
      </w:pPr>
      <w:r>
        <w:t xml:space="preserve">pour les prestataires, les Conditions particulières des prestataires.</w:t>
      </w:r>
    </w:p>
    <w:p>
      <w:pPr>
        <w:pStyle w:val="FirstParagraph"/>
      </w:pPr>
      <w:r>
        <w:t xml:space="preserve">En cas de contradiction, le document le plus spécifique l'emporte (par exemple les Conditions de paiement pour une question d'argent). La Politique de confidentialité vous informe sur vos données personnelles.</w:t>
      </w:r>
    </w:p>
    <w:bookmarkEnd w:id="24"/>
    <w:bookmarkStart w:id="25" w:name="article-4-comment-vous-acceptez"/>
    <w:p>
      <w:pPr>
        <w:pStyle w:val="Heading2"/>
      </w:pPr>
      <w:r>
        <w:t xml:space="preserve">Article 4. Comment vous acceptez</w:t>
      </w:r>
    </w:p>
    <w:p>
      <w:pPr>
        <w:pStyle w:val="FirstParagraph"/>
      </w:pPr>
      <w:r>
        <w:t xml:space="preserve">Vous acceptez ces conditions en appuyant sur le bouton « J'accepte » affiché dans Telegram, WhatsApp ou la Mini App, après avoir eu accès à leur texte complet. Sans acceptation, vous ne pouvez pas créer de demande, envoyer de devis, payer ni retirer.</w:t>
      </w:r>
    </w:p>
    <w:p>
      <w:pPr>
        <w:pStyle w:val="BodyText"/>
      </w:pPr>
      <w:r>
        <w:t xml:space="preserve">Nexis Hub enregistre la version acceptée, la date, l'heure et le canal utilisé. Vous pouvez relire à tout moment la version en vigueur depuis le menu.</w:t>
      </w:r>
    </w:p>
    <w:p>
      <w:pPr>
        <w:pStyle w:val="BodyText"/>
      </w:pPr>
      <w:r>
        <w:t xml:space="preserve">Vous devez être majeur [À COMPLÉTER : âge de la majorité civile retenu par le juriste, 18 ans en RDC selon notre compréhension] et capable de contracter.</w:t>
      </w:r>
    </w:p>
    <w:bookmarkEnd w:id="25"/>
    <w:bookmarkStart w:id="26" w:name="article-5-votre-compte-nexis"/>
    <w:p>
      <w:pPr>
        <w:pStyle w:val="Heading2"/>
      </w:pPr>
      <w:r>
        <w:t xml:space="preserve">Article 5. Votre compte Nexis</w:t>
      </w:r>
    </w:p>
    <w:p>
      <w:pPr>
        <w:pStyle w:val="Compact"/>
        <w:numPr>
          <w:ilvl w:val="0"/>
          <w:numId w:val="1004"/>
        </w:numPr>
      </w:pPr>
      <w:r>
        <w:rPr>
          <w:b/>
          <w:bCs/>
        </w:rPr>
        <w:t xml:space="preserve">Un compte par personne.</w:t>
      </w:r>
      <w:r>
        <w:t xml:space="preserve"> </w:t>
      </w:r>
      <w:r>
        <w:t xml:space="preserve">Un compte Nexis appartient à une seule personne physique [ou morale, À COMPLÉTER si les entreprises clientes sont admises]. Il peut être utilisé comme client, comme prestataire, ou les deux, avec</w:t>
      </w:r>
      <w:r>
        <w:t xml:space="preserve"> </w:t>
      </w:r>
      <w:r>
        <w:rPr>
          <w:b/>
          <w:bCs/>
        </w:rPr>
        <w:t xml:space="preserve">un seul wallet</w:t>
      </w:r>
      <w:r>
        <w:t xml:space="preserve">.</w:t>
      </w:r>
    </w:p>
    <w:p>
      <w:pPr>
        <w:pStyle w:val="Compact"/>
        <w:numPr>
          <w:ilvl w:val="0"/>
          <w:numId w:val="1004"/>
        </w:numPr>
      </w:pPr>
      <w:r>
        <w:rPr>
          <w:b/>
          <w:bCs/>
        </w:rPr>
        <w:t xml:space="preserve">Canaux.</w:t>
      </w:r>
      <w:r>
        <w:t xml:space="preserve"> </w:t>
      </w:r>
      <w:r>
        <w:t xml:space="preserve">Un client peut utiliser Telegram ou WhatsApp, ou relier les deux au même compte. Un prestataire agit comme prestataire uniquement depuis Telegram, la Mini App ou la future application Nexis, jamais depuis WhatsApp. Il peut en revanche commander comme client depuis WhatsApp.</w:t>
      </w:r>
    </w:p>
    <w:p>
      <w:pPr>
        <w:pStyle w:val="Compact"/>
        <w:numPr>
          <w:ilvl w:val="0"/>
          <w:numId w:val="1004"/>
        </w:numPr>
      </w:pPr>
      <w:r>
        <w:rPr>
          <w:b/>
          <w:bCs/>
        </w:rPr>
        <w:t xml:space="preserve">Numéro de téléphone.</w:t>
      </w:r>
      <w:r>
        <w:t xml:space="preserve"> </w:t>
      </w:r>
      <w:r>
        <w:t xml:space="preserve">Votre numéro est vérifié par WhatsApp ou par le bouton « Partager mon numéro » de Telegram. Un numéro tapé à la main n'est pas considéré comme vérifié.</w:t>
      </w:r>
    </w:p>
    <w:p>
      <w:pPr>
        <w:pStyle w:val="Compact"/>
        <w:numPr>
          <w:ilvl w:val="0"/>
          <w:numId w:val="1004"/>
        </w:numPr>
      </w:pPr>
      <w:r>
        <w:rPr>
          <w:b/>
          <w:bCs/>
        </w:rPr>
        <w:t xml:space="preserve">Lier deux canaux.</w:t>
      </w:r>
      <w:r>
        <w:t xml:space="preserve"> </w:t>
      </w:r>
      <w:r>
        <w:t xml:space="preserve">La liaison se fait par un code à usage unique envoyé sur l'autre canal. Le numéro de téléphone seul ne suffit jamais, parce que les opérateurs réattribuent les numéros inactifs.</w:t>
      </w:r>
    </w:p>
    <w:p>
      <w:pPr>
        <w:pStyle w:val="Compact"/>
        <w:numPr>
          <w:ilvl w:val="0"/>
          <w:numId w:val="1004"/>
        </w:numPr>
      </w:pPr>
      <w:r>
        <w:rPr>
          <w:b/>
          <w:bCs/>
        </w:rPr>
        <w:t xml:space="preserve">Sécurité.</w:t>
      </w:r>
      <w:r>
        <w:t xml:space="preserve"> </w:t>
      </w:r>
      <w:r>
        <w:t xml:space="preserve">Vous êtes responsable de l'accès à votre téléphone et à vos comptes Telegram et WhatsApp. Ne communiquez jamais un code de liaison. Signalez sans délai au support la perte de votre téléphone ou de votre carte SIM.</w:t>
      </w:r>
    </w:p>
    <w:p>
      <w:pPr>
        <w:pStyle w:val="Compact"/>
        <w:numPr>
          <w:ilvl w:val="0"/>
          <w:numId w:val="1004"/>
        </w:numPr>
      </w:pPr>
      <w:r>
        <w:rPr>
          <w:b/>
          <w:bCs/>
        </w:rPr>
        <w:t xml:space="preserve">Récupération.</w:t>
      </w:r>
      <w:r>
        <w:t xml:space="preserve"> </w:t>
      </w:r>
      <w:r>
        <w:t xml:space="preserve">Si vous perdez l'accès à tous vos canaux, Nexis Hub peut rattacher votre compte à un nouveau canal après une procédure de vérification. Pendant un délai de sécurité de 72 heures, aucun retrait ni paiement par wallet n'est possible sur ce compte.</w:t>
      </w:r>
    </w:p>
    <w:p>
      <w:pPr>
        <w:pStyle w:val="Compact"/>
        <w:numPr>
          <w:ilvl w:val="0"/>
          <w:numId w:val="1004"/>
        </w:numPr>
      </w:pPr>
      <w:r>
        <w:rPr>
          <w:b/>
          <w:bCs/>
        </w:rPr>
        <w:t xml:space="preserve">Exactitude.</w:t>
      </w:r>
      <w:r>
        <w:t xml:space="preserve"> </w:t>
      </w:r>
      <w:r>
        <w:t xml:space="preserve">Les informations que vous donnez doivent être exactes et à jour.</w:t>
      </w:r>
    </w:p>
    <w:bookmarkEnd w:id="26"/>
    <w:bookmarkStart w:id="27" w:name="article-6-demandes-devis-et-missions"/>
    <w:p>
      <w:pPr>
        <w:pStyle w:val="Heading2"/>
      </w:pPr>
      <w:r>
        <w:t xml:space="preserve">Article 6. Demandes, devis et missions</w:t>
      </w:r>
    </w:p>
    <w:p>
      <w:pPr>
        <w:pStyle w:val="Compact"/>
        <w:numPr>
          <w:ilvl w:val="0"/>
          <w:numId w:val="1005"/>
        </w:numPr>
      </w:pPr>
      <w:r>
        <w:rPr>
          <w:b/>
          <w:bCs/>
        </w:rPr>
        <w:t xml:space="preserve">Demande.</w:t>
      </w:r>
      <w:r>
        <w:t xml:space="preserve"> </w:t>
      </w:r>
      <w:r>
        <w:t xml:space="preserve">Le client décrit son besoin (texte, note vocale ou photos ; sur WhatsApp, texte seulement dans cette version), le service, la commune, l'urgence et la devise (USD ou CDF). Il vérifie le récapitulatif avant de confirmer.</w:t>
      </w:r>
    </w:p>
    <w:p>
      <w:pPr>
        <w:pStyle w:val="Compact"/>
        <w:numPr>
          <w:ilvl w:val="0"/>
          <w:numId w:val="1005"/>
        </w:numPr>
      </w:pPr>
      <w:r>
        <w:rPr>
          <w:b/>
          <w:bCs/>
        </w:rPr>
        <w:t xml:space="preserve">Diffusion.</w:t>
      </w:r>
      <w:r>
        <w:t xml:space="preserve"> </w:t>
      </w:r>
      <w:r>
        <w:t xml:space="preserve">Nexis Hub transmet la demande aux prestataires vérifiés qui proposent ce service dans cette commune. Nexis Hub ne garantit pas qu'un prestataire répondra.</w:t>
      </w:r>
    </w:p>
    <w:p>
      <w:pPr>
        <w:pStyle w:val="Compact"/>
        <w:numPr>
          <w:ilvl w:val="0"/>
          <w:numId w:val="1005"/>
        </w:numPr>
      </w:pPr>
      <w:r>
        <w:rPr>
          <w:b/>
          <w:bCs/>
        </w:rPr>
        <w:t xml:space="preserve">Devis.</w:t>
      </w:r>
      <w:r>
        <w:t xml:space="preserve"> </w:t>
      </w:r>
      <w:r>
        <w:t xml:space="preserve">Un prestataire intéressé envoie un devis : montant, devise, délai et message. Le devis engage le prestataire tant que le client ne l'a pas refusé ou que la demande n'est pas annulée. [À COMPLÉTER : durée de validité d'un devis, si Ben en fixe une.]</w:t>
      </w:r>
    </w:p>
    <w:p>
      <w:pPr>
        <w:pStyle w:val="Compact"/>
        <w:numPr>
          <w:ilvl w:val="0"/>
          <w:numId w:val="1005"/>
        </w:numPr>
      </w:pPr>
      <w:r>
        <w:rPr>
          <w:b/>
          <w:bCs/>
        </w:rPr>
        <w:t xml:space="preserve">Acceptation.</w:t>
      </w:r>
      <w:r>
        <w:t xml:space="preserve"> </w:t>
      </w:r>
      <w:r>
        <w:t xml:space="preserve">Le client choisit librement un devis. Seul le devis accepté peut être payé. Le contrat de prestation entre le client et le prestataire est formé à l'acceptation du devis, aux conditions du devis.</w:t>
      </w:r>
    </w:p>
    <w:p>
      <w:pPr>
        <w:pStyle w:val="Compact"/>
        <w:numPr>
          <w:ilvl w:val="0"/>
          <w:numId w:val="1005"/>
        </w:numPr>
      </w:pPr>
      <w:r>
        <w:rPr>
          <w:b/>
          <w:bCs/>
        </w:rPr>
        <w:t xml:space="preserve">Paiement.</w:t>
      </w:r>
      <w:r>
        <w:t xml:space="preserve"> </w:t>
      </w:r>
      <w:r>
        <w:t xml:space="preserve">La mission ne commence qu'après le paiement du devis, que Nexis Hub garde en séquestre.</w:t>
      </w:r>
    </w:p>
    <w:p>
      <w:pPr>
        <w:pStyle w:val="Compact"/>
        <w:numPr>
          <w:ilvl w:val="0"/>
          <w:numId w:val="1005"/>
        </w:numPr>
      </w:pPr>
      <w:r>
        <w:rPr>
          <w:b/>
          <w:bCs/>
        </w:rPr>
        <w:t xml:space="preserve">Déroulement.</w:t>
      </w:r>
      <w:r>
        <w:t xml:space="preserve"> </w:t>
      </w:r>
      <w:r>
        <w:t xml:space="preserve">Le prestataire indique dans le bot le début puis la fin de la mission. Le client confirme que la mission est terminée ou signale un problème.</w:t>
      </w:r>
    </w:p>
    <w:p>
      <w:pPr>
        <w:pStyle w:val="Compact"/>
        <w:numPr>
          <w:ilvl w:val="0"/>
          <w:numId w:val="1005"/>
        </w:numPr>
      </w:pPr>
      <w:r>
        <w:rPr>
          <w:b/>
          <w:bCs/>
        </w:rPr>
        <w:t xml:space="preserve">Annulation avant paiement.</w:t>
      </w:r>
      <w:r>
        <w:t xml:space="preserve"> </w:t>
      </w:r>
      <w:r>
        <w:t xml:space="preserve">Le client peut annuler sa demande tant qu'il n'a pas payé, sans frais.</w:t>
      </w:r>
    </w:p>
    <w:p>
      <w:pPr>
        <w:pStyle w:val="Compact"/>
        <w:numPr>
          <w:ilvl w:val="0"/>
          <w:numId w:val="1005"/>
        </w:numPr>
      </w:pPr>
      <w:r>
        <w:rPr>
          <w:b/>
          <w:bCs/>
        </w:rPr>
        <w:t xml:space="preserve">Propre mission.</w:t>
      </w:r>
      <w:r>
        <w:t xml:space="preserve"> </w:t>
      </w:r>
      <w:r>
        <w:t xml:space="preserve">Un prestataire ne peut ni envoyer un devis ni être payé sur une demande qu'il a lui-même créée comme client. Le système le refuse.</w:t>
      </w:r>
    </w:p>
    <w:p>
      <w:pPr>
        <w:pStyle w:val="BlockText"/>
      </w:pPr>
      <w:r>
        <w:t xml:space="preserve">Pour le juriste : l'annulation par le client après paiement et avant le début de la mission n'est pas encore une fonction du bot ; aujourd'hui elle passe par un signalement de problème (Règlement des litiges). À confirmer si la rétractation de 72 heures du Code du numérique (art. 62 à 64) impose une annulation directe.</w:t>
      </w:r>
    </w:p>
    <w:bookmarkEnd w:id="27"/>
    <w:bookmarkStart w:id="28" w:name="article-7-prix-et-commission"/>
    <w:p>
      <w:pPr>
        <w:pStyle w:val="Heading2"/>
      </w:pPr>
      <w:r>
        <w:t xml:space="preserve">Article 7. Prix et commission</w:t>
      </w:r>
    </w:p>
    <w:p>
      <w:pPr>
        <w:pStyle w:val="Compact"/>
        <w:numPr>
          <w:ilvl w:val="0"/>
          <w:numId w:val="1006"/>
        </w:numPr>
      </w:pPr>
      <w:r>
        <w:t xml:space="preserve">Le prix de la prestation est celui du devis accepté. Le client paie ce montant, sans frais Nexis ajoutés.</w:t>
      </w:r>
    </w:p>
    <w:p>
      <w:pPr>
        <w:pStyle w:val="Compact"/>
        <w:numPr>
          <w:ilvl w:val="0"/>
          <w:numId w:val="1006"/>
        </w:numPr>
      </w:pPr>
      <w:r>
        <w:t xml:space="preserve">Nexis Hub perçoit une</w:t>
      </w:r>
      <w:r>
        <w:t xml:space="preserve"> </w:t>
      </w:r>
      <w:r>
        <w:rPr>
          <w:b/>
          <w:bCs/>
        </w:rPr>
        <w:t xml:space="preserve">commission de 10 %</w:t>
      </w:r>
      <w:r>
        <w:t xml:space="preserve"> </w:t>
      </w:r>
      <w:r>
        <w:t xml:space="preserve">du devis, ou</w:t>
      </w:r>
      <w:r>
        <w:t xml:space="preserve"> </w:t>
      </w:r>
      <w:r>
        <w:rPr>
          <w:b/>
          <w:bCs/>
        </w:rPr>
        <w:t xml:space="preserve">15 %</w:t>
      </w:r>
      <w:r>
        <w:t xml:space="preserve"> </w:t>
      </w:r>
      <w:r>
        <w:t xml:space="preserve">si le client a marqué sa demande comme urgente. Elle est déduite du montant versé au prestataire. Le prestataire voit le montant brut, la commission et son net avant de commencer.</w:t>
      </w:r>
    </w:p>
    <w:p>
      <w:pPr>
        <w:pStyle w:val="Compact"/>
        <w:numPr>
          <w:ilvl w:val="0"/>
          <w:numId w:val="1006"/>
        </w:numPr>
      </w:pPr>
      <w:r>
        <w:t xml:space="preserve">Les frais facturés par l'agrégateur de paiement sur l'encaissement sont aujourd'hui à la charge de Nexis Hub. Les frais d'un retrait sont à la charge de celui qui retire (Conditions de paiement).</w:t>
      </w:r>
    </w:p>
    <w:p>
      <w:pPr>
        <w:pStyle w:val="Compact"/>
        <w:numPr>
          <w:ilvl w:val="0"/>
          <w:numId w:val="1006"/>
        </w:numPr>
      </w:pPr>
      <w:r>
        <w:t xml:space="preserve">Tout changement de taux ou de répartition des frais est annoncé dans le bot au moins [À COMPLÉTER : délai, par exemple 15 jours] avant de s'appliquer, et ne touche jamais une mission déjà payée.</w:t>
      </w:r>
    </w:p>
    <w:p>
      <w:pPr>
        <w:pStyle w:val="BlockText"/>
      </w:pPr>
      <w:r>
        <w:t xml:space="preserve">Pour le juriste : traitement fiscal (TVA sur la commission, facture au prestataire, sort des sommes qui ne font que transiter) à préciser ; question 6 de la fiche GUCE.</w:t>
      </w:r>
    </w:p>
    <w:bookmarkEnd w:id="28"/>
    <w:bookmarkStart w:id="29" w:name="article-8-vos-engagements"/>
    <w:p>
      <w:pPr>
        <w:pStyle w:val="Heading2"/>
      </w:pPr>
      <w:r>
        <w:t xml:space="preserve">Article 8. Vos engagements</w:t>
      </w:r>
    </w:p>
    <w:p>
      <w:pPr>
        <w:pStyle w:val="FirstParagraph"/>
      </w:pPr>
      <w:r>
        <w:t xml:space="preserve">En tant que client, vous vous engagez à décrire votre besoin de bonne foi, à permettre au prestataire de travailler dans les conditions convenues, et à confirmer la fin de la mission ou à signaler un problème sans attendre.</w:t>
      </w:r>
    </w:p>
    <w:p>
      <w:pPr>
        <w:pStyle w:val="BodyText"/>
      </w:pPr>
      <w:r>
        <w:t xml:space="preserve">En tant que prestataire, vous vous engagez en plus à respecter les Conditions particulières des prestataires.</w:t>
      </w:r>
    </w:p>
    <w:p>
      <w:pPr>
        <w:pStyle w:val="BodyText"/>
      </w:pPr>
      <w:r>
        <w:t xml:space="preserve">Tous les utilisateurs respectent les Règles de conduite, notamment l'interdiction de payer ou de se faire payer en dehors de Nexis Hub pour une mission trouvée sur la plateforme.</w:t>
      </w:r>
    </w:p>
    <w:bookmarkEnd w:id="29"/>
    <w:bookmarkStart w:id="30" w:name="X7c397bce92ed54efe044649e5e3ea810aac4772"/>
    <w:p>
      <w:pPr>
        <w:pStyle w:val="Heading2"/>
      </w:pPr>
      <w:r>
        <w:t xml:space="preserve">Article 9. Ce que Nexis Hub garantit, et ce qu'il ne garantit pas</w:t>
      </w:r>
    </w:p>
    <w:p>
      <w:pPr>
        <w:pStyle w:val="FirstParagraph"/>
      </w:pPr>
      <w:r>
        <w:rPr>
          <w:b/>
          <w:bCs/>
        </w:rPr>
        <w:t xml:space="preserve">Nexis Hub s'engage à :</w:t>
      </w:r>
    </w:p>
    <w:p>
      <w:pPr>
        <w:pStyle w:val="Compact"/>
        <w:numPr>
          <w:ilvl w:val="0"/>
          <w:numId w:val="1007"/>
        </w:numPr>
      </w:pPr>
      <w:r>
        <w:t xml:space="preserve">garder l'argent payé bloqué jusqu'à la confirmation du client, la libération automatique ou la décision sur un litige ;</w:t>
      </w:r>
    </w:p>
    <w:p>
      <w:pPr>
        <w:pStyle w:val="Compact"/>
        <w:numPr>
          <w:ilvl w:val="0"/>
          <w:numId w:val="1007"/>
        </w:numPr>
      </w:pPr>
      <w:r>
        <w:t xml:space="preserve">ne jamais verser deux fois la même somme, ni payer deux fois la même mission ;</w:t>
      </w:r>
    </w:p>
    <w:p>
      <w:pPr>
        <w:pStyle w:val="Compact"/>
        <w:numPr>
          <w:ilvl w:val="0"/>
          <w:numId w:val="1007"/>
        </w:numPr>
      </w:pPr>
      <w:r>
        <w:t xml:space="preserve">examiner chaque litige selon le Règlement des litiges ;</w:t>
      </w:r>
    </w:p>
    <w:p>
      <w:pPr>
        <w:pStyle w:val="Compact"/>
        <w:numPr>
          <w:ilvl w:val="0"/>
          <w:numId w:val="1007"/>
        </w:numPr>
      </w:pPr>
      <w:r>
        <w:t xml:space="preserve">vérifier l'identité des prestataires avant de leur transmettre des demandes.</w:t>
      </w:r>
    </w:p>
    <w:p>
      <w:pPr>
        <w:pStyle w:val="FirstParagraph"/>
      </w:pPr>
      <w:r>
        <w:rPr>
          <w:b/>
          <w:bCs/>
        </w:rPr>
        <w:t xml:space="preserve">Nexis Hub ne garantit pas</w:t>
      </w:r>
      <w:r>
        <w:t xml:space="preserve"> </w:t>
      </w:r>
      <w:r>
        <w:t xml:space="preserve">la qualité, le résultat ou la durée de la prestation, qui relèvent du prestataire. La vérification d'identité confirme qui est le prestataire, pas la qualité de son travail. La protection du client consiste en la garde de son argent et en l'examen des litiges, dans la limite du montant payé pour la mission.</w:t>
      </w:r>
    </w:p>
    <w:p>
      <w:pPr>
        <w:pStyle w:val="BodyText"/>
      </w:pPr>
      <w:r>
        <w:rPr>
          <w:b/>
          <w:bCs/>
        </w:rPr>
        <w:t xml:space="preserve">Limitation.</w:t>
      </w:r>
      <w:r>
        <w:t xml:space="preserve"> </w:t>
      </w:r>
      <w:r>
        <w:t xml:space="preserve">Sauf faute grave ou intentionnelle de sa part [À VALIDER : formulation et portée de cette limite en droit congolais], la responsabilité de Nexis Hub envers un utilisateur est limitée au montant payé pour la mission concernée. Nexis Hub n'est pas responsable des dommages causés par un prestataire lors de l'exécution de la prestation.</w:t>
      </w:r>
    </w:p>
    <w:p>
      <w:pPr>
        <w:pStyle w:val="BodyText"/>
      </w:pPr>
      <w:r>
        <w:rPr>
          <w:b/>
          <w:bCs/>
        </w:rPr>
        <w:t xml:space="preserve">Hors de Nexis Hub, aucune protection.</w:t>
      </w:r>
      <w:r>
        <w:t xml:space="preserve"> </w:t>
      </w:r>
      <w:r>
        <w:t xml:space="preserve">Un paiement fait directement au prestataire, en espèces ou par Mobile Money hors du bot, n'est ni gardé ni remboursé par Nexis Hub.</w:t>
      </w:r>
    </w:p>
    <w:bookmarkEnd w:id="30"/>
    <w:bookmarkStart w:id="31" w:name="article-10-avis-et-notes"/>
    <w:p>
      <w:pPr>
        <w:pStyle w:val="Heading2"/>
      </w:pPr>
      <w:r>
        <w:t xml:space="preserve">Article 10. Avis et notes</w:t>
      </w:r>
    </w:p>
    <w:p>
      <w:pPr>
        <w:pStyle w:val="FirstParagraph"/>
      </w:pPr>
      <w:r>
        <w:t xml:space="preserve">Après une mission, le client peut noter le prestataire. Les avis doivent être sincères et porter sur la mission réalisée. Nexis Hub peut retirer un avis injurieux, sans rapport avec la mission ou manifestement faux. La note et le nombre de missions sont affichés sur la fiche du prestataire.</w:t>
      </w:r>
    </w:p>
    <w:bookmarkEnd w:id="31"/>
    <w:bookmarkStart w:id="32" w:name="article-11-disponibilité-du-service"/>
    <w:p>
      <w:pPr>
        <w:pStyle w:val="Heading2"/>
      </w:pPr>
      <w:r>
        <w:t xml:space="preserve">Article 11. Disponibilité du service</w:t>
      </w:r>
    </w:p>
    <w:p>
      <w:pPr>
        <w:pStyle w:val="FirstParagraph"/>
      </w:pPr>
      <w:r>
        <w:t xml:space="preserve">Nexis Hub fonctionne grâce à Telegram, WhatsApp (Meta), l'agrégateur de paiement et les opérateurs Mobile Money. Une panne de l'un d'eux peut interrompre le service. Dans ce cas, aucune opération d'argent n'est faite à moitié : soit elle est entièrement enregistrée, soit elle ne l'est pas du tout et vous pouvez la refaire. L'argent déjà en séquestre ou dans un wallet n'est pas perdu.</w:t>
      </w:r>
    </w:p>
    <w:bookmarkEnd w:id="32"/>
    <w:bookmarkStart w:id="33" w:name="article-12-propriété-intellectuelle"/>
    <w:p>
      <w:pPr>
        <w:pStyle w:val="Heading2"/>
      </w:pPr>
      <w:r>
        <w:t xml:space="preserve">Article 12. Propriété intellectuelle</w:t>
      </w:r>
    </w:p>
    <w:p>
      <w:pPr>
        <w:pStyle w:val="FirstParagraph"/>
      </w:pPr>
      <w:r>
        <w:t xml:space="preserve">Le nom, le logo, les textes et le logiciel de Nexis Hub appartiennent à [À COMPLÉTER : raison sociale]. Vous gardez vos droits sur les photos et descriptions que vous envoyez ; vous autorisez Nexis Hub à les transmettre aux prestataires concernés et à les conserver pour le traitement d'un éventuel litige.</w:t>
      </w:r>
    </w:p>
    <w:bookmarkEnd w:id="33"/>
    <w:bookmarkStart w:id="34" w:name="article-13-suspension-et-clôture"/>
    <w:p>
      <w:pPr>
        <w:pStyle w:val="Heading2"/>
      </w:pPr>
      <w:r>
        <w:t xml:space="preserve">Article 13. Suspension et clôture</w:t>
      </w:r>
    </w:p>
    <w:p>
      <w:pPr>
        <w:pStyle w:val="FirstParagraph"/>
      </w:pPr>
      <w:r>
        <w:t xml:space="preserve">Les cas de suspension et de clôture et leur effet sur l'argent sont décrits dans les Règles de conduite. Vous pouvez demander la clôture de votre compte quand votre solde est nul et qu'aucune mission n'est en cours.</w:t>
      </w:r>
    </w:p>
    <w:bookmarkEnd w:id="34"/>
    <w:bookmarkStart w:id="35" w:name="article-14-modification-des-conditions"/>
    <w:p>
      <w:pPr>
        <w:pStyle w:val="Heading2"/>
      </w:pPr>
      <w:r>
        <w:t xml:space="preserve">Article 14. Modification des conditions</w:t>
      </w:r>
    </w:p>
    <w:p>
      <w:pPr>
        <w:pStyle w:val="FirstParagraph"/>
      </w:pPr>
      <w:r>
        <w:t xml:space="preserve">Nexis Hub peut modifier ces conditions. La nouvelle version est annoncée dans le bot au moins [À COMPLÉTER : délai] avant d'entrer en vigueur et vous est présentée pour acceptation. Une mission déjà payée reste régie par la version acceptée au moment du paiement. Si vous refusez la nouvelle version, vous pouvez clôturer votre compte dans les conditions de l'article 13.</w:t>
      </w:r>
    </w:p>
    <w:bookmarkEnd w:id="35"/>
    <w:bookmarkStart w:id="36" w:name="X1f300ab4c826b6cc7b2744f693212a221d9d418"/>
    <w:p>
      <w:pPr>
        <w:pStyle w:val="Heading2"/>
      </w:pPr>
      <w:r>
        <w:t xml:space="preserve">Article 15. Réclamations, droit applicable et tribunaux</w:t>
      </w:r>
    </w:p>
    <w:p>
      <w:pPr>
        <w:pStyle w:val="Compact"/>
        <w:numPr>
          <w:ilvl w:val="0"/>
          <w:numId w:val="1008"/>
        </w:numPr>
      </w:pPr>
      <w:r>
        <w:t xml:space="preserve">Toute réclamation contre Nexis Hub est adressée d'abord au support : [À COMPLÉTER : e-mail et numéro]. Nexis Hub répond dans un délai de [À COMPLÉTER].</w:t>
      </w:r>
    </w:p>
    <w:p>
      <w:pPr>
        <w:pStyle w:val="Compact"/>
        <w:numPr>
          <w:ilvl w:val="0"/>
          <w:numId w:val="1008"/>
        </w:numPr>
      </w:pPr>
      <w:r>
        <w:t xml:space="preserve">Ces conditions sont régies par le droit de la République Démocratique du Congo, y compris les Actes uniformes OHADA applicables.</w:t>
      </w:r>
    </w:p>
    <w:p>
      <w:pPr>
        <w:pStyle w:val="Compact"/>
        <w:numPr>
          <w:ilvl w:val="0"/>
          <w:numId w:val="1008"/>
        </w:numPr>
      </w:pPr>
      <w:r>
        <w:t xml:space="preserve">À défaut d'accord amiable, le litige relève de [À COMPLÉTER : tribunal compétent à Kinshasa, ou médiation ou arbitrage préalable si le juriste le recommande].</w:t>
      </w:r>
    </w:p>
    <w:p>
      <w:pPr>
        <w:pStyle w:val="BlockText"/>
      </w:pPr>
      <w:r>
        <w:t xml:space="preserve">Pour le juriste : vérifier qu'une clause attributive de juridiction est opposable à un consommateur.</w:t>
      </w:r>
    </w:p>
    <w:bookmarkEnd w:id="36"/>
    <w:bookmarkStart w:id="37" w:name="article-16-langue"/>
    <w:p>
      <w:pPr>
        <w:pStyle w:val="Heading2"/>
      </w:pPr>
      <w:r>
        <w:t xml:space="preserve">Article 16. Langue</w:t>
      </w:r>
    </w:p>
    <w:p>
      <w:pPr>
        <w:pStyle w:val="FirstParagraph"/>
      </w:pPr>
      <w:r>
        <w:t xml:space="preserve">Les conditions existent en français, lingala et anglais. En cas de différence, la version française fait foi.</w:t>
      </w:r>
    </w:p>
    <w:p>
      <w:r>
        <w:br w:type="page"/>
      </w:r>
    </w:p>
    <w:bookmarkEnd w:id="37"/>
    <w:bookmarkEnd w:id="38"/>
    <w:bookmarkStart w:id="49" w:name="Xe0ed7041e8bc68bc9ee5fb0d436f924da9b6be5"/>
    <w:p>
      <w:pPr>
        <w:pStyle w:val="Heading1"/>
      </w:pPr>
      <w:r>
        <w:t xml:space="preserve">Conditions de paiement, séquestre, wallet et retraits</w:t>
      </w:r>
    </w:p>
    <w:p>
      <w:pPr>
        <w:pStyle w:val="FirstParagraph"/>
      </w:pPr>
      <w:r>
        <w:t xml:space="preserve">Projet du 3 octobre 2026, à faire valider par un juriste. Ce document fait partie des Conditions générales d'utilisation.</w:t>
      </w:r>
    </w:p>
    <w:p>
      <w:pPr>
        <w:pStyle w:val="BlockText"/>
      </w:pPr>
      <w:r>
        <w:t xml:space="preserve">Pour le juriste : c'est le document le plus sensible. Garder l'argent du client avant de le verser au prestataire, et tenir un solde (« wallet ») pour chaque compte, peut relever d'une activité de paiement ou de monnaie électronique réglementée par la BCC (loi n° 18/019 du 9 juillet 2018 et instructions de la BCC, non lues). La réponse peut imposer un agrément, un montage avec un établissement agréé, ou un changement de la règle du wallet. Aucun paiement réel ne sera ouvert avant cette réponse.</w:t>
      </w:r>
    </w:p>
    <w:bookmarkStart w:id="39" w:name="article-1-les-mots-utilisés"/>
    <w:p>
      <w:pPr>
        <w:pStyle w:val="Heading2"/>
      </w:pPr>
      <w:r>
        <w:t xml:space="preserve">Article 1. Les mots utilisés</w:t>
      </w:r>
    </w:p>
    <w:p>
      <w:pPr>
        <w:pStyle w:val="Compact"/>
        <w:numPr>
          <w:ilvl w:val="0"/>
          <w:numId w:val="1009"/>
        </w:numPr>
      </w:pPr>
      <w:r>
        <w:rPr>
          <w:b/>
          <w:bCs/>
        </w:rPr>
        <w:t xml:space="preserve">Séquestre</w:t>
      </w:r>
      <w:r>
        <w:t xml:space="preserve"> </w:t>
      </w:r>
      <w:r>
        <w:t xml:space="preserve">: l'argent payé pour une mission, bloqué jusqu'à la fin de la mission ou la décision sur un litige. Ni le client ni le prestataire ne peut le retirer pendant ce temps.</w:t>
      </w:r>
    </w:p>
    <w:p>
      <w:pPr>
        <w:pStyle w:val="Compact"/>
        <w:numPr>
          <w:ilvl w:val="0"/>
          <w:numId w:val="1009"/>
        </w:numPr>
      </w:pPr>
      <w:r>
        <w:rPr>
          <w:b/>
          <w:bCs/>
        </w:rPr>
        <w:t xml:space="preserve">Wallet</w:t>
      </w:r>
      <w:r>
        <w:t xml:space="preserve"> </w:t>
      </w:r>
      <w:r>
        <w:t xml:space="preserve">: le solde d'un compte Nexis, en USD et en CDF séparément. Il est crédité uniquement par une libération de mission, un remboursement, un trop-perçu ou, une seule fois, la reprise du solde que vous aviez dans l'ancienne version de Nexis Hub. On ne peut pas y déposer d'argent directement.</w:t>
      </w:r>
    </w:p>
    <w:p>
      <w:pPr>
        <w:pStyle w:val="Compact"/>
        <w:numPr>
          <w:ilvl w:val="0"/>
          <w:numId w:val="1009"/>
        </w:numPr>
      </w:pPr>
      <w:r>
        <w:rPr>
          <w:b/>
          <w:bCs/>
        </w:rPr>
        <w:t xml:space="preserve">Agrégateur</w:t>
      </w:r>
      <w:r>
        <w:t xml:space="preserve"> </w:t>
      </w:r>
      <w:r>
        <w:t xml:space="preserve">: l'entreprise qui encaisse et verse l'argent Mobile Money pour Nexis Hub. Il s'agit de [À COMPLÉTER : FlexPaie (Infoset Group) si le contrat est signé].</w:t>
      </w:r>
    </w:p>
    <w:p>
      <w:pPr>
        <w:pStyle w:val="BlockText"/>
      </w:pPr>
      <w:r>
        <w:t xml:space="preserve">Pour le juriste : le wallet n'est pas un compte bancaire, ne produit aucun intérêt et ne peut pas être alimenté par un dépôt. À confirmer que ce choix suffit à ne pas en faire de la monnaie électronique.</w:t>
      </w:r>
    </w:p>
    <w:bookmarkEnd w:id="39"/>
    <w:bookmarkStart w:id="40" w:name="article-2-payer-une-mission"/>
    <w:p>
      <w:pPr>
        <w:pStyle w:val="Heading2"/>
      </w:pPr>
      <w:r>
        <w:t xml:space="preserve">Article 2. Payer une mission</w:t>
      </w:r>
    </w:p>
    <w:p>
      <w:pPr>
        <w:pStyle w:val="Compact"/>
        <w:numPr>
          <w:ilvl w:val="0"/>
          <w:numId w:val="1010"/>
        </w:numPr>
      </w:pPr>
      <w:r>
        <w:t xml:space="preserve">Seul le devis que le client a accepté peut être payé, et une mission ne peut être payée qu'une seule fois.</w:t>
      </w:r>
    </w:p>
    <w:p>
      <w:pPr>
        <w:pStyle w:val="Compact"/>
        <w:numPr>
          <w:ilvl w:val="0"/>
          <w:numId w:val="1010"/>
        </w:numPr>
      </w:pPr>
      <w:r>
        <w:t xml:space="preserve">Le client paie le montant du devis, dans la devise du devis, par Mobile Money ou avec son wallet.</w:t>
      </w:r>
    </w:p>
    <w:p>
      <w:pPr>
        <w:pStyle w:val="Compact"/>
        <w:numPr>
          <w:ilvl w:val="0"/>
          <w:numId w:val="1010"/>
        </w:numPr>
      </w:pPr>
      <w:r>
        <w:rPr>
          <w:b/>
          <w:bCs/>
        </w:rPr>
        <w:t xml:space="preserve">Mobile Money</w:t>
      </w:r>
      <w:r>
        <w:t xml:space="preserve"> </w:t>
      </w:r>
      <w:r>
        <w:t xml:space="preserve">: le client choisit son opérateur et valide le paiement sur son téléphone avec son code secret. Nexis Hub ne connaît jamais ce code. Le paiement n'est considéré comme fait que lorsque l'agrégateur l'a confirmé à Nexis Hub ; jusque-là, le bot affiche « en attente de confirmation ».</w:t>
      </w:r>
    </w:p>
    <w:p>
      <w:pPr>
        <w:pStyle w:val="Compact"/>
        <w:numPr>
          <w:ilvl w:val="0"/>
          <w:numId w:val="1010"/>
        </w:numPr>
      </w:pPr>
      <w:r>
        <w:rPr>
          <w:b/>
          <w:bCs/>
        </w:rPr>
        <w:t xml:space="preserve">Wallet</w:t>
      </w:r>
      <w:r>
        <w:t xml:space="preserve"> </w:t>
      </w:r>
      <w:r>
        <w:t xml:space="preserve">: le paiement est refusé si le solde disponible dans la devise du devis est insuffisant.</w:t>
      </w:r>
    </w:p>
    <w:p>
      <w:pPr>
        <w:pStyle w:val="Compact"/>
        <w:numPr>
          <w:ilvl w:val="0"/>
          <w:numId w:val="1010"/>
        </w:numPr>
      </w:pPr>
      <w:r>
        <w:rPr>
          <w:b/>
          <w:bCs/>
        </w:rPr>
        <w:t xml:space="preserve">Échec</w:t>
      </w:r>
      <w:r>
        <w:t xml:space="preserve"> </w:t>
      </w:r>
      <w:r>
        <w:t xml:space="preserve">: si le paiement échoue, est refusé ou expire, aucun argent n'est pris et la mission reste payable.</w:t>
      </w:r>
    </w:p>
    <w:p>
      <w:pPr>
        <w:pStyle w:val="Compact"/>
        <w:numPr>
          <w:ilvl w:val="0"/>
          <w:numId w:val="1010"/>
        </w:numPr>
      </w:pPr>
      <w:r>
        <w:rPr>
          <w:b/>
          <w:bCs/>
        </w:rPr>
        <w:t xml:space="preserve">Montant différent ou paiement en double</w:t>
      </w:r>
      <w:r>
        <w:t xml:space="preserve"> </w:t>
      </w:r>
      <w:r>
        <w:t xml:space="preserve">: si l'opérateur confirme un montant différent du devis, la mission n'est pas payée et l'équipe Nexis Hub examine l'opération. Si un client paie deux fois la même mission, la mission n'est payée qu'une fois et l'argent reçu en trop est crédité sur son wallet. Aucun argent reçu n'est ignoré.</w:t>
      </w:r>
    </w:p>
    <w:p>
      <w:pPr>
        <w:pStyle w:val="Compact"/>
        <w:numPr>
          <w:ilvl w:val="0"/>
          <w:numId w:val="1010"/>
        </w:numPr>
      </w:pPr>
      <w:r>
        <w:t xml:space="preserve">Après confirmation, le client et le prestataire reçoivent un message avec la référence du paiement.</w:t>
      </w:r>
    </w:p>
    <w:bookmarkEnd w:id="40"/>
    <w:bookmarkStart w:id="41" w:name="article-3-le-séquestre"/>
    <w:p>
      <w:pPr>
        <w:pStyle w:val="Heading2"/>
      </w:pPr>
      <w:r>
        <w:t xml:space="preserve">Article 3. Le séquestre</w:t>
      </w:r>
    </w:p>
    <w:p>
      <w:pPr>
        <w:pStyle w:val="FirstParagraph"/>
      </w:pPr>
      <w:r>
        <w:t xml:space="preserve">Dès la confirmation du paiement, le montant est bloqué pour la mission. Il ne peut sortir du séquestre que d'une de ces façons, une seule fois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Événement</w:t>
            </w:r>
          </w:p>
        </w:tc>
        <w:tc>
          <w:tcPr/>
          <w:p>
            <w:pPr>
              <w:pStyle w:val="Compact"/>
            </w:pPr>
            <w:r>
              <w:t xml:space="preserve">Ce qui se passe</w:t>
            </w:r>
          </w:p>
        </w:tc>
      </w:tr>
      <w:tr>
        <w:tc>
          <w:tcPr/>
          <w:p>
            <w:pPr>
              <w:pStyle w:val="Compact"/>
            </w:pPr>
            <w:r>
              <w:t xml:space="preserve">Le client confirme que la mission est terminée</w:t>
            </w:r>
          </w:p>
        </w:tc>
        <w:tc>
          <w:tcPr/>
          <w:p>
            <w:pPr>
              <w:pStyle w:val="Compact"/>
            </w:pPr>
            <w:r>
              <w:t xml:space="preserve">Libération : le prestataire reçoit le devis moins la commission sur son wallet ; Nexis Hub reçoit la commission</w:t>
            </w:r>
          </w:p>
        </w:tc>
      </w:tr>
      <w:tr>
        <w:tc>
          <w:tcPr/>
          <w:p>
            <w:pPr>
              <w:pStyle w:val="Compact"/>
            </w:pPr>
            <w:r>
              <w:t xml:space="preserve">Le prestataire a indiqué la fin de la mission et le client ne confirme pas et ne signale aucun problème dans les 24 heures</w:t>
            </w:r>
          </w:p>
        </w:tc>
        <w:tc>
          <w:tcPr/>
          <w:p>
            <w:pPr>
              <w:pStyle w:val="Compact"/>
            </w:pPr>
            <w:r>
              <w:t xml:space="preserve">Libération automatique, comme ci-dessus</w:t>
            </w:r>
          </w:p>
        </w:tc>
      </w:tr>
      <w:tr>
        <w:tc>
          <w:tcPr/>
          <w:p>
            <w:pPr>
              <w:pStyle w:val="Compact"/>
            </w:pPr>
            <w:r>
              <w:t xml:space="preserve">Le client signale un problème avant la libération</w:t>
            </w:r>
          </w:p>
        </w:tc>
        <w:tc>
          <w:tcPr/>
          <w:p>
            <w:pPr>
              <w:pStyle w:val="Compact"/>
            </w:pPr>
            <w:r>
              <w:t xml:space="preserve">L'argent reste bloqué (gelé) jusqu'à la décision de Nexis Hub selon le Règlement des litiges</w:t>
            </w:r>
          </w:p>
        </w:tc>
      </w:tr>
      <w:tr>
        <w:tc>
          <w:tcPr/>
          <w:p>
            <w:pPr>
              <w:pStyle w:val="Compact"/>
            </w:pPr>
            <w:r>
              <w:t xml:space="preserve">Décision sur un litige</w:t>
            </w:r>
          </w:p>
        </w:tc>
        <w:tc>
          <w:tcPr/>
          <w:p>
            <w:pPr>
              <w:pStyle w:val="Compact"/>
            </w:pPr>
            <w:r>
              <w:t xml:space="preserve">Remboursement du client, libération au prestataire, ou partage, selon la décision</w:t>
            </w:r>
          </w:p>
        </w:tc>
      </w:tr>
    </w:tbl>
    <w:p>
      <w:pPr>
        <w:pStyle w:val="BodyText"/>
      </w:pPr>
      <w:r>
        <w:t xml:space="preserve">La libération automatique n'a jamais lieu sur une mission en litige. Une fois l'argent libéré, un litige n'est plus possible par le bot ; le client peut seulement contacter le support.</w:t>
      </w:r>
    </w:p>
    <w:p>
      <w:pPr>
        <w:pStyle w:val="BlockText"/>
      </w:pPr>
      <w:r>
        <w:t xml:space="preserve">Pour le juriste : le délai de 24 heures est court. À confirmer qu'il est acceptable pour un consommateur, en particulier s'il n'a pas vu le message (téléphone éteint). Le client est prévenu au moment où le prestataire indique la fin de la mission.</w:t>
      </w:r>
    </w:p>
    <w:bookmarkEnd w:id="41"/>
    <w:bookmarkStart w:id="42" w:name="article-4-le-wallet"/>
    <w:p>
      <w:pPr>
        <w:pStyle w:val="Heading2"/>
      </w:pPr>
      <w:r>
        <w:t xml:space="preserve">Article 4. Le wallet</w:t>
      </w:r>
    </w:p>
    <w:p>
      <w:pPr>
        <w:pStyle w:val="Compact"/>
        <w:numPr>
          <w:ilvl w:val="0"/>
          <w:numId w:val="1011"/>
        </w:numPr>
      </w:pPr>
      <w:r>
        <w:t xml:space="preserve">Chaque compte Nexis a un seul wallet, qu'il soit client, prestataire ou les deux. Les soldes en USD et en CDF sont séparés ; Nexis Hub ne convertit pas d'une devise à l'autre.</w:t>
      </w:r>
    </w:p>
    <w:p>
      <w:pPr>
        <w:pStyle w:val="Compact"/>
        <w:numPr>
          <w:ilvl w:val="0"/>
          <w:numId w:val="1011"/>
        </w:numPr>
      </w:pPr>
      <w:r>
        <w:t xml:space="preserve">Le wallet sert à payer d'autres missions et à demander un retrait.</w:t>
      </w:r>
    </w:p>
    <w:p>
      <w:pPr>
        <w:pStyle w:val="Compact"/>
        <w:numPr>
          <w:ilvl w:val="0"/>
          <w:numId w:val="1011"/>
        </w:numPr>
      </w:pPr>
      <w:r>
        <w:t xml:space="preserve">Le solde affiché vient uniquement du registre de Nexis Hub. Si ce registre est momentanément injoignable, le bot affiche « solde indisponible » plutôt qu'un chiffre approximatif, et aucune opération n'est faite.</w:t>
      </w:r>
    </w:p>
    <w:p>
      <w:pPr>
        <w:pStyle w:val="Compact"/>
        <w:numPr>
          <w:ilvl w:val="0"/>
          <w:numId w:val="1011"/>
        </w:numPr>
      </w:pPr>
      <w:r>
        <w:t xml:space="preserve">L'argent du wallet n'est pas un dépôt bancaire et ne produit pas d'intérêt.</w:t>
      </w:r>
    </w:p>
    <w:p>
      <w:pPr>
        <w:pStyle w:val="Compact"/>
        <w:numPr>
          <w:ilvl w:val="0"/>
          <w:numId w:val="1011"/>
        </w:numPr>
      </w:pPr>
      <w:r>
        <w:rPr>
          <w:b/>
          <w:bCs/>
        </w:rPr>
        <w:t xml:space="preserve">Argent venu d'un remboursement</w:t>
      </w:r>
      <w:r>
        <w:t xml:space="preserve"> </w:t>
      </w:r>
      <w:r>
        <w:t xml:space="preserve">: il peut servir à payer d'autres missions tout de suite. Son retrait vers Mobile Money n'est possible qu'après une vérification par l'équipe Nexis Hub, pour empêcher qu'un litige serve à faire sortir de l'argent frauduleusement.</w:t>
      </w:r>
    </w:p>
    <w:p>
      <w:pPr>
        <w:pStyle w:val="Compact"/>
        <w:numPr>
          <w:ilvl w:val="0"/>
          <w:numId w:val="1011"/>
        </w:numPr>
      </w:pPr>
      <w:r>
        <w:t xml:space="preserve">Chaque opération (paiement, libération, remboursement, retrait, frais) est enregistrée avec sa date et sa référence. [À COMPLÉTER : moyen pour l'utilisateur d'obtenir son relevé, fonction à prévoir.]</w:t>
      </w:r>
    </w:p>
    <w:p>
      <w:pPr>
        <w:pStyle w:val="BlockText"/>
      </w:pPr>
      <w:r>
        <w:t xml:space="preserve">Pour le juriste : la vérification avant retrait d'un remboursement n'a pas de délai fixé. À dire s'il faut en fixer un maximum.</w:t>
      </w:r>
    </w:p>
    <w:bookmarkEnd w:id="42"/>
    <w:bookmarkStart w:id="43" w:name="article-5-retirer-de-largent"/>
    <w:p>
      <w:pPr>
        <w:pStyle w:val="Heading2"/>
      </w:pPr>
      <w:r>
        <w:t xml:space="preserve">Article 5. Retirer de l'argent</w:t>
      </w:r>
    </w:p>
    <w:p>
      <w:pPr>
        <w:pStyle w:val="Compact"/>
        <w:numPr>
          <w:ilvl w:val="0"/>
          <w:numId w:val="1012"/>
        </w:numPr>
      </w:pPr>
      <w:r>
        <w:t xml:space="preserve">Le titulaire d'un compte vérifié et non suspendu peut demander le retrait de tout ou partie de son solde disponible, vers un numéro Mobile Money vérifié</w:t>
      </w:r>
      <w:r>
        <w:t xml:space="preserve"> </w:t>
      </w:r>
      <w:r>
        <w:rPr>
          <w:b/>
          <w:bCs/>
        </w:rPr>
        <w:t xml:space="preserve">à son nom</w:t>
      </w:r>
      <w:r>
        <w:t xml:space="preserve"> </w:t>
      </w:r>
      <w:r>
        <w:t xml:space="preserve">[À VALIDER : comment Nexis Hub vérifie que le numéro est au nom du titulaire].</w:t>
      </w:r>
    </w:p>
    <w:p>
      <w:pPr>
        <w:pStyle w:val="Compact"/>
        <w:numPr>
          <w:ilvl w:val="0"/>
          <w:numId w:val="1012"/>
        </w:numPr>
      </w:pPr>
      <w:r>
        <w:t xml:space="preserve">Dès la demande, le montant est bloqué : il quitte le solde disponible et ne peut plus être dépensé ailleurs. Deux demandes ne peuvent jamais dépasser le solde.</w:t>
      </w:r>
    </w:p>
    <w:p>
      <w:pPr>
        <w:pStyle w:val="Compact"/>
        <w:numPr>
          <w:ilvl w:val="0"/>
          <w:numId w:val="1012"/>
        </w:numPr>
      </w:pPr>
      <w:r>
        <w:rPr>
          <w:b/>
          <w:bCs/>
        </w:rPr>
        <w:t xml:space="preserve">Validation.</w:t>
      </w:r>
      <w:r>
        <w:t xml:space="preserve"> </w:t>
      </w:r>
      <w:r>
        <w:t xml:space="preserve">Au lancement, chaque retrait est validé par l'équipe Nexis Hub avant d'être envoyé. Plus tard, les retraits sous un plafond de [À COMPLÉTER : plafond] pourront partir automatiquement ; ce changement sera annoncé.</w:t>
      </w:r>
    </w:p>
    <w:p>
      <w:pPr>
        <w:pStyle w:val="Compact"/>
        <w:numPr>
          <w:ilvl w:val="0"/>
          <w:numId w:val="1012"/>
        </w:numPr>
      </w:pPr>
      <w:r>
        <w:rPr>
          <w:b/>
          <w:bCs/>
        </w:rPr>
        <w:t xml:space="preserve">Refus.</w:t>
      </w:r>
      <w:r>
        <w:t xml:space="preserve"> </w:t>
      </w:r>
      <w:r>
        <w:t xml:space="preserve">Si l'équipe refuse un retrait, le montant revient entièrement au wallet et le motif est indiqué [À VALIDER : motifs pouvant ne pas être communiqués en cas de suspicion de fraude].</w:t>
      </w:r>
    </w:p>
    <w:p>
      <w:pPr>
        <w:pStyle w:val="Compact"/>
        <w:numPr>
          <w:ilvl w:val="0"/>
          <w:numId w:val="1012"/>
        </w:numPr>
      </w:pPr>
      <w:r>
        <w:rPr>
          <w:b/>
          <w:bCs/>
        </w:rPr>
        <w:t xml:space="preserve">Envoi.</w:t>
      </w:r>
      <w:r>
        <w:t xml:space="preserve"> </w:t>
      </w:r>
      <w:r>
        <w:t xml:space="preserve">Le retrait est réussi quand l'agrégateur confirme le versement. S'il échoue définitivement, le montant revient entièrement au wallet et le titulaire est prévenu. L'argent revient toujours en cas d'échec.</w:t>
      </w:r>
    </w:p>
    <w:p>
      <w:pPr>
        <w:pStyle w:val="Compact"/>
        <w:numPr>
          <w:ilvl w:val="0"/>
          <w:numId w:val="1012"/>
        </w:numPr>
      </w:pPr>
      <w:r>
        <w:rPr>
          <w:b/>
          <w:bCs/>
        </w:rPr>
        <w:t xml:space="preserve">Montant minimum</w:t>
      </w:r>
      <w:r>
        <w:t xml:space="preserve"> </w:t>
      </w:r>
      <w:r>
        <w:t xml:space="preserve">: [À COMPLÉTER : montant en USD et en CDF, fixé avec les tarifs PayOut de FlexPaie].</w:t>
      </w:r>
    </w:p>
    <w:p>
      <w:pPr>
        <w:pStyle w:val="Compact"/>
        <w:numPr>
          <w:ilvl w:val="0"/>
          <w:numId w:val="1012"/>
        </w:numPr>
      </w:pPr>
      <w:r>
        <w:t xml:space="preserve">Un retrait ne puise jamais dans l'argent d'une mission en séquestre ou en litige.</w:t>
      </w:r>
    </w:p>
    <w:p>
      <w:pPr>
        <w:pStyle w:val="Compact"/>
        <w:numPr>
          <w:ilvl w:val="0"/>
          <w:numId w:val="1012"/>
        </w:numPr>
      </w:pPr>
      <w:r>
        <w:rPr>
          <w:b/>
          <w:bCs/>
        </w:rPr>
        <w:t xml:space="preserve">Délai</w:t>
      </w:r>
      <w:r>
        <w:t xml:space="preserve"> </w:t>
      </w:r>
      <w:r>
        <w:t xml:space="preserve">: [À COMPLÉTER : délai de validation visé par Nexis Hub et délai de versement annoncé par FlexPaie, encore inconnus].</w:t>
      </w:r>
    </w:p>
    <w:bookmarkEnd w:id="43"/>
    <w:bookmarkStart w:id="44" w:name="article-6-frais"/>
    <w:p>
      <w:pPr>
        <w:pStyle w:val="Heading2"/>
      </w:pPr>
      <w:r>
        <w:t xml:space="preserve">Article 6. Frais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Opération</w:t>
            </w:r>
          </w:p>
        </w:tc>
        <w:tc>
          <w:tcPr/>
          <w:p>
            <w:pPr>
              <w:pStyle w:val="Compact"/>
            </w:pPr>
            <w:r>
              <w:t xml:space="preserve">Qui paie</w:t>
            </w:r>
          </w:p>
        </w:tc>
        <w:tc>
          <w:tcPr/>
          <w:p>
            <w:pPr>
              <w:pStyle w:val="Compact"/>
            </w:pPr>
            <w:r>
              <w:t xml:space="preserve">Montant</w:t>
            </w:r>
          </w:p>
        </w:tc>
      </w:tr>
      <w:tr>
        <w:tc>
          <w:tcPr/>
          <w:p>
            <w:pPr>
              <w:pStyle w:val="Compact"/>
            </w:pPr>
            <w:r>
              <w:t xml:space="preserve">Commission Nexis Hub</w:t>
            </w:r>
          </w:p>
        </w:tc>
        <w:tc>
          <w:tcPr/>
          <w:p>
            <w:pPr>
              <w:pStyle w:val="Compact"/>
            </w:pPr>
            <w:r>
              <w:t xml:space="preserve">Le prestataire, déduite de son paiement</w:t>
            </w:r>
          </w:p>
        </w:tc>
        <w:tc>
          <w:tcPr/>
          <w:p>
            <w:pPr>
              <w:pStyle w:val="Compact"/>
            </w:pPr>
            <w:r>
              <w:t xml:space="preserve">10 % du devis, 15 % si urgent</w:t>
            </w:r>
          </w:p>
        </w:tc>
      </w:tr>
      <w:tr>
        <w:tc>
          <w:tcPr/>
          <w:p>
            <w:pPr>
              <w:pStyle w:val="Compact"/>
            </w:pPr>
            <w:r>
              <w:t xml:space="preserve">Frais de l'agrégateur sur un paiement Mobile Money</w:t>
            </w:r>
          </w:p>
        </w:tc>
        <w:tc>
          <w:tcPr/>
          <w:p>
            <w:pPr>
              <w:pStyle w:val="Compact"/>
            </w:pPr>
            <w:r>
              <w:t xml:space="preserve">Nexis Hub, sur sa commission</w:t>
            </w:r>
          </w:p>
        </w:tc>
        <w:tc>
          <w:tcPr/>
          <w:p>
            <w:pPr>
              <w:pStyle w:val="Compact"/>
            </w:pPr>
            <w:r>
              <w:t xml:space="preserve">Aujourd'hui 2,5 % selon FlexPaie, à confirmer par contrat</w:t>
            </w:r>
          </w:p>
        </w:tc>
      </w:tr>
      <w:tr>
        <w:tc>
          <w:tcPr/>
          <w:p>
            <w:pPr>
              <w:pStyle w:val="Compact"/>
            </w:pPr>
            <w:r>
              <w:t xml:space="preserve">Paiement par wallet</w:t>
            </w:r>
          </w:p>
        </w:tc>
        <w:tc>
          <w:tcPr/>
          <w:p>
            <w:pPr>
              <w:pStyle w:val="Compact"/>
            </w:pPr>
            <w:r>
              <w:t xml:space="preserve">Personne</w:t>
            </w:r>
          </w:p>
        </w:tc>
        <w:tc>
          <w:tcPr/>
          <w:p>
            <w:pPr>
              <w:pStyle w:val="Compact"/>
            </w:pPr>
            <w:r>
              <w:t xml:space="preserve">Aucun frais</w:t>
            </w:r>
          </w:p>
        </w:tc>
      </w:tr>
      <w:tr>
        <w:tc>
          <w:tcPr/>
          <w:p>
            <w:pPr>
              <w:pStyle w:val="Compact"/>
            </w:pPr>
            <w:r>
              <w:t xml:space="preserve">Frais d'un retrait</w:t>
            </w:r>
          </w:p>
        </w:tc>
        <w:tc>
          <w:tcPr/>
          <w:p>
            <w:pPr>
              <w:pStyle w:val="Compact"/>
            </w:pPr>
            <w:r>
              <w:t xml:space="preserve">Celui qui retire, déduits du montant versé</w:t>
            </w:r>
          </w:p>
        </w:tc>
        <w:tc>
          <w:tcPr/>
          <w:p>
            <w:pPr>
              <w:pStyle w:val="Compact"/>
            </w:pPr>
            <w:r>
              <w:t xml:space="preserve">Prix coûtant de l'agrégateur : [À COMPLÉTER]</w:t>
            </w:r>
          </w:p>
        </w:tc>
      </w:tr>
      <w:tr>
        <w:tc>
          <w:tcPr/>
          <w:p>
            <w:pPr>
              <w:pStyle w:val="Compact"/>
            </w:pPr>
            <w:r>
              <w:t xml:space="preserve">Frais propres à l'opérateur Mobile Money du client</w:t>
            </w:r>
          </w:p>
        </w:tc>
        <w:tc>
          <w:tcPr/>
          <w:p>
            <w:pPr>
              <w:pStyle w:val="Compact"/>
            </w:pPr>
            <w:r>
              <w:t xml:space="preserve">Le client, selon son opérateur</w:t>
            </w:r>
          </w:p>
        </w:tc>
        <w:tc>
          <w:tcPr/>
          <w:p>
            <w:pPr>
              <w:pStyle w:val="Compact"/>
            </w:pPr>
            <w:r>
              <w:t xml:space="preserve">Hors Nexis Hub</w:t>
            </w:r>
          </w:p>
        </w:tc>
      </w:tr>
    </w:tbl>
    <w:p>
      <w:pPr>
        <w:pStyle w:val="BodyText"/>
      </w:pPr>
      <w:r>
        <w:t xml:space="preserve">Le montant exact des frais d'un retrait est affiché avant sa confirmation. Tout changement de cette répartition est annoncé avant de s'appliquer (Conditions générales, article 7).</w:t>
      </w:r>
    </w:p>
    <w:bookmarkEnd w:id="44"/>
    <w:bookmarkStart w:id="45" w:name="article-7-erreurs-et-anomalies"/>
    <w:p>
      <w:pPr>
        <w:pStyle w:val="Heading2"/>
      </w:pPr>
      <w:r>
        <w:t xml:space="preserve">Article 7. Erreurs et anomalies</w:t>
      </w:r>
    </w:p>
    <w:p>
      <w:pPr>
        <w:pStyle w:val="Compact"/>
        <w:numPr>
          <w:ilvl w:val="0"/>
          <w:numId w:val="1013"/>
        </w:numPr>
      </w:pPr>
      <w:r>
        <w:t xml:space="preserve">Chaque jour, Nexis Hub compare ses opérations avec le relevé de l'agrégateur.</w:t>
      </w:r>
    </w:p>
    <w:p>
      <w:pPr>
        <w:pStyle w:val="Compact"/>
        <w:numPr>
          <w:ilvl w:val="0"/>
          <w:numId w:val="1013"/>
        </w:numPr>
      </w:pPr>
      <w:r>
        <w:t xml:space="preserve">Une erreur n'est jamais corrigée automatiquement. Toute correction est une opération explicite de l'équipe Nexis Hub, enregistrée avec son motif, et le titulaire concerné est prévenu.</w:t>
      </w:r>
    </w:p>
    <w:p>
      <w:pPr>
        <w:pStyle w:val="Compact"/>
        <w:numPr>
          <w:ilvl w:val="0"/>
          <w:numId w:val="1013"/>
        </w:numPr>
      </w:pPr>
      <w:r>
        <w:t xml:space="preserve">Si un utilisateur reçoit par erreur une somme qui ne lui revient pas, il doit le signaler au support. Nexis Hub peut la reprendre sur son wallet, en le prévenant [À VALIDER : base contractuelle et limites de cette reprise].</w:t>
      </w:r>
    </w:p>
    <w:p>
      <w:pPr>
        <w:pStyle w:val="Compact"/>
        <w:numPr>
          <w:ilvl w:val="0"/>
          <w:numId w:val="1013"/>
        </w:numPr>
      </w:pPr>
      <w:r>
        <w:t xml:space="preserve">Signalez au support toute opération que vous ne reconnaissez pas, dans un délai de [À COMPLÉTER] après l'avoir vue.</w:t>
      </w:r>
    </w:p>
    <w:bookmarkEnd w:id="45"/>
    <w:bookmarkStart w:id="46" w:name="article-8-fraude-et-blocage"/>
    <w:p>
      <w:pPr>
        <w:pStyle w:val="Heading2"/>
      </w:pPr>
      <w:r>
        <w:t xml:space="preserve">Article 8. Fraude et blocage</w:t>
      </w:r>
    </w:p>
    <w:p>
      <w:pPr>
        <w:pStyle w:val="FirstParagraph"/>
      </w:pPr>
      <w:r>
        <w:t xml:space="preserve">En cas de soupçon sérieux de fraude (usurpation d'identité, faux litiges répétés, paiement avec un numéro volé), Nexis Hub peut bloquer les retraits du compte concerné le temps de la vérification. L'argent reste enregistré au nom du titulaire et n'est jamais confisqué par une simple décision de Nexis Hub. [À VALIDER : obligations de déclaration aux autorités si Nexis Hub est assujetti à la loi n° 22/068 contre le blanchiment.]</w:t>
      </w:r>
    </w:p>
    <w:bookmarkEnd w:id="46"/>
    <w:bookmarkStart w:id="47" w:name="article-9-compte-suspendu-ou-clôturé"/>
    <w:p>
      <w:pPr>
        <w:pStyle w:val="Heading2"/>
      </w:pPr>
      <w:r>
        <w:t xml:space="preserve">Article 9. Compte suspendu ou clôturé</w:t>
      </w:r>
    </w:p>
    <w:p>
      <w:pPr>
        <w:pStyle w:val="Compact"/>
        <w:numPr>
          <w:ilvl w:val="0"/>
          <w:numId w:val="1014"/>
        </w:numPr>
      </w:pPr>
      <w:r>
        <w:t xml:space="preserve">Une suspension n'annule pas les missions déjà payées : elles se terminent ou sont tranchées selon les règles habituelles.</w:t>
      </w:r>
    </w:p>
    <w:p>
      <w:pPr>
        <w:pStyle w:val="Compact"/>
        <w:numPr>
          <w:ilvl w:val="0"/>
          <w:numId w:val="1014"/>
        </w:numPr>
      </w:pPr>
      <w:r>
        <w:t xml:space="preserve">Le solde d'un compte clôturé est versé à son titulaire, après vérification d'identité, vers un numéro Mobile Money à son nom.</w:t>
      </w:r>
    </w:p>
    <w:p>
      <w:pPr>
        <w:pStyle w:val="Compact"/>
        <w:numPr>
          <w:ilvl w:val="0"/>
          <w:numId w:val="1014"/>
        </w:numPr>
      </w:pPr>
      <w:r>
        <w:t xml:space="preserve">Un compte ne peut être clôturé à la demande de son titulaire qu'avec un solde nul et sans mission en cours.</w:t>
      </w:r>
    </w:p>
    <w:bookmarkEnd w:id="47"/>
    <w:bookmarkStart w:id="48" w:name="Xaed225e5612a311b9bf17dc5e0326e6030e944f"/>
    <w:p>
      <w:pPr>
        <w:pStyle w:val="Heading2"/>
      </w:pPr>
      <w:r>
        <w:t xml:space="preserve">Article 10. Si Nexis Hub cesse son activité</w:t>
      </w:r>
    </w:p>
    <w:p>
      <w:pPr>
        <w:pStyle w:val="FirstParagraph"/>
      </w:pPr>
      <w:r>
        <w:t xml:space="preserve">Nexis Hub préviendrait les utilisateurs au moins [À COMPLÉTER : délai] à l'avance, n'accepterait plus de nouveau paiement, laisserait se terminer ou trancherait les missions en cours, et verserait à chaque titulaire son solde.</w:t>
      </w:r>
    </w:p>
    <w:p>
      <w:pPr>
        <w:pStyle w:val="BlockText"/>
      </w:pPr>
      <w:r>
        <w:t xml:space="preserve">Pour le juriste : cet engagement suppose que l'argent des utilisateurs reste distinct de celui de l'entreprise. À définir avec la réponse sur la BCC (compte de cantonnement, fonds conservés chez l'agrégateur).</w:t>
      </w:r>
    </w:p>
    <w:p>
      <w:r>
        <w:br w:type="page"/>
      </w:r>
    </w:p>
    <w:bookmarkEnd w:id="48"/>
    <w:bookmarkEnd w:id="49"/>
    <w:bookmarkStart w:id="58" w:name="règlement-des-litiges-et-remboursements"/>
    <w:p>
      <w:pPr>
        <w:pStyle w:val="Heading1"/>
      </w:pPr>
      <w:r>
        <w:t xml:space="preserve">Règlement des litiges et remboursements</w:t>
      </w:r>
    </w:p>
    <w:p>
      <w:pPr>
        <w:pStyle w:val="FirstParagraph"/>
      </w:pPr>
      <w:r>
        <w:t xml:space="preserve">Projet du 3 octobre 2026, à faire valider par un juriste. Ce document fait partie des Conditions générales d'utilisation.</w:t>
      </w:r>
    </w:p>
    <w:bookmarkStart w:id="50" w:name="article-1-signaler-un-problème"/>
    <w:p>
      <w:pPr>
        <w:pStyle w:val="Heading2"/>
      </w:pPr>
      <w:r>
        <w:t xml:space="preserve">Article 1. Signaler un problème</w:t>
      </w:r>
    </w:p>
    <w:p>
      <w:pPr>
        <w:pStyle w:val="Compact"/>
        <w:numPr>
          <w:ilvl w:val="0"/>
          <w:numId w:val="1015"/>
        </w:numPr>
      </w:pPr>
      <w:r>
        <w:t xml:space="preserve">Le client d'une mission peut signaler un problème (ouvrir un</w:t>
      </w:r>
      <w:r>
        <w:t xml:space="preserve"> </w:t>
      </w:r>
      <w:r>
        <w:rPr>
          <w:b/>
          <w:bCs/>
        </w:rPr>
        <w:t xml:space="preserve">litige</w:t>
      </w:r>
      <w:r>
        <w:t xml:space="preserve">) depuis le bot, à partir du moment où il a payé et tant que l'argent n'a pas été libéré : avant le début de la mission, pendant la mission, ou dans les 24 heures qui suivent l'indication de fin par le prestataire.</w:t>
      </w:r>
    </w:p>
    <w:p>
      <w:pPr>
        <w:pStyle w:val="Compact"/>
        <w:numPr>
          <w:ilvl w:val="0"/>
          <w:numId w:val="1015"/>
        </w:numPr>
      </w:pPr>
      <w:r>
        <w:t xml:space="preserve">Après la libération de l'argent (confirmation du client ou libération automatique), un litige n'est plus possible par le bot. Le client peut toujours contacter le support, mais l'argent déjà versé au prestataire n'est plus bloqué.</w:t>
      </w:r>
    </w:p>
    <w:p>
      <w:pPr>
        <w:pStyle w:val="Compact"/>
        <w:numPr>
          <w:ilvl w:val="0"/>
          <w:numId w:val="1015"/>
        </w:numPr>
      </w:pPr>
      <w:r>
        <w:t xml:space="preserve">Un seul litige peut être ouvert par mission.</w:t>
      </w:r>
    </w:p>
    <w:p>
      <w:pPr>
        <w:pStyle w:val="Compact"/>
        <w:numPr>
          <w:ilvl w:val="0"/>
          <w:numId w:val="1015"/>
        </w:numPr>
      </w:pPr>
      <w:r>
        <w:t xml:space="preserve">Le prestataire ne peut pas ouvrir de litige par le bot. S'il a un problème avec un client, il contacte le support ; la libération automatique le protège d'un client qui ne confirme jamais.</w:t>
      </w:r>
    </w:p>
    <w:p>
      <w:pPr>
        <w:pStyle w:val="BlockText"/>
      </w:pPr>
      <w:r>
        <w:t xml:space="preserve">Pour le juriste : à confirmer que le prestataire n'a pas besoin d'un recours équivalent dans le bot (client absent, travail supplémentaire demandé).</w:t>
      </w:r>
    </w:p>
    <w:bookmarkEnd w:id="50"/>
    <w:bookmarkStart w:id="51" w:name="X14703bc3c99491a61176ee937b7f1f484a9b939"/>
    <w:p>
      <w:pPr>
        <w:pStyle w:val="Heading2"/>
      </w:pPr>
      <w:r>
        <w:t xml:space="preserve">Article 2. Effet immédiat : l'argent est gelé</w:t>
      </w:r>
    </w:p>
    <w:p>
      <w:pPr>
        <w:pStyle w:val="FirstParagraph"/>
      </w:pPr>
      <w:r>
        <w:t xml:space="preserve">Dès l'ouverture du litige, l'argent de la mission est gelé. Personne ne peut le libérer, le rembourser ou le retirer, et la libération automatique de 24 heures ne s'applique pas. Seule une décision de l'équipe Nexis Hub peut le débloquer. Le prestataire est prévenu de l'ouverture du litige.</w:t>
      </w:r>
    </w:p>
    <w:bookmarkEnd w:id="51"/>
    <w:bookmarkStart w:id="52" w:name="article-3-examen"/>
    <w:p>
      <w:pPr>
        <w:pStyle w:val="Heading2"/>
      </w:pPr>
      <w:r>
        <w:t xml:space="preserve">Article 3. Examen</w:t>
      </w:r>
    </w:p>
    <w:p>
      <w:pPr>
        <w:pStyle w:val="Compact"/>
        <w:numPr>
          <w:ilvl w:val="0"/>
          <w:numId w:val="1016"/>
        </w:numPr>
      </w:pPr>
      <w:r>
        <w:t xml:space="preserve">L'équipe Nexis Hub contacte le client et le prestataire dans les 48 heures qui suivent l'ouverture du litige.</w:t>
      </w:r>
    </w:p>
    <w:p>
      <w:pPr>
        <w:pStyle w:val="Compact"/>
        <w:numPr>
          <w:ilvl w:val="0"/>
          <w:numId w:val="1016"/>
        </w:numPr>
      </w:pPr>
      <w:r>
        <w:t xml:space="preserve">Chacun peut envoyer ses explications et ses preuves : photos, messages échangés dans le bot, devis, état des travaux. Nexis Hub peut s'appuyer sur l'historique de la mission enregistré dans le bot.</w:t>
      </w:r>
    </w:p>
    <w:p>
      <w:pPr>
        <w:pStyle w:val="Compact"/>
        <w:numPr>
          <w:ilvl w:val="0"/>
          <w:numId w:val="1016"/>
        </w:numPr>
      </w:pPr>
      <w:r>
        <w:t xml:space="preserve">Nexis Hub examine le litige de façon impartiale, au regard du devis accepté et de ce qui a été réellement fait.</w:t>
      </w:r>
    </w:p>
    <w:p>
      <w:pPr>
        <w:pStyle w:val="Compact"/>
        <w:numPr>
          <w:ilvl w:val="0"/>
          <w:numId w:val="1016"/>
        </w:numPr>
      </w:pPr>
      <w:r>
        <w:t xml:space="preserve">Nexis Hub rend sa décision dans un délai de [À COMPLÉTER : délai maximum de décision]. Si une partie ne répond pas dans le délai de [À COMPLÉTER], la décision est prise avec les éléments disponibles.</w:t>
      </w:r>
    </w:p>
    <w:bookmarkEnd w:id="52"/>
    <w:bookmarkStart w:id="53" w:name="article-4-les-décisions-possibles"/>
    <w:p>
      <w:pPr>
        <w:pStyle w:val="Heading2"/>
      </w:pPr>
      <w:r>
        <w:t xml:space="preserve">Article 4. Les décisions possibles</w:t>
      </w:r>
    </w:p>
    <w:p>
      <w:pPr>
        <w:pStyle w:val="FirstParagraph"/>
      </w:pPr>
      <w:r>
        <w:t xml:space="preserve">Nexis Hub choisit une des trois décisions suivantes. Elle est appliquée en une seule opération et ne peut pas être appliquée deux fois.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Décision</w:t>
            </w:r>
          </w:p>
        </w:tc>
        <w:tc>
          <w:tcPr/>
          <w:p>
            <w:pPr>
              <w:pStyle w:val="Compact"/>
            </w:pPr>
            <w:r>
              <w:t xml:space="preserve">Client</w:t>
            </w:r>
          </w:p>
        </w:tc>
        <w:tc>
          <w:tcPr/>
          <w:p>
            <w:pPr>
              <w:pStyle w:val="Compact"/>
            </w:pPr>
            <w:r>
              <w:t xml:space="preserve">Prestataire</w:t>
            </w:r>
          </w:p>
        </w:tc>
        <w:tc>
          <w:tcPr/>
          <w:p>
            <w:pPr>
              <w:pStyle w:val="Compact"/>
            </w:pPr>
            <w:r>
              <w:t xml:space="preserve">Commission Nexis Hub</w:t>
            </w:r>
          </w:p>
        </w:tc>
      </w:tr>
      <w:tr>
        <w:tc>
          <w:tcPr/>
          <w:p>
            <w:pPr>
              <w:pStyle w:val="Compact"/>
            </w:pPr>
            <w:r>
              <w:t xml:space="preserve">Remboursement total</w:t>
            </w:r>
          </w:p>
        </w:tc>
        <w:tc>
          <w:tcPr/>
          <w:p>
            <w:pPr>
              <w:pStyle w:val="Compact"/>
            </w:pPr>
            <w:r>
              <w:t xml:space="preserve">Reçoit tout le montant payé sur son wallet</w:t>
            </w:r>
          </w:p>
        </w:tc>
        <w:tc>
          <w:tcPr/>
          <w:p>
            <w:pPr>
              <w:pStyle w:val="Compact"/>
            </w:pPr>
            <w:r>
              <w:t xml:space="preserve">Ne reçoit rien</w:t>
            </w:r>
          </w:p>
        </w:tc>
        <w:tc>
          <w:tcPr/>
          <w:p>
            <w:pPr>
              <w:pStyle w:val="Compact"/>
            </w:pPr>
            <w:r>
              <w:t xml:space="preserve">Remboursée au client, Nexis Hub ne garde rien</w:t>
            </w:r>
          </w:p>
        </w:tc>
      </w:tr>
      <w:tr>
        <w:tc>
          <w:tcPr/>
          <w:p>
            <w:pPr>
              <w:pStyle w:val="Compact"/>
            </w:pPr>
            <w:r>
              <w:t xml:space="preserve">Libération au prestataire</w:t>
            </w:r>
          </w:p>
        </w:tc>
        <w:tc>
          <w:tcPr/>
          <w:p>
            <w:pPr>
              <w:pStyle w:val="Compact"/>
            </w:pPr>
            <w:r>
              <w:t xml:space="preserve">Ne reçoit rien</w:t>
            </w:r>
          </w:p>
        </w:tc>
        <w:tc>
          <w:tcPr/>
          <w:p>
            <w:pPr>
              <w:pStyle w:val="Compact"/>
            </w:pPr>
            <w:r>
              <w:t xml:space="preserve">Reçoit le devis moins la commission</w:t>
            </w:r>
          </w:p>
        </w:tc>
        <w:tc>
          <w:tcPr/>
          <w:p>
            <w:pPr>
              <w:pStyle w:val="Compact"/>
            </w:pPr>
            <w:r>
              <w:t xml:space="preserve">Gardée</w:t>
            </w:r>
          </w:p>
        </w:tc>
      </w:tr>
      <w:tr>
        <w:tc>
          <w:tcPr/>
          <w:p>
            <w:pPr>
              <w:pStyle w:val="Compact"/>
            </w:pPr>
            <w:r>
              <w:t xml:space="preserve">Partage à un pourcentage fixé par Nexis Hub</w:t>
            </w:r>
          </w:p>
        </w:tc>
        <w:tc>
          <w:tcPr/>
          <w:p>
            <w:pPr>
              <w:pStyle w:val="Compact"/>
            </w:pPr>
            <w:r>
              <w:t xml:space="preserve">Reçoit la part du montant net qui ne va pas au prestataire</w:t>
            </w:r>
          </w:p>
        </w:tc>
        <w:tc>
          <w:tcPr/>
          <w:p>
            <w:pPr>
              <w:pStyle w:val="Compact"/>
            </w:pPr>
            <w:r>
              <w:t xml:space="preserve">Reçoit le pourcentage décidé du montant net</w:t>
            </w:r>
          </w:p>
        </w:tc>
        <w:tc>
          <w:tcPr/>
          <w:p>
            <w:pPr>
              <w:pStyle w:val="Compact"/>
            </w:pPr>
            <w:r>
              <w:t xml:space="preserve">Gardée en entier</w:t>
            </w:r>
          </w:p>
        </w:tc>
      </w:tr>
    </w:tbl>
    <w:p>
      <w:pPr>
        <w:pStyle w:val="BodyText"/>
      </w:pPr>
      <w:r>
        <w:t xml:space="preserve">Exemple de partage à 60 % pour un devis de 100 USD sans urgence : commission 10 USD, montant net 90 USD, prestataire 54 USD, client 36 USD.</w:t>
      </w:r>
    </w:p>
    <w:p>
      <w:pPr>
        <w:pStyle w:val="BlockText"/>
      </w:pPr>
      <w:r>
        <w:t xml:space="preserve">Pour le juriste : en cas de partage, Nexis Hub garde toute sa commission alors que la prestation n'a été que partiellement réussie. C'est la règle codée aujourd'hui. À confirmer qu'elle est défendable face à un consommateur ; sinon, la règle doit changer dans le code et dans ce texte en même temps.</w:t>
      </w:r>
    </w:p>
    <w:bookmarkEnd w:id="53"/>
    <w:bookmarkStart w:id="54" w:name="X3069f1f23056e9c9d5e75febc907a7292f30c3c"/>
    <w:p>
      <w:pPr>
        <w:pStyle w:val="Heading2"/>
      </w:pPr>
      <w:r>
        <w:t xml:space="preserve">Article 5. Comment le client est remboursé</w:t>
      </w:r>
    </w:p>
    <w:p>
      <w:pPr>
        <w:pStyle w:val="Compact"/>
        <w:numPr>
          <w:ilvl w:val="0"/>
          <w:numId w:val="1017"/>
        </w:numPr>
      </w:pPr>
      <w:r>
        <w:t xml:space="preserve">Un remboursement est crédité sur le</w:t>
      </w:r>
      <w:r>
        <w:t xml:space="preserve"> </w:t>
      </w:r>
      <w:r>
        <w:rPr>
          <w:b/>
          <w:bCs/>
        </w:rPr>
        <w:t xml:space="preserve">wallet</w:t>
      </w:r>
      <w:r>
        <w:t xml:space="preserve"> </w:t>
      </w:r>
      <w:r>
        <w:t xml:space="preserve">du client, dans la devise de la mission. Il est immédiatement utilisable pour payer une autre mission.</w:t>
      </w:r>
    </w:p>
    <w:p>
      <w:pPr>
        <w:pStyle w:val="Compact"/>
        <w:numPr>
          <w:ilvl w:val="0"/>
          <w:numId w:val="1017"/>
        </w:numPr>
      </w:pPr>
      <w:r>
        <w:t xml:space="preserve">Le client peut demander le retrait de cet argent vers son Mobile Money ; ce retrait passe par une vérification de l'équipe Nexis Hub (Conditions de paiement, article 4).</w:t>
      </w:r>
    </w:p>
    <w:p>
      <w:pPr>
        <w:pStyle w:val="Compact"/>
        <w:numPr>
          <w:ilvl w:val="0"/>
          <w:numId w:val="1017"/>
        </w:numPr>
      </w:pPr>
      <w:r>
        <w:t xml:space="preserve">Nexis Hub ne rembourse pas directement sur le Mobile Money d'origine tant que l'agrégateur ne propose pas ce service.</w:t>
      </w:r>
    </w:p>
    <w:p>
      <w:pPr>
        <w:pStyle w:val="BlockText"/>
      </w:pPr>
      <w:r>
        <w:t xml:space="preserve">Pour le juriste : le Code du numérique (art. 62 à 64) prévoit un remboursement sous 72 heures en cas de rétractation. Si cette règle s'applique, un crédit sur le wallet suivi d'une vérification avant retrait pourrait ne pas suffire. À trancher.</w:t>
      </w:r>
    </w:p>
    <w:bookmarkEnd w:id="54"/>
    <w:bookmarkStart w:id="55" w:name="article-6-après-la-décision"/>
    <w:p>
      <w:pPr>
        <w:pStyle w:val="Heading2"/>
      </w:pPr>
      <w:r>
        <w:t xml:space="preserve">Article 6. Après la décision</w:t>
      </w:r>
    </w:p>
    <w:p>
      <w:pPr>
        <w:pStyle w:val="Compact"/>
        <w:numPr>
          <w:ilvl w:val="0"/>
          <w:numId w:val="1018"/>
        </w:numPr>
      </w:pPr>
      <w:r>
        <w:t xml:space="preserve">Client et prestataire sont prévenus de la décision et des montants.</w:t>
      </w:r>
    </w:p>
    <w:p>
      <w:pPr>
        <w:pStyle w:val="Compact"/>
        <w:numPr>
          <w:ilvl w:val="0"/>
          <w:numId w:val="1018"/>
        </w:numPr>
      </w:pPr>
      <w:r>
        <w:t xml:space="preserve">La décision est définitive sur la plateforme : l'argent a bougé et ne peut pas être déplacé une seconde fois pour la même mission.</w:t>
      </w:r>
    </w:p>
    <w:p>
      <w:pPr>
        <w:pStyle w:val="Compact"/>
        <w:numPr>
          <w:ilvl w:val="0"/>
          <w:numId w:val="1018"/>
        </w:numPr>
      </w:pPr>
      <w:r>
        <w:t xml:space="preserve">Une partie qui conteste la décision peut adresser une réclamation au support dans un délai de [À COMPLÉTER]. Une erreur avérée est corrigée par une opération explicite et tracée (Conditions de paiement, article 7).</w:t>
      </w:r>
    </w:p>
    <w:p>
      <w:pPr>
        <w:pStyle w:val="Compact"/>
        <w:numPr>
          <w:ilvl w:val="0"/>
          <w:numId w:val="1018"/>
        </w:numPr>
      </w:pPr>
      <w:r>
        <w:t xml:space="preserve">La décision de Nexis Hub ne prive personne du droit de saisir les tribunaux compétents contre l'autre partie.</w:t>
      </w:r>
    </w:p>
    <w:bookmarkEnd w:id="55"/>
    <w:bookmarkStart w:id="56" w:name="article-7-litiges-abusifs"/>
    <w:p>
      <w:pPr>
        <w:pStyle w:val="Heading2"/>
      </w:pPr>
      <w:r>
        <w:t xml:space="preserve">Article 7. Litiges abusifs</w:t>
      </w:r>
    </w:p>
    <w:p>
      <w:pPr>
        <w:pStyle w:val="FirstParagraph"/>
      </w:pPr>
      <w:r>
        <w:t xml:space="preserve">Ouvrir un litige sans motif réel, de façon répétée, ou pour obtenir un remboursement après avoir reçu la prestation, est un manquement aux Règles de conduite et peut entraîner la suspension du compte.</w:t>
      </w:r>
    </w:p>
    <w:bookmarkEnd w:id="56"/>
    <w:bookmarkStart w:id="57" w:name="article-8-ce-que-le-litige-ne-couvre-pas"/>
    <w:p>
      <w:pPr>
        <w:pStyle w:val="Heading2"/>
      </w:pPr>
      <w:r>
        <w:t xml:space="preserve">Article 8. Ce que le litige ne couvre pas</w:t>
      </w:r>
    </w:p>
    <w:p>
      <w:pPr>
        <w:pStyle w:val="Compact"/>
        <w:numPr>
          <w:ilvl w:val="0"/>
          <w:numId w:val="1019"/>
        </w:numPr>
      </w:pPr>
      <w:r>
        <w:t xml:space="preserve">un paiement fait hors de Nexis Hub ;</w:t>
      </w:r>
    </w:p>
    <w:p>
      <w:pPr>
        <w:pStyle w:val="Compact"/>
        <w:numPr>
          <w:ilvl w:val="0"/>
          <w:numId w:val="1019"/>
        </w:numPr>
      </w:pPr>
      <w:r>
        <w:t xml:space="preserve">un dommage dépassant le montant payé pour la mission (par exemple un objet abîmé) : il relève d'un accord entre client et prestataire ou des tribunaux ;</w:t>
      </w:r>
    </w:p>
    <w:p>
      <w:pPr>
        <w:pStyle w:val="Compact"/>
        <w:numPr>
          <w:ilvl w:val="0"/>
          <w:numId w:val="1019"/>
        </w:numPr>
      </w:pPr>
      <w:r>
        <w:t xml:space="preserve">une mission dont l'argent a déjà été libéré.</w:t>
      </w:r>
    </w:p>
    <w:p>
      <w:r>
        <w:br w:type="page"/>
      </w:r>
    </w:p>
    <w:bookmarkEnd w:id="57"/>
    <w:bookmarkEnd w:id="58"/>
    <w:bookmarkStart w:id="67" w:name="X7565fb0a26925d43c3fbf4679174ae6f2f459ee"/>
    <w:p>
      <w:pPr>
        <w:pStyle w:val="Heading1"/>
      </w:pPr>
      <w:r>
        <w:t xml:space="preserve">Conditions particulières des prestataires</w:t>
      </w:r>
    </w:p>
    <w:p>
      <w:pPr>
        <w:pStyle w:val="FirstParagraph"/>
      </w:pPr>
      <w:r>
        <w:t xml:space="preserve">Projet du 3 octobre 2026, à faire valider par un juriste. Ces conditions s'ajoutent aux Conditions générales pour toute personne inscrite comme prestataire.</w:t>
      </w:r>
    </w:p>
    <w:bookmarkStart w:id="59" w:name="Xac7a148b8e25ad54b69759d8ea79a48fb94f798"/>
    <w:p>
      <w:pPr>
        <w:pStyle w:val="Heading2"/>
      </w:pPr>
      <w:r>
        <w:t xml:space="preserve">Article 1. Inscription et vérification d'identité</w:t>
      </w:r>
    </w:p>
    <w:p>
      <w:pPr>
        <w:pStyle w:val="Compact"/>
        <w:numPr>
          <w:ilvl w:val="0"/>
          <w:numId w:val="1020"/>
        </w:numPr>
      </w:pPr>
      <w:r>
        <w:t xml:space="preserve">Le prestataire s'inscrit depuis Telegram, la Mini App ou la future application Nexis, jamais depuis WhatsApp.</w:t>
      </w:r>
    </w:p>
    <w:p>
      <w:pPr>
        <w:pStyle w:val="Compact"/>
        <w:numPr>
          <w:ilvl w:val="0"/>
          <w:numId w:val="1020"/>
        </w:numPr>
      </w:pPr>
      <w:r>
        <w:t xml:space="preserve">Il indique ses services, ses communes d'intervention et ses langues, et partage son numéro par le bouton « Partager mon numéro ».</w:t>
      </w:r>
    </w:p>
    <w:p>
      <w:pPr>
        <w:pStyle w:val="Compact"/>
        <w:numPr>
          <w:ilvl w:val="0"/>
          <w:numId w:val="1020"/>
        </w:numPr>
      </w:pPr>
      <w:r>
        <w:t xml:space="preserve">Il envoie une photo de sa pièce d'identité (carte d'identité ou passeport) et un selfie. L'équipe Nexis Hub compare les deux pour vérifier que la personne est bien le titulaire de la pièce.</w:t>
      </w:r>
    </w:p>
    <w:p>
      <w:pPr>
        <w:pStyle w:val="Compact"/>
        <w:numPr>
          <w:ilvl w:val="0"/>
          <w:numId w:val="1020"/>
        </w:numPr>
      </w:pPr>
      <w:r>
        <w:t xml:space="preserve">Le prestataire ne reçoit aucune demande avant d'avoir été vérifié. Nexis Hub peut refuser une inscription, par exemple si la pièce est illisible, expirée ou ne correspond pas au selfie.</w:t>
      </w:r>
    </w:p>
    <w:p>
      <w:pPr>
        <w:pStyle w:val="Compact"/>
        <w:numPr>
          <w:ilvl w:val="0"/>
          <w:numId w:val="1020"/>
        </w:numPr>
      </w:pPr>
      <w:r>
        <w:t xml:space="preserve">Le prestataire doit signaler tout changement (nouvelle pièce, nouveau numéro, arrêt d'activité).</w:t>
      </w:r>
    </w:p>
    <w:p>
      <w:pPr>
        <w:pStyle w:val="BlockText"/>
      </w:pPr>
      <w:r>
        <w:t xml:space="preserve">Pour le juriste : la comparaison est faite à l'œil par une personne, sans logiciel de reconnaissance faciale. À confirmer si le selfie est une « donnée biométrique » au sens du Code du numérique (art. 2) et quelles formalités cela impose.</w:t>
      </w:r>
    </w:p>
    <w:bookmarkEnd w:id="59"/>
    <w:bookmarkStart w:id="60" w:name="article-2-un-prestataire-indépendant"/>
    <w:p>
      <w:pPr>
        <w:pStyle w:val="Heading2"/>
      </w:pPr>
      <w:r>
        <w:t xml:space="preserve">Article 2. Un prestataire indépendant</w:t>
      </w:r>
    </w:p>
    <w:p>
      <w:pPr>
        <w:pStyle w:val="Compact"/>
        <w:numPr>
          <w:ilvl w:val="0"/>
          <w:numId w:val="1021"/>
        </w:numPr>
      </w:pPr>
      <w:r>
        <w:t xml:space="preserve">Le prestataire exerce son activité de façon indépendante. Il n'est ni salarié, ni agent, ni représentant de Nexis Hub.</w:t>
      </w:r>
    </w:p>
    <w:p>
      <w:pPr>
        <w:pStyle w:val="Compact"/>
        <w:numPr>
          <w:ilvl w:val="0"/>
          <w:numId w:val="1021"/>
        </w:numPr>
      </w:pPr>
      <w:r>
        <w:t xml:space="preserve">Il fixe librement le prix de ses devis, accepte ou refuse librement les demandes et organise lui-même son travail.</w:t>
      </w:r>
    </w:p>
    <w:p>
      <w:pPr>
        <w:pStyle w:val="Compact"/>
        <w:numPr>
          <w:ilvl w:val="0"/>
          <w:numId w:val="1021"/>
        </w:numPr>
      </w:pPr>
      <w:r>
        <w:t xml:space="preserve">Il fournit ses outils et son matériel, sauf accord différent avec le client indiqué dans le devis.</w:t>
      </w:r>
    </w:p>
    <w:p>
      <w:pPr>
        <w:pStyle w:val="Compact"/>
        <w:numPr>
          <w:ilvl w:val="0"/>
          <w:numId w:val="1021"/>
        </w:numPr>
      </w:pPr>
      <w:r>
        <w:t xml:space="preserve">Il est seul responsable de ses obligations fiscales, sociales et administratives (déclarations, impôts, autorisations propres à son métier).</w:t>
      </w:r>
    </w:p>
    <w:p>
      <w:pPr>
        <w:pStyle w:val="BlockText"/>
      </w:pPr>
      <w:r>
        <w:t xml:space="preserve">Pour le juriste : vérifier le risque de requalification en contrat de travail et les obligations éventuelles de Nexis Hub (retenue, déclaration des sommes versées). Question 8 de la fiche GUCE : statut requis pour recevoir des versements.</w:t>
      </w:r>
    </w:p>
    <w:bookmarkEnd w:id="60"/>
    <w:bookmarkStart w:id="61" w:name="article-3-les-devis"/>
    <w:p>
      <w:pPr>
        <w:pStyle w:val="Heading2"/>
      </w:pPr>
      <w:r>
        <w:t xml:space="preserve">Article 3. Les devis</w:t>
      </w:r>
    </w:p>
    <w:p>
      <w:pPr>
        <w:pStyle w:val="Compact"/>
        <w:numPr>
          <w:ilvl w:val="0"/>
          <w:numId w:val="1022"/>
        </w:numPr>
      </w:pPr>
      <w:r>
        <w:t xml:space="preserve">Le devis indique le montant total demandé au client, la devise, le délai et ce qui est inclus. Il ne peut pas être modifié après acceptation par le client.</w:t>
      </w:r>
    </w:p>
    <w:p>
      <w:pPr>
        <w:pStyle w:val="Compact"/>
        <w:numPr>
          <w:ilvl w:val="0"/>
          <w:numId w:val="1022"/>
        </w:numPr>
      </w:pPr>
      <w:r>
        <w:t xml:space="preserve">Avant de commencer, le prestataire voit le montant brut, la commission Nexis Hub (10 %, ou 15 % si la demande est urgente) et le montant net qu'il recevra.</w:t>
      </w:r>
    </w:p>
    <w:p>
      <w:pPr>
        <w:pStyle w:val="Compact"/>
        <w:numPr>
          <w:ilvl w:val="0"/>
          <w:numId w:val="1022"/>
        </w:numPr>
      </w:pPr>
      <w:r>
        <w:t xml:space="preserve">Une demande non prévue au devis (travaux supplémentaires) fait l'objet d'une nouvelle mission et d'un nouveau devis dans le bot, jamais d'un paiement à part.</w:t>
      </w:r>
    </w:p>
    <w:p>
      <w:pPr>
        <w:pStyle w:val="Compact"/>
        <w:numPr>
          <w:ilvl w:val="0"/>
          <w:numId w:val="1022"/>
        </w:numPr>
      </w:pPr>
      <w:r>
        <w:t xml:space="preserve">Un prestataire ne peut pas envoyer de devis sur une demande qu'il a créée lui-même comme client.</w:t>
      </w:r>
    </w:p>
    <w:p>
      <w:pPr>
        <w:pStyle w:val="BlockText"/>
      </w:pPr>
      <w:r>
        <w:t xml:space="preserve">Pour le juriste : la fonction « travaux supplémentaires » n'existe pas encore dans le bot ; la règle 3 l'impose pour garder tout l'argent dans le séquestre.</w:t>
      </w:r>
    </w:p>
    <w:bookmarkEnd w:id="61"/>
    <w:bookmarkStart w:id="62" w:name="article-4-réaliser-la-mission"/>
    <w:p>
      <w:pPr>
        <w:pStyle w:val="Heading2"/>
      </w:pPr>
      <w:r>
        <w:t xml:space="preserve">Article 4. Réaliser la mission</w:t>
      </w:r>
    </w:p>
    <w:p>
      <w:pPr>
        <w:pStyle w:val="Compact"/>
        <w:numPr>
          <w:ilvl w:val="0"/>
          <w:numId w:val="1023"/>
        </w:numPr>
      </w:pPr>
      <w:r>
        <w:t xml:space="preserve">Le prestataire ne commence qu'après le message « paiement sécurisé reçu » dans le bot.</w:t>
      </w:r>
    </w:p>
    <w:p>
      <w:pPr>
        <w:pStyle w:val="Compact"/>
        <w:numPr>
          <w:ilvl w:val="0"/>
          <w:numId w:val="1023"/>
        </w:numPr>
      </w:pPr>
      <w:r>
        <w:t xml:space="preserve">Il indique dans le bot le début, puis la fin de la mission, honnêtement. Indiquer la fin d'une mission non terminée est une faute grave : cela déclenche le compte à rebours de 24 heures avant la libération automatique.</w:t>
      </w:r>
    </w:p>
    <w:p>
      <w:pPr>
        <w:pStyle w:val="Compact"/>
        <w:numPr>
          <w:ilvl w:val="0"/>
          <w:numId w:val="1023"/>
        </w:numPr>
      </w:pPr>
      <w:r>
        <w:t xml:space="preserve">Il réalise la prestation avec soin, dans le délai du devis, et respecte les biens, le domicile et la sécurité du client.</w:t>
      </w:r>
    </w:p>
    <w:p>
      <w:pPr>
        <w:pStyle w:val="Compact"/>
        <w:numPr>
          <w:ilvl w:val="0"/>
          <w:numId w:val="1023"/>
        </w:numPr>
      </w:pPr>
      <w:r>
        <w:t xml:space="preserve">Il est responsable des dommages qu'il cause pendant la mission. [À VALIDER : faut-il exiger une assurance de responsabilité pour certains métiers ?]</w:t>
      </w:r>
    </w:p>
    <w:p>
      <w:pPr>
        <w:pStyle w:val="Compact"/>
        <w:numPr>
          <w:ilvl w:val="0"/>
          <w:numId w:val="1023"/>
        </w:numPr>
      </w:pPr>
      <w:r>
        <w:t xml:space="preserve">S'il ne peut plus réaliser une mission payée, il prévient immédiatement le support ; le client sera remboursé selon le Règlement des litiges.</w:t>
      </w:r>
    </w:p>
    <w:bookmarkEnd w:id="62"/>
    <w:bookmarkStart w:id="63" w:name="article-5-être-payé"/>
    <w:p>
      <w:pPr>
        <w:pStyle w:val="Heading2"/>
      </w:pPr>
      <w:r>
        <w:t xml:space="preserve">Article 5. Être payé</w:t>
      </w:r>
    </w:p>
    <w:p>
      <w:pPr>
        <w:pStyle w:val="Compact"/>
        <w:numPr>
          <w:ilvl w:val="0"/>
          <w:numId w:val="1024"/>
        </w:numPr>
      </w:pPr>
      <w:r>
        <w:t xml:space="preserve">Le montant net est crédité sur le wallet du prestataire à la libération (confirmation du client, libération automatique 24 heures après l'indication de fin, ou décision sur un litige).</w:t>
      </w:r>
    </w:p>
    <w:p>
      <w:pPr>
        <w:pStyle w:val="Compact"/>
        <w:numPr>
          <w:ilvl w:val="0"/>
          <w:numId w:val="1024"/>
        </w:numPr>
      </w:pPr>
      <w:r>
        <w:t xml:space="preserve">Le prestataire retire son argent vers un numéro Mobile Money à son nom, selon les Conditions de paiement (validation, frais au prix coûtant, minimum).</w:t>
      </w:r>
    </w:p>
    <w:p>
      <w:pPr>
        <w:pStyle w:val="Compact"/>
        <w:numPr>
          <w:ilvl w:val="0"/>
          <w:numId w:val="1024"/>
        </w:numPr>
      </w:pPr>
      <w:r>
        <w:t xml:space="preserve">Nexis Hub ne verse jamais d'argent au prestataire en dehors de ce mécanisme.</w:t>
      </w:r>
    </w:p>
    <w:bookmarkEnd w:id="63"/>
    <w:bookmarkStart w:id="64" w:name="article-6-réactivité-et-visibilité"/>
    <w:p>
      <w:pPr>
        <w:pStyle w:val="Heading2"/>
      </w:pPr>
      <w:r>
        <w:t xml:space="preserve">Article 6. Réactivité et visibilité</w:t>
      </w:r>
    </w:p>
    <w:p>
      <w:pPr>
        <w:pStyle w:val="Compact"/>
        <w:numPr>
          <w:ilvl w:val="0"/>
          <w:numId w:val="1025"/>
        </w:numPr>
      </w:pPr>
      <w:r>
        <w:t xml:space="preserve">Une nouvelle demande laisse au prestataire 20 minutes pour répondre par un devis.</w:t>
      </w:r>
    </w:p>
    <w:p>
      <w:pPr>
        <w:pStyle w:val="Compact"/>
        <w:numPr>
          <w:ilvl w:val="0"/>
          <w:numId w:val="1025"/>
        </w:numPr>
      </w:pPr>
      <w:r>
        <w:t xml:space="preserve">La fiche du prestataire affiche sa note, son nombre de missions et son badge. Nexis Hub peut faire évoluer les règles d'attribution des badges ; elles sont décrites dans [À COMPLÉTER : page d'aide à écrire].</w:t>
      </w:r>
    </w:p>
    <w:p>
      <w:pPr>
        <w:pStyle w:val="Compact"/>
        <w:numPr>
          <w:ilvl w:val="0"/>
          <w:numId w:val="1025"/>
        </w:numPr>
      </w:pPr>
      <w:r>
        <w:t xml:space="preserve">Nexis Hub ne garantit aucun volume de demandes.</w:t>
      </w:r>
    </w:p>
    <w:bookmarkEnd w:id="64"/>
    <w:bookmarkStart w:id="65" w:name="Xfa5f8d113e698364e370bed976af8cb346f8c49"/>
    <w:p>
      <w:pPr>
        <w:pStyle w:val="Heading2"/>
      </w:pPr>
      <w:r>
        <w:t xml:space="preserve">Article 7. Interdictions propres aux prestataires</w:t>
      </w:r>
    </w:p>
    <w:p>
      <w:pPr>
        <w:pStyle w:val="FirstParagraph"/>
      </w:pPr>
      <w:r>
        <w:t xml:space="preserve">En plus des Règles de conduite, le prestataire s'interdit de :</w:t>
      </w:r>
    </w:p>
    <w:p>
      <w:pPr>
        <w:pStyle w:val="Compact"/>
        <w:numPr>
          <w:ilvl w:val="0"/>
          <w:numId w:val="1026"/>
        </w:numPr>
      </w:pPr>
      <w:r>
        <w:t xml:space="preserve">proposer au client de payer hors de Nexis Hub, ou de le recontacter pour ça après une mission trouvée sur la plateforme ;</w:t>
      </w:r>
    </w:p>
    <w:p>
      <w:pPr>
        <w:pStyle w:val="Compact"/>
        <w:numPr>
          <w:ilvl w:val="0"/>
          <w:numId w:val="1026"/>
        </w:numPr>
      </w:pPr>
      <w:r>
        <w:t xml:space="preserve">se faire remplacer par une personne non vérifiée sans l'accord du client ;</w:t>
      </w:r>
    </w:p>
    <w:p>
      <w:pPr>
        <w:pStyle w:val="Compact"/>
        <w:numPr>
          <w:ilvl w:val="0"/>
          <w:numId w:val="1026"/>
        </w:numPr>
      </w:pPr>
      <w:r>
        <w:t xml:space="preserve">demander un acompte, des frais de déplacement ou tout autre paiement hors du devis ;</w:t>
      </w:r>
    </w:p>
    <w:p>
      <w:pPr>
        <w:pStyle w:val="Compact"/>
        <w:numPr>
          <w:ilvl w:val="0"/>
          <w:numId w:val="1026"/>
        </w:numPr>
      </w:pPr>
      <w:r>
        <w:t xml:space="preserve">créer plusieurs comptes prestataires ;</w:t>
      </w:r>
    </w:p>
    <w:p>
      <w:pPr>
        <w:pStyle w:val="Compact"/>
        <w:numPr>
          <w:ilvl w:val="0"/>
          <w:numId w:val="1026"/>
        </w:numPr>
      </w:pPr>
      <w:r>
        <w:t xml:space="preserve">utiliser les coordonnées du client à d'autres fins que la mission.</w:t>
      </w:r>
    </w:p>
    <w:bookmarkEnd w:id="65"/>
    <w:bookmarkStart w:id="66" w:name="article-8-suspension"/>
    <w:p>
      <w:pPr>
        <w:pStyle w:val="Heading2"/>
      </w:pPr>
      <w:r>
        <w:t xml:space="preserve">Article 8. Suspension</w:t>
      </w:r>
    </w:p>
    <w:p>
      <w:pPr>
        <w:pStyle w:val="FirstParagraph"/>
      </w:pPr>
      <w:r>
        <w:t xml:space="preserve">Nexis Hub peut suspendre un profil prestataire selon les Règles de conduite. Un prestataire suspendu ne reçoit plus de demandes. Ses missions déjà payées suivent les règles habituelles et l'argent qui lui revient reste à son nom.</w:t>
      </w:r>
    </w:p>
    <w:p>
      <w:r>
        <w:br w:type="page"/>
      </w:r>
    </w:p>
    <w:bookmarkEnd w:id="66"/>
    <w:bookmarkEnd w:id="67"/>
    <w:bookmarkStart w:id="74" w:name="X74f33edbeb31d6ee753fc64979dbfc52debe4b1"/>
    <w:p>
      <w:pPr>
        <w:pStyle w:val="Heading1"/>
      </w:pPr>
      <w:r>
        <w:t xml:space="preserve">Règles de conduite, suspension et clôture des comptes</w:t>
      </w:r>
    </w:p>
    <w:p>
      <w:pPr>
        <w:pStyle w:val="FirstParagraph"/>
      </w:pPr>
      <w:r>
        <w:t xml:space="preserve">Projet du 3 octobre 2026, à faire valider par un juriste. Ces règles font partie des Conditions générales et s'appliquent à tous, clients et prestataires.</w:t>
      </w:r>
    </w:p>
    <w:bookmarkStart w:id="68" w:name="article-1-ce-qui-est-interdit"/>
    <w:p>
      <w:pPr>
        <w:pStyle w:val="Heading2"/>
      </w:pPr>
      <w:r>
        <w:t xml:space="preserve">Article 1. Ce qui est interdit</w:t>
      </w:r>
    </w:p>
    <w:p>
      <w:pPr>
        <w:pStyle w:val="Compact"/>
        <w:numPr>
          <w:ilvl w:val="0"/>
          <w:numId w:val="1027"/>
        </w:numPr>
      </w:pPr>
      <w:r>
        <w:rPr>
          <w:b/>
          <w:bCs/>
        </w:rPr>
        <w:t xml:space="preserve">Contourner la plateforme</w:t>
      </w:r>
      <w:r>
        <w:t xml:space="preserve"> </w:t>
      </w:r>
      <w:r>
        <w:t xml:space="preserve">: payer ou se faire payer en dehors de Nexis Hub pour une mission trouvée sur Nexis Hub, ou se mettre d'accord pour le faire. Un paiement hors plateforme n'est ni gardé ni remboursé.</w:t>
      </w:r>
    </w:p>
    <w:p>
      <w:pPr>
        <w:pStyle w:val="Compact"/>
        <w:numPr>
          <w:ilvl w:val="0"/>
          <w:numId w:val="1027"/>
        </w:numPr>
      </w:pPr>
      <w:r>
        <w:rPr>
          <w:b/>
          <w:bCs/>
        </w:rPr>
        <w:t xml:space="preserve">Tromper</w:t>
      </w:r>
      <w:r>
        <w:t xml:space="preserve"> </w:t>
      </w:r>
      <w:r>
        <w:t xml:space="preserve">: fausse identité, pièce d'identité d'un tiers, faux avis, fausse indication de fin de mission, litige sans motif réel.</w:t>
      </w:r>
    </w:p>
    <w:p>
      <w:pPr>
        <w:pStyle w:val="Compact"/>
        <w:numPr>
          <w:ilvl w:val="0"/>
          <w:numId w:val="1027"/>
        </w:numPr>
      </w:pPr>
      <w:r>
        <w:rPr>
          <w:b/>
          <w:bCs/>
        </w:rPr>
        <w:t xml:space="preserve">Frauder avec l'argent</w:t>
      </w:r>
      <w:r>
        <w:t xml:space="preserve"> </w:t>
      </w:r>
      <w:r>
        <w:t xml:space="preserve">: utiliser un numéro Mobile Money qui n'est pas le sien, chercher à faire payer deux fois une mission, faire circuler de l'argent sans mission réelle.</w:t>
      </w:r>
    </w:p>
    <w:p>
      <w:pPr>
        <w:pStyle w:val="Compact"/>
        <w:numPr>
          <w:ilvl w:val="0"/>
          <w:numId w:val="1027"/>
        </w:numPr>
      </w:pPr>
      <w:r>
        <w:rPr>
          <w:b/>
          <w:bCs/>
        </w:rPr>
        <w:t xml:space="preserve">Avoir plusieurs comptes</w:t>
      </w:r>
      <w:r>
        <w:t xml:space="preserve"> </w:t>
      </w:r>
      <w:r>
        <w:t xml:space="preserve">pour échapper à une sanction ou manipuler les avis.</w:t>
      </w:r>
    </w:p>
    <w:p>
      <w:pPr>
        <w:pStyle w:val="Compact"/>
        <w:numPr>
          <w:ilvl w:val="0"/>
          <w:numId w:val="1027"/>
        </w:numPr>
      </w:pPr>
      <w:r>
        <w:rPr>
          <w:b/>
          <w:bCs/>
        </w:rPr>
        <w:t xml:space="preserve">Menacer, harceler, insulter ou discriminer</w:t>
      </w:r>
      <w:r>
        <w:t xml:space="preserve"> </w:t>
      </w:r>
      <w:r>
        <w:t xml:space="preserve">une autre personne, dans le bot ou pendant une mission.</w:t>
      </w:r>
    </w:p>
    <w:p>
      <w:pPr>
        <w:pStyle w:val="Compact"/>
        <w:numPr>
          <w:ilvl w:val="0"/>
          <w:numId w:val="1027"/>
        </w:numPr>
      </w:pPr>
      <w:r>
        <w:rPr>
          <w:b/>
          <w:bCs/>
        </w:rPr>
        <w:t xml:space="preserve">Mettre en danger</w:t>
      </w:r>
      <w:r>
        <w:t xml:space="preserve"> </w:t>
      </w:r>
      <w:r>
        <w:t xml:space="preserve">: violence, vol, dégradation volontaire, travail dangereux sans précaution.</w:t>
      </w:r>
    </w:p>
    <w:p>
      <w:pPr>
        <w:pStyle w:val="Compact"/>
        <w:numPr>
          <w:ilvl w:val="0"/>
          <w:numId w:val="1027"/>
        </w:numPr>
      </w:pPr>
      <w:r>
        <w:rPr>
          <w:b/>
          <w:bCs/>
        </w:rPr>
        <w:t xml:space="preserve">Demander un service illégal</w:t>
      </w:r>
      <w:r>
        <w:t xml:space="preserve"> </w:t>
      </w:r>
      <w:r>
        <w:t xml:space="preserve">ou utiliser Nexis Hub pour une activité interdite par la loi.</w:t>
      </w:r>
    </w:p>
    <w:p>
      <w:pPr>
        <w:pStyle w:val="Compact"/>
        <w:numPr>
          <w:ilvl w:val="0"/>
          <w:numId w:val="1027"/>
        </w:numPr>
      </w:pPr>
      <w:r>
        <w:rPr>
          <w:b/>
          <w:bCs/>
        </w:rPr>
        <w:t xml:space="preserve">Perturber le service</w:t>
      </w:r>
      <w:r>
        <w:t xml:space="preserve"> </w:t>
      </w:r>
      <w:r>
        <w:t xml:space="preserve">: envoi massif de messages, tentative d'accès aux comptes d'autrui ou aux systèmes de Nexis Hub.</w:t>
      </w:r>
    </w:p>
    <w:p>
      <w:pPr>
        <w:pStyle w:val="Compact"/>
        <w:numPr>
          <w:ilvl w:val="0"/>
          <w:numId w:val="1027"/>
        </w:numPr>
      </w:pPr>
      <w:r>
        <w:rPr>
          <w:b/>
          <w:bCs/>
        </w:rPr>
        <w:t xml:space="preserve">Utiliser les données d'autrui</w:t>
      </w:r>
      <w:r>
        <w:t xml:space="preserve"> </w:t>
      </w:r>
      <w:r>
        <w:t xml:space="preserve">(numéro, adresse, photos) à d'autres fins que la mission.</w:t>
      </w:r>
    </w:p>
    <w:bookmarkEnd w:id="68"/>
    <w:bookmarkStart w:id="69" w:name="article-2-les-mesures-possibles"/>
    <w:p>
      <w:pPr>
        <w:pStyle w:val="Heading2"/>
      </w:pPr>
      <w:r>
        <w:t xml:space="preserve">Article 2. Les mesures possibles</w:t>
      </w:r>
    </w:p>
    <w:p>
      <w:pPr>
        <w:pStyle w:val="FirstParagraph"/>
      </w:pPr>
      <w:r>
        <w:t xml:space="preserve">Nexis Hub choisit une mesure proportionnée à la gravité et à la répétition du manquement.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Mesure</w:t>
            </w:r>
          </w:p>
        </w:tc>
        <w:tc>
          <w:tcPr/>
          <w:p>
            <w:pPr>
              <w:pStyle w:val="Compact"/>
            </w:pPr>
            <w:r>
              <w:t xml:space="preserve">Effet</w:t>
            </w:r>
          </w:p>
        </w:tc>
        <w:tc>
          <w:tcPr/>
          <w:p>
            <w:pPr>
              <w:pStyle w:val="Compact"/>
            </w:pPr>
            <w:r>
              <w:t xml:space="preserve">Exemples de cas</w:t>
            </w:r>
          </w:p>
        </w:tc>
      </w:tr>
      <w:tr>
        <w:tc>
          <w:tcPr/>
          <w:p>
            <w:pPr>
              <w:pStyle w:val="Compact"/>
            </w:pPr>
            <w:r>
              <w:t xml:space="preserve">Avertissement</w:t>
            </w:r>
          </w:p>
        </w:tc>
        <w:tc>
          <w:tcPr/>
          <w:p>
            <w:pPr>
              <w:pStyle w:val="Compact"/>
            </w:pPr>
            <w:r>
              <w:t xml:space="preserve">Message écrit dans le bot, enregistré</w:t>
            </w:r>
          </w:p>
        </w:tc>
        <w:tc>
          <w:tcPr/>
          <w:p>
            <w:pPr>
              <w:pStyle w:val="Compact"/>
            </w:pPr>
            <w:r>
              <w:t xml:space="preserve">Premier retard important, ton déplacé</w:t>
            </w:r>
          </w:p>
        </w:tc>
      </w:tr>
      <w:tr>
        <w:tc>
          <w:tcPr/>
          <w:p>
            <w:pPr>
              <w:pStyle w:val="Compact"/>
            </w:pPr>
            <w:r>
              <w:t xml:space="preserve">Retrait d'un contenu</w:t>
            </w:r>
          </w:p>
        </w:tc>
        <w:tc>
          <w:tcPr/>
          <w:p>
            <w:pPr>
              <w:pStyle w:val="Compact"/>
            </w:pPr>
            <w:r>
              <w:t xml:space="preserve">Avis ou photo supprimé</w:t>
            </w:r>
          </w:p>
        </w:tc>
        <w:tc>
          <w:tcPr/>
          <w:p>
            <w:pPr>
              <w:pStyle w:val="Compact"/>
            </w:pPr>
            <w:r>
              <w:t xml:space="preserve">Avis injurieux ou sans rapport</w:t>
            </w:r>
          </w:p>
        </w:tc>
      </w:tr>
      <w:tr>
        <w:tc>
          <w:tcPr/>
          <w:p>
            <w:pPr>
              <w:pStyle w:val="Compact"/>
            </w:pPr>
            <w:r>
              <w:t xml:space="preserve">Suspension temporaire</w:t>
            </w:r>
          </w:p>
        </w:tc>
        <w:tc>
          <w:tcPr/>
          <w:p>
            <w:pPr>
              <w:pStyle w:val="Compact"/>
            </w:pPr>
            <w:r>
              <w:t xml:space="preserve">Plus de nouvelles demandes ni de devis pendant [À COMPLÉTER : durée]</w:t>
            </w:r>
          </w:p>
        </w:tc>
        <w:tc>
          <w:tcPr/>
          <w:p>
            <w:pPr>
              <w:pStyle w:val="Compact"/>
            </w:pPr>
            <w:r>
              <w:t xml:space="preserve">Litiges abusifs, contournement avéré une première fois</w:t>
            </w:r>
          </w:p>
        </w:tc>
      </w:tr>
      <w:tr>
        <w:tc>
          <w:tcPr/>
          <w:p>
            <w:pPr>
              <w:pStyle w:val="Compact"/>
            </w:pPr>
            <w:r>
              <w:t xml:space="preserve">Blocage des retraits</w:t>
            </w:r>
          </w:p>
        </w:tc>
        <w:tc>
          <w:tcPr/>
          <w:p>
            <w:pPr>
              <w:pStyle w:val="Compact"/>
            </w:pPr>
            <w:r>
              <w:t xml:space="preserve">Retraits bloqués le temps d'une vérification ; l'argent reste au nom du titulaire</w:t>
            </w:r>
          </w:p>
        </w:tc>
        <w:tc>
          <w:tcPr/>
          <w:p>
            <w:pPr>
              <w:pStyle w:val="Compact"/>
            </w:pPr>
            <w:r>
              <w:t xml:space="preserve">Soupçon sérieux de fraude</w:t>
            </w:r>
          </w:p>
        </w:tc>
      </w:tr>
      <w:tr>
        <w:tc>
          <w:tcPr/>
          <w:p>
            <w:pPr>
              <w:pStyle w:val="Compact"/>
            </w:pPr>
            <w:r>
              <w:t xml:space="preserve">Clôture du compte</w:t>
            </w:r>
          </w:p>
        </w:tc>
        <w:tc>
          <w:tcPr/>
          <w:p>
            <w:pPr>
              <w:pStyle w:val="Compact"/>
            </w:pPr>
            <w:r>
              <w:t xml:space="preserve">Compte fermé ; nouvelle inscription refusée</w:t>
            </w:r>
          </w:p>
        </w:tc>
        <w:tc>
          <w:tcPr/>
          <w:p>
            <w:pPr>
              <w:pStyle w:val="Compact"/>
            </w:pPr>
            <w:r>
              <w:t xml:space="preserve">Fraude, violence, usurpation d'identité, récidive</w:t>
            </w:r>
          </w:p>
        </w:tc>
      </w:tr>
    </w:tbl>
    <w:bookmarkEnd w:id="69"/>
    <w:bookmarkStart w:id="70" w:name="article-3-comment-la-décision-est-prise"/>
    <w:p>
      <w:pPr>
        <w:pStyle w:val="Heading2"/>
      </w:pPr>
      <w:r>
        <w:t xml:space="preserve">Article 3. Comment la décision est prise</w:t>
      </w:r>
    </w:p>
    <w:p>
      <w:pPr>
        <w:pStyle w:val="Compact"/>
        <w:numPr>
          <w:ilvl w:val="0"/>
          <w:numId w:val="1028"/>
        </w:numPr>
      </w:pPr>
      <w:r>
        <w:t xml:space="preserve">Sauf urgence (danger pour une personne, fraude en cours), Nexis Hub informe la personne du manquement reproché et lui laisse [À COMPLÉTER : délai] pour s'expliquer avant une suspension ou une clôture.</w:t>
      </w:r>
    </w:p>
    <w:p>
      <w:pPr>
        <w:pStyle w:val="Compact"/>
        <w:numPr>
          <w:ilvl w:val="0"/>
          <w:numId w:val="1028"/>
        </w:numPr>
      </w:pPr>
      <w:r>
        <w:t xml:space="preserve">En cas d'urgence, la mesure s'applique tout de suite et la personne est informée en même temps, avec le motif.</w:t>
      </w:r>
    </w:p>
    <w:p>
      <w:pPr>
        <w:pStyle w:val="Compact"/>
        <w:numPr>
          <w:ilvl w:val="0"/>
          <w:numId w:val="1028"/>
        </w:numPr>
      </w:pPr>
      <w:r>
        <w:t xml:space="preserve">Toute mesure est notifiée dans le bot avec son motif et sa durée.</w:t>
      </w:r>
    </w:p>
    <w:p>
      <w:pPr>
        <w:pStyle w:val="Compact"/>
        <w:numPr>
          <w:ilvl w:val="0"/>
          <w:numId w:val="1028"/>
        </w:numPr>
      </w:pPr>
      <w:r>
        <w:t xml:space="preserve">La personne peut contester la mesure auprès du support dans un délai de [À COMPLÉTER]. La contestation est examinée par [À COMPLÉTER : une personne autre que celle qui a pris la décision, quand l'équipe le permettra].</w:t>
      </w:r>
    </w:p>
    <w:bookmarkEnd w:id="70"/>
    <w:bookmarkStart w:id="71" w:name="Xf996eb60d3cc6c7316013cb0eda7d1bf6a6a2f7"/>
    <w:p>
      <w:pPr>
        <w:pStyle w:val="Heading2"/>
      </w:pPr>
      <w:r>
        <w:t xml:space="preserve">Article 4. L'argent n'est jamais confisqué par une sanction</w:t>
      </w:r>
    </w:p>
    <w:p>
      <w:pPr>
        <w:pStyle w:val="Compact"/>
        <w:numPr>
          <w:ilvl w:val="0"/>
          <w:numId w:val="1029"/>
        </w:numPr>
      </w:pPr>
      <w:r>
        <w:t xml:space="preserve">Une sanction ne fait jamais disparaître l'argent d'un compte. Les missions déjà payées se terminent ou sont tranchées selon les règles habituelles.</w:t>
      </w:r>
    </w:p>
    <w:p>
      <w:pPr>
        <w:pStyle w:val="Compact"/>
        <w:numPr>
          <w:ilvl w:val="0"/>
          <w:numId w:val="1029"/>
        </w:numPr>
      </w:pPr>
      <w:r>
        <w:t xml:space="preserve">En cas de clôture, le solde est versé au titulaire après vérification d'identité, vers un numéro Mobile Money à son nom.</w:t>
      </w:r>
    </w:p>
    <w:p>
      <w:pPr>
        <w:pStyle w:val="Compact"/>
        <w:numPr>
          <w:ilvl w:val="0"/>
          <w:numId w:val="1029"/>
        </w:numPr>
      </w:pPr>
      <w:r>
        <w:t xml:space="preserve">Seule une décision d'une autorité compétente peut ordonner de retenir ou de saisir cet argent [À VALIDER : cas d'obligations légales de gel ou de déclaration].</w:t>
      </w:r>
    </w:p>
    <w:bookmarkEnd w:id="71"/>
    <w:bookmarkStart w:id="72" w:name="article-5-fermer-son-propre-compte"/>
    <w:p>
      <w:pPr>
        <w:pStyle w:val="Heading2"/>
      </w:pPr>
      <w:r>
        <w:t xml:space="preserve">Article 5. Fermer son propre compte</w:t>
      </w:r>
    </w:p>
    <w:p>
      <w:pPr>
        <w:pStyle w:val="FirstParagraph"/>
      </w:pPr>
      <w:r>
        <w:t xml:space="preserve">Chacun peut demander la clôture de son compte à tout moment, si son solde est nul et qu'aucune mission n'est en cours. Les opérations d'argent passées restent enregistrées sans données personnelles, pendant la durée de conservation légale (Politique de confidentialité).</w:t>
      </w:r>
    </w:p>
    <w:bookmarkEnd w:id="72"/>
    <w:bookmarkStart w:id="73" w:name="article-6-signaler-un-comportement"/>
    <w:p>
      <w:pPr>
        <w:pStyle w:val="Heading2"/>
      </w:pPr>
      <w:r>
        <w:t xml:space="preserve">Article 6. Signaler un comportement</w:t>
      </w:r>
    </w:p>
    <w:p>
      <w:pPr>
        <w:pStyle w:val="FirstParagraph"/>
      </w:pPr>
      <w:r>
        <w:t xml:space="preserve">Tout utilisateur peut signaler un comportement contraire à ces règles au support : [À COMPLÉTER : e-mail et numéro]. En cas de danger immédiat, contactez d'abord les services de police.</w:t>
      </w:r>
    </w:p>
    <w:p>
      <w:r>
        <w:br w:type="page"/>
      </w:r>
    </w:p>
    <w:bookmarkEnd w:id="73"/>
    <w:bookmarkEnd w:id="74"/>
    <w:bookmarkStart w:id="83" w:name="X277fe5aaa93dc62f745c49314066cf8de2299f7"/>
    <w:p>
      <w:pPr>
        <w:pStyle w:val="Heading1"/>
      </w:pPr>
      <w:r>
        <w:t xml:space="preserve">Politique de confidentialité et données personnelles</w:t>
      </w:r>
    </w:p>
    <w:p>
      <w:pPr>
        <w:pStyle w:val="FirstParagraph"/>
      </w:pPr>
      <w:r>
        <w:t xml:space="preserve">Projet du 3 octobre 2026, à faire valider par un juriste. Référence principale : livre consacré aux données à caractère personnel de l'ordonnance-loi n° 23/010 du 13 mars 2023 portant Code du numérique (articles non lus dans le texte, sauf définitions de l'art. 2).</w:t>
      </w:r>
    </w:p>
    <w:bookmarkStart w:id="75" w:name="X8bba79af83fb6ea9ff46f812d77ec3ddd77b273"/>
    <w:p>
      <w:pPr>
        <w:pStyle w:val="Heading2"/>
      </w:pPr>
      <w:r>
        <w:t xml:space="preserve">1. Qui est responsable de vos données</w:t>
      </w:r>
    </w:p>
    <w:p>
      <w:pPr>
        <w:pStyle w:val="FirstParagraph"/>
      </w:pPr>
      <w:r>
        <w:t xml:space="preserve">[À COMPLÉTER : raison sociale, forme, RCCM, siège à Kinshasa], qui édite Nexis Hub. Délégué à la protection des données : [À COMPLÉTER : nom ou fonction, e-mail]. [À COMPLÉTER : référence de la déclaration ou de l'autorisation du traitement auprès de l'autorité compétente, si le juriste confirme qu'elle est requise.]</w:t>
      </w:r>
    </w:p>
    <w:bookmarkEnd w:id="75"/>
    <w:bookmarkStart w:id="76" w:name="Xaf192a07d6d446132d66ffbd8eb7e26f94deb52"/>
    <w:p>
      <w:pPr>
        <w:pStyle w:val="Heading2"/>
      </w:pPr>
      <w:r>
        <w:t xml:space="preserve">2. Les données que nous utilisons, et pourquoi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Données</w:t>
            </w:r>
          </w:p>
        </w:tc>
        <w:tc>
          <w:tcPr/>
          <w:p>
            <w:pPr>
              <w:pStyle w:val="Compact"/>
            </w:pPr>
            <w:r>
              <w:t xml:space="preserve">Qui</w:t>
            </w:r>
          </w:p>
        </w:tc>
        <w:tc>
          <w:tcPr/>
          <w:p>
            <w:pPr>
              <w:pStyle w:val="Compact"/>
            </w:pPr>
            <w:r>
              <w:t xml:space="preserve">Pourquoi</w:t>
            </w:r>
          </w:p>
        </w:tc>
        <w:tc>
          <w:tcPr/>
          <w:p>
            <w:pPr>
              <w:pStyle w:val="Compact"/>
            </w:pPr>
            <w:r>
              <w:t xml:space="preserve">Fondement</w:t>
            </w:r>
          </w:p>
        </w:tc>
        <w:tc>
          <w:tcPr/>
          <w:p>
            <w:pPr>
              <w:pStyle w:val="Compact"/>
            </w:pPr>
            <w:r>
              <w:t xml:space="preserve">Combien de temps</w:t>
            </w:r>
          </w:p>
        </w:tc>
      </w:tr>
      <w:tr>
        <w:tc>
          <w:tcPr/>
          <w:p>
            <w:pPr>
              <w:pStyle w:val="Compact"/>
            </w:pPr>
            <w:r>
              <w:t xml:space="preserve">Nom, langue, numéro de téléphone, identifiant Telegram ou WhatsApp</w:t>
            </w:r>
          </w:p>
        </w:tc>
        <w:tc>
          <w:tcPr/>
          <w:p>
            <w:pPr>
              <w:pStyle w:val="Compact"/>
            </w:pPr>
            <w:r>
              <w:t xml:space="preserve">Tous</w:t>
            </w:r>
          </w:p>
        </w:tc>
        <w:tc>
          <w:tcPr/>
          <w:p>
            <w:pPr>
              <w:pStyle w:val="Compact"/>
            </w:pPr>
            <w:r>
              <w:t xml:space="preserve">Créer et sécuriser votre compte, vous envoyer les messages du service, relier vos canaux</w:t>
            </w:r>
          </w:p>
        </w:tc>
        <w:tc>
          <w:tcPr/>
          <w:p>
            <w:pPr>
              <w:pStyle w:val="Compact"/>
            </w:pPr>
            <w:r>
              <w:t xml:space="preserve">Contrat</w:t>
            </w:r>
          </w:p>
        </w:tc>
        <w:tc>
          <w:tcPr/>
          <w:p>
            <w:pPr>
              <w:pStyle w:val="Compact"/>
            </w:pPr>
            <w:r>
              <w:t xml:space="preserve">Vie du compte ; effacés à la clôture</w:t>
            </w:r>
          </w:p>
        </w:tc>
      </w:tr>
      <w:tr>
        <w:tc>
          <w:tcPr/>
          <w:p>
            <w:pPr>
              <w:pStyle w:val="Compact"/>
            </w:pPr>
            <w:r>
              <w:t xml:space="preserve">Demande : service, commune, urgence, devise, description, photos et notes vocales (Telegram)</w:t>
            </w:r>
          </w:p>
        </w:tc>
        <w:tc>
          <w:tcPr/>
          <w:p>
            <w:pPr>
              <w:pStyle w:val="Compact"/>
            </w:pPr>
            <w:r>
              <w:t xml:space="preserve">Clients</w:t>
            </w:r>
          </w:p>
        </w:tc>
        <w:tc>
          <w:tcPr/>
          <w:p>
            <w:pPr>
              <w:pStyle w:val="Compact"/>
            </w:pPr>
            <w:r>
              <w:t xml:space="preserve">Transmettre votre demande aux prestataires et traiter un litige</w:t>
            </w:r>
          </w:p>
        </w:tc>
        <w:tc>
          <w:tcPr/>
          <w:p>
            <w:pPr>
              <w:pStyle w:val="Compact"/>
            </w:pPr>
            <w:r>
              <w:t xml:space="preserve">Contrat</w:t>
            </w:r>
          </w:p>
        </w:tc>
        <w:tc>
          <w:tcPr/>
          <w:p>
            <w:pPr>
              <w:pStyle w:val="Compact"/>
            </w:pPr>
            <w:r>
              <w:t xml:space="preserve">[À COMPLÉTER : durée après la fin de la mission]</w:t>
            </w:r>
          </w:p>
        </w:tc>
      </w:tr>
      <w:tr>
        <w:tc>
          <w:tcPr/>
          <w:p>
            <w:pPr>
              <w:pStyle w:val="Compact"/>
            </w:pPr>
            <w:r>
              <w:t xml:space="preserve">Devis, déroulement de la mission, avis</w:t>
            </w:r>
          </w:p>
        </w:tc>
        <w:tc>
          <w:tcPr/>
          <w:p>
            <w:pPr>
              <w:pStyle w:val="Compact"/>
            </w:pPr>
            <w:r>
              <w:t xml:space="preserve">Clients et prestataires</w:t>
            </w:r>
          </w:p>
        </w:tc>
        <w:tc>
          <w:tcPr/>
          <w:p>
            <w:pPr>
              <w:pStyle w:val="Compact"/>
            </w:pPr>
            <w:r>
              <w:t xml:space="preserve">Exécuter la mission, afficher la réputation, traiter un litige</w:t>
            </w:r>
          </w:p>
        </w:tc>
        <w:tc>
          <w:tcPr/>
          <w:p>
            <w:pPr>
              <w:pStyle w:val="Compact"/>
            </w:pPr>
            <w:r>
              <w:t xml:space="preserve">Contrat</w:t>
            </w:r>
          </w:p>
        </w:tc>
        <w:tc>
          <w:tcPr/>
          <w:p>
            <w:pPr>
              <w:pStyle w:val="Compact"/>
            </w:pPr>
            <w:r>
              <w:t xml:space="preserve">[À COMPLÉTER]</w:t>
            </w:r>
          </w:p>
        </w:tc>
      </w:tr>
      <w:tr>
        <w:tc>
          <w:tcPr/>
          <w:p>
            <w:pPr>
              <w:pStyle w:val="Compact"/>
            </w:pPr>
            <w:r>
              <w:t xml:space="preserve">Opérations d'argent : montants, dates, références de paiement, numéro Mobile Money masqué dans les journaux</w:t>
            </w:r>
          </w:p>
        </w:tc>
        <w:tc>
          <w:tcPr/>
          <w:p>
            <w:pPr>
              <w:pStyle w:val="Compact"/>
            </w:pPr>
            <w:r>
              <w:t xml:space="preserve">Tous</w:t>
            </w:r>
          </w:p>
        </w:tc>
        <w:tc>
          <w:tcPr/>
          <w:p>
            <w:pPr>
              <w:pStyle w:val="Compact"/>
            </w:pPr>
            <w:r>
              <w:t xml:space="preserve">Tenir le registre, payer, rembourser, verser, détecter la fraude, rapprocher avec l'agrégateur</w:t>
            </w:r>
          </w:p>
        </w:tc>
        <w:tc>
          <w:tcPr/>
          <w:p>
            <w:pPr>
              <w:pStyle w:val="Compact"/>
            </w:pPr>
            <w:r>
              <w:t xml:space="preserve">Contrat et obligation légale (comptabilité)</w:t>
            </w:r>
          </w:p>
        </w:tc>
        <w:tc>
          <w:tcPr/>
          <w:p>
            <w:pPr>
              <w:pStyle w:val="Compact"/>
            </w:pPr>
            <w:r>
              <w:t xml:space="preserve">[À COMPLÉTER : durée légale ; 10 ans pour les pièces comptables selon le droit OHADA, à confirmer]</w:t>
            </w:r>
          </w:p>
        </w:tc>
      </w:tr>
      <w:tr>
        <w:tc>
          <w:tcPr/>
          <w:p>
            <w:pPr>
              <w:pStyle w:val="Compact"/>
            </w:pPr>
            <w:r>
              <w:t xml:space="preserve">Pièce d'identité et selfie</w:t>
            </w:r>
          </w:p>
        </w:tc>
        <w:tc>
          <w:tcPr/>
          <w:p>
            <w:pPr>
              <w:pStyle w:val="Compact"/>
            </w:pPr>
            <w:r>
              <w:t xml:space="preserve">Prestataires</w:t>
            </w:r>
          </w:p>
        </w:tc>
        <w:tc>
          <w:tcPr/>
          <w:p>
            <w:pPr>
              <w:pStyle w:val="Compact"/>
            </w:pPr>
            <w:r>
              <w:t xml:space="preserve">Vérifier l'identité avant d'envoyer des demandes</w:t>
            </w:r>
          </w:p>
        </w:tc>
        <w:tc>
          <w:tcPr/>
          <w:p>
            <w:pPr>
              <w:pStyle w:val="Compact"/>
            </w:pPr>
            <w:r>
              <w:t xml:space="preserve">[À VALIDER : contrat, intérêt légitime ou consentement explicite]</w:t>
            </w:r>
          </w:p>
        </w:tc>
        <w:tc>
          <w:tcPr/>
          <w:p>
            <w:pPr>
              <w:pStyle w:val="Compact"/>
            </w:pPr>
            <w:r>
              <w:t xml:space="preserve">[À COMPLÉTER : durée après la fin de l'activité]</w:t>
            </w:r>
          </w:p>
        </w:tc>
      </w:tr>
      <w:tr>
        <w:tc>
          <w:tcPr/>
          <w:p>
            <w:pPr>
              <w:pStyle w:val="Compact"/>
            </w:pPr>
            <w:r>
              <w:t xml:space="preserve">Litige : motif, messages, preuves</w:t>
            </w:r>
          </w:p>
        </w:tc>
        <w:tc>
          <w:tcPr/>
          <w:p>
            <w:pPr>
              <w:pStyle w:val="Compact"/>
            </w:pPr>
            <w:r>
              <w:t xml:space="preserve">Parties au litige</w:t>
            </w:r>
          </w:p>
        </w:tc>
        <w:tc>
          <w:tcPr/>
          <w:p>
            <w:pPr>
              <w:pStyle w:val="Compact"/>
            </w:pPr>
            <w:r>
              <w:t xml:space="preserve">Examiner et trancher le litige</w:t>
            </w:r>
          </w:p>
        </w:tc>
        <w:tc>
          <w:tcPr/>
          <w:p>
            <w:pPr>
              <w:pStyle w:val="Compact"/>
            </w:pPr>
            <w:r>
              <w:t xml:space="preserve">Contrat</w:t>
            </w:r>
          </w:p>
        </w:tc>
        <w:tc>
          <w:tcPr/>
          <w:p>
            <w:pPr>
              <w:pStyle w:val="Compact"/>
            </w:pPr>
            <w:r>
              <w:t xml:space="preserve">Au moins aussi longtemps que les opérations d'argent de la mission</w:t>
            </w:r>
          </w:p>
        </w:tc>
      </w:tr>
      <w:tr>
        <w:tc>
          <w:tcPr/>
          <w:p>
            <w:pPr>
              <w:pStyle w:val="Compact"/>
            </w:pPr>
            <w:r>
              <w:t xml:space="preserve">Journal des liaisons et récupérations de compte</w:t>
            </w:r>
          </w:p>
        </w:tc>
        <w:tc>
          <w:tcPr/>
          <w:p>
            <w:pPr>
              <w:pStyle w:val="Compact"/>
            </w:pPr>
            <w:r>
              <w:t xml:space="preserve">Tous</w:t>
            </w:r>
          </w:p>
        </w:tc>
        <w:tc>
          <w:tcPr/>
          <w:p>
            <w:pPr>
              <w:pStyle w:val="Compact"/>
            </w:pPr>
            <w:r>
              <w:t xml:space="preserve">Prouver qui contrôle un compte, empêcher les vols de compte</w:t>
            </w:r>
          </w:p>
        </w:tc>
        <w:tc>
          <w:tcPr/>
          <w:p>
            <w:pPr>
              <w:pStyle w:val="Compact"/>
            </w:pPr>
            <w:r>
              <w:t xml:space="preserve">Intérêt légitime (sécurité)</w:t>
            </w:r>
          </w:p>
        </w:tc>
        <w:tc>
          <w:tcPr/>
          <w:p>
            <w:pPr>
              <w:pStyle w:val="Compact"/>
            </w:pPr>
            <w:r>
              <w:t xml:space="preserve">Au moins aussi longtemps que les opérations d'argent du compte</w:t>
            </w:r>
          </w:p>
        </w:tc>
      </w:tr>
      <w:tr>
        <w:tc>
          <w:tcPr/>
          <w:p>
            <w:pPr>
              <w:pStyle w:val="Compact"/>
            </w:pPr>
            <w:r>
              <w:t xml:space="preserve">Étape en cours d'une conversation WhatsApp</w:t>
            </w:r>
          </w:p>
        </w:tc>
        <w:tc>
          <w:tcPr/>
          <w:p>
            <w:pPr>
              <w:pStyle w:val="Compact"/>
            </w:pPr>
            <w:r>
              <w:t xml:space="preserve">Clients WhatsApp</w:t>
            </w:r>
          </w:p>
        </w:tc>
        <w:tc>
          <w:tcPr/>
          <w:p>
            <w:pPr>
              <w:pStyle w:val="Compact"/>
            </w:pPr>
            <w:r>
              <w:t xml:space="preserve">Reprendre la conversation là où vous en étiez</w:t>
            </w:r>
          </w:p>
        </w:tc>
        <w:tc>
          <w:tcPr/>
          <w:p>
            <w:pPr>
              <w:pStyle w:val="Compact"/>
            </w:pPr>
            <w:r>
              <w:t xml:space="preserve">Contrat</w:t>
            </w:r>
          </w:p>
        </w:tc>
        <w:tc>
          <w:tcPr/>
          <w:p>
            <w:pPr>
              <w:pStyle w:val="Compact"/>
            </w:pPr>
            <w:r>
              <w:t xml:space="preserve">24 heures sans activité</w:t>
            </w:r>
          </w:p>
        </w:tc>
      </w:tr>
      <w:tr>
        <w:tc>
          <w:tcPr/>
          <w:p>
            <w:pPr>
              <w:pStyle w:val="Compact"/>
            </w:pPr>
            <w:r>
              <w:t xml:space="preserve">Codes de liaison</w:t>
            </w:r>
          </w:p>
        </w:tc>
        <w:tc>
          <w:tcPr/>
          <w:p>
            <w:pPr>
              <w:pStyle w:val="Compact"/>
            </w:pPr>
            <w:r>
              <w:t xml:space="preserve">Tous</w:t>
            </w:r>
          </w:p>
        </w:tc>
        <w:tc>
          <w:tcPr/>
          <w:p>
            <w:pPr>
              <w:pStyle w:val="Compact"/>
            </w:pPr>
            <w:r>
              <w:t xml:space="preserve">Relier deux canaux</w:t>
            </w:r>
          </w:p>
        </w:tc>
        <w:tc>
          <w:tcPr/>
          <w:p>
            <w:pPr>
              <w:pStyle w:val="Compact"/>
            </w:pPr>
            <w:r>
              <w:t xml:space="preserve">Contrat</w:t>
            </w:r>
          </w:p>
        </w:tc>
        <w:tc>
          <w:tcPr/>
          <w:p>
            <w:pPr>
              <w:pStyle w:val="Compact"/>
            </w:pPr>
            <w:r>
              <w:t xml:space="preserve">Effacés à l'usage ou au bout de 10 minutes, jamais stockés en clair</w:t>
            </w:r>
          </w:p>
        </w:tc>
      </w:tr>
    </w:tbl>
    <w:p>
      <w:pPr>
        <w:pStyle w:val="BodyText"/>
      </w:pPr>
      <w:r>
        <w:t xml:space="preserve">Nous ne collectons pas votre code secret Mobile Money et aucune donnée de carte bancaire ne passe par nos serveurs. Sur WhatsApp, les photos, vocaux et documents ne sont pas acceptés dans cette version.</w:t>
      </w:r>
    </w:p>
    <w:p>
      <w:pPr>
        <w:pStyle w:val="BlockText"/>
      </w:pPr>
      <w:r>
        <w:t xml:space="preserve">Pour le juriste : les fondements (contrat, obligation légale, intérêt légitime) sont ceux d'usage ; à vérifier qu'ils correspondent aux bases prévues par le Code du numérique, qui définit le consentement comme « exprès et non équivoque » (art. 2).</w:t>
      </w:r>
    </w:p>
    <w:bookmarkEnd w:id="76"/>
    <w:bookmarkStart w:id="77" w:name="X0bbe610b75269c59365ae2e3d518b6d8ceed124"/>
    <w:p>
      <w:pPr>
        <w:pStyle w:val="Heading2"/>
      </w:pPr>
      <w:r>
        <w:t xml:space="preserve">3. Qui voit vos données</w:t>
      </w:r>
    </w:p>
    <w:p>
      <w:pPr>
        <w:pStyle w:val="Compact"/>
        <w:numPr>
          <w:ilvl w:val="0"/>
          <w:numId w:val="1030"/>
        </w:numPr>
      </w:pPr>
      <w:r>
        <w:rPr>
          <w:b/>
          <w:bCs/>
        </w:rPr>
        <w:t xml:space="preserve">L'équipe Nexis Hub</w:t>
      </w:r>
      <w:r>
        <w:t xml:space="preserve">, avec un accès nominatif, pour le support, la vérification des prestataires, les retraits et les litiges.</w:t>
      </w:r>
    </w:p>
    <w:p>
      <w:pPr>
        <w:pStyle w:val="Compact"/>
        <w:numPr>
          <w:ilvl w:val="0"/>
          <w:numId w:val="1030"/>
        </w:numPr>
      </w:pPr>
      <w:r>
        <w:rPr>
          <w:b/>
          <w:bCs/>
        </w:rPr>
        <w:t xml:space="preserve">Les prestataires</w:t>
      </w:r>
      <w:r>
        <w:t xml:space="preserve"> </w:t>
      </w:r>
      <w:r>
        <w:t xml:space="preserve">concernés par votre demande voient le service, la commune, l'urgence, la description et les médias. Votre nom et votre numéro ne leur sont pas transmis avant [À VALIDER : à quel moment et par quel moyen l'adresse exacte et le contact sont transmis au prestataire choisi, aujourd'hui non défini dans le bot].</w:t>
      </w:r>
    </w:p>
    <w:p>
      <w:pPr>
        <w:pStyle w:val="Compact"/>
        <w:numPr>
          <w:ilvl w:val="0"/>
          <w:numId w:val="1030"/>
        </w:numPr>
      </w:pPr>
      <w:r>
        <w:rPr>
          <w:b/>
          <w:bCs/>
        </w:rPr>
        <w:t xml:space="preserve">Les clients</w:t>
      </w:r>
      <w:r>
        <w:t xml:space="preserve"> </w:t>
      </w:r>
      <w:r>
        <w:t xml:space="preserve">voient le nom ou le nom d'activité du prestataire, son badge, sa note, son nombre de missions, ses communes et ses langues.</w:t>
      </w:r>
    </w:p>
    <w:p>
      <w:pPr>
        <w:pStyle w:val="Compact"/>
        <w:numPr>
          <w:ilvl w:val="0"/>
          <w:numId w:val="1030"/>
        </w:numPr>
      </w:pPr>
      <w:r>
        <w:rPr>
          <w:b/>
          <w:bCs/>
        </w:rPr>
        <w:t xml:space="preserve">Telegram</w:t>
      </w:r>
      <w:r>
        <w:t xml:space="preserve"> </w:t>
      </w:r>
      <w:r>
        <w:t xml:space="preserve">et</w:t>
      </w:r>
      <w:r>
        <w:t xml:space="preserve"> </w:t>
      </w:r>
      <w:r>
        <w:rPr>
          <w:b/>
          <w:bCs/>
        </w:rPr>
        <w:t xml:space="preserve">Meta (WhatsApp)</w:t>
      </w:r>
      <w:r>
        <w:t xml:space="preserve"> </w:t>
      </w:r>
      <w:r>
        <w:t xml:space="preserve">transportent les messages et en conservent une partie selon leurs propres conditions, que Nexis Hub ne contrôle pas.</w:t>
      </w:r>
    </w:p>
    <w:p>
      <w:pPr>
        <w:pStyle w:val="Compact"/>
        <w:numPr>
          <w:ilvl w:val="0"/>
          <w:numId w:val="1030"/>
        </w:numPr>
      </w:pPr>
      <w:r>
        <w:rPr>
          <w:b/>
          <w:bCs/>
        </w:rPr>
        <w:t xml:space="preserve">L'agrégateur de paiement</w:t>
      </w:r>
      <w:r>
        <w:t xml:space="preserve"> </w:t>
      </w:r>
      <w:r>
        <w:t xml:space="preserve">[À COMPLÉTER : FlexPaie, Infoset Group] et</w:t>
      </w:r>
      <w:r>
        <w:t xml:space="preserve"> </w:t>
      </w:r>
      <w:r>
        <w:rPr>
          <w:b/>
          <w:bCs/>
        </w:rPr>
        <w:t xml:space="preserve">votre opérateur Mobile Money</w:t>
      </w:r>
      <w:r>
        <w:t xml:space="preserve"> </w:t>
      </w:r>
      <w:r>
        <w:t xml:space="preserve">reçoivent votre numéro et le montant pour exécuter un paiement ou un retrait.</w:t>
      </w:r>
    </w:p>
    <w:p>
      <w:pPr>
        <w:pStyle w:val="Compact"/>
        <w:numPr>
          <w:ilvl w:val="0"/>
          <w:numId w:val="1030"/>
        </w:numPr>
      </w:pPr>
      <w:r>
        <w:rPr>
          <w:b/>
          <w:bCs/>
        </w:rPr>
        <w:t xml:space="preserve">L'hébergeur</w:t>
      </w:r>
      <w:r>
        <w:t xml:space="preserve"> </w:t>
      </w:r>
      <w:r>
        <w:t xml:space="preserve">de nos serveurs : [À COMPLÉTER : nom et pays].</w:t>
      </w:r>
    </w:p>
    <w:p>
      <w:pPr>
        <w:pStyle w:val="Compact"/>
        <w:numPr>
          <w:ilvl w:val="0"/>
          <w:numId w:val="1030"/>
        </w:numPr>
      </w:pPr>
      <w:r>
        <w:rPr>
          <w:b/>
          <w:bCs/>
        </w:rPr>
        <w:t xml:space="preserve">Les autorités</w:t>
      </w:r>
      <w:r>
        <w:t xml:space="preserve"> </w:t>
      </w:r>
      <w:r>
        <w:t xml:space="preserve">qui le demandent dans les cas prévus par la loi.</w:t>
      </w:r>
    </w:p>
    <w:p>
      <w:pPr>
        <w:pStyle w:val="FirstParagraph"/>
      </w:pPr>
      <w:r>
        <w:t xml:space="preserve">Nexis Hub ne vend pas vos données et n'envoie pas de messages publicitaires par WhatsApp.</w:t>
      </w:r>
    </w:p>
    <w:bookmarkEnd w:id="77"/>
    <w:bookmarkStart w:id="78" w:name="X9be576bf309d72452641be43a5f00af4c9b7bc9"/>
    <w:p>
      <w:pPr>
        <w:pStyle w:val="Heading2"/>
      </w:pPr>
      <w:r>
        <w:t xml:space="preserve">4. Données envoyées hors de la RDC</w:t>
      </w:r>
    </w:p>
    <w:p>
      <w:pPr>
        <w:pStyle w:val="FirstParagraph"/>
      </w:pPr>
      <w:r>
        <w:t xml:space="preserve">Telegram, Meta et [À COMPLÉTER : l'hébergeur, si hors RDC] traitent des données sur des serveurs situés hors de la RDC. Le service ne peut pas fonctionner sans ces transferts : vos messages passent nécessairement par l'application que vous avez choisie.</w:t>
      </w:r>
    </w:p>
    <w:p>
      <w:pPr>
        <w:pStyle w:val="BodyText"/>
      </w:pPr>
      <w:r>
        <w:t xml:space="preserve">Avant votre inscription, nous vous expliquons ces transferts et leurs risques et nous vous demandons votre accord explicite (voir l'onglet Textes dans le bot).</w:t>
      </w:r>
    </w:p>
    <w:p>
      <w:pPr>
        <w:pStyle w:val="BlockText"/>
      </w:pPr>
      <w:r>
        <w:t xml:space="preserve">Pour le juriste : selon un article spécialisé, le Code du numérique (art. 201 et 202) n'autorise un transfert que vers un pays à protection équivalente, ou avec le consentement explicite de la personne informée des risques, ou si le contrat l'exige. Nous prévoyons consentement explicite et nécessité contractuelle ensemble. À confirmer, ainsi que le sort d'un utilisateur qui refuse (il ne peut pas utiliser le service).</w:t>
      </w:r>
    </w:p>
    <w:bookmarkEnd w:id="78"/>
    <w:bookmarkStart w:id="79" w:name="Xc34fbc040c262358c1067b1366657870b2aa944"/>
    <w:p>
      <w:pPr>
        <w:pStyle w:val="Heading2"/>
      </w:pPr>
      <w:r>
        <w:t xml:space="preserve">5. Comment nous protégeons vos données</w:t>
      </w:r>
    </w:p>
    <w:p>
      <w:pPr>
        <w:pStyle w:val="Compact"/>
        <w:numPr>
          <w:ilvl w:val="0"/>
          <w:numId w:val="1031"/>
        </w:numPr>
      </w:pPr>
      <w:r>
        <w:t xml:space="preserve">L'argent n'est enregistré qu'en un seul endroit, le registre de Nexis Hub, et chaque opération est tracée.</w:t>
      </w:r>
    </w:p>
    <w:p>
      <w:pPr>
        <w:pStyle w:val="Compact"/>
        <w:numPr>
          <w:ilvl w:val="0"/>
          <w:numId w:val="1031"/>
        </w:numPr>
      </w:pPr>
      <w:r>
        <w:t xml:space="preserve">Les journaux techniques ne contiennent jamais votre numéro en clair (il est masqué), ni le texte de vos messages, ni votre localisation, ni les codes de liaison.</w:t>
      </w:r>
    </w:p>
    <w:p>
      <w:pPr>
        <w:pStyle w:val="Compact"/>
        <w:numPr>
          <w:ilvl w:val="0"/>
          <w:numId w:val="1031"/>
        </w:numPr>
      </w:pPr>
      <w:r>
        <w:t xml:space="preserve">Les clés d'accès aux services de paiement et de messagerie sont gardées hors du code et ne sont jamais partagées.</w:t>
      </w:r>
    </w:p>
    <w:p>
      <w:pPr>
        <w:pStyle w:val="Compact"/>
        <w:numPr>
          <w:ilvl w:val="0"/>
          <w:numId w:val="1031"/>
        </w:numPr>
      </w:pPr>
      <w:r>
        <w:t xml:space="preserve">Chaque confirmation de paiement est vérifiée auprès de l'agrégateur avant de créditer quoi que ce soit.</w:t>
      </w:r>
    </w:p>
    <w:p>
      <w:pPr>
        <w:pStyle w:val="Compact"/>
        <w:numPr>
          <w:ilvl w:val="0"/>
          <w:numId w:val="1031"/>
        </w:numPr>
      </w:pPr>
      <w:r>
        <w:t xml:space="preserve">En cas de violation de données qui vous expose à un risque, nous vous prévenons [À VALIDER : délai et obligation de notifier l'autorité].</w:t>
      </w:r>
    </w:p>
    <w:bookmarkEnd w:id="79"/>
    <w:bookmarkStart w:id="80" w:name="X89d7165124902f7c9ef01b8bb2d996aefca0c93"/>
    <w:p>
      <w:pPr>
        <w:pStyle w:val="Heading2"/>
      </w:pPr>
      <w:r>
        <w:t xml:space="preserve">6. Vos droits</w:t>
      </w:r>
    </w:p>
    <w:p>
      <w:pPr>
        <w:pStyle w:val="FirstParagraph"/>
      </w:pPr>
      <w:r>
        <w:t xml:space="preserve">Vous pouvez demander :</w:t>
      </w:r>
    </w:p>
    <w:p>
      <w:pPr>
        <w:pStyle w:val="Compact"/>
        <w:numPr>
          <w:ilvl w:val="0"/>
          <w:numId w:val="1032"/>
        </w:numPr>
      </w:pPr>
      <w:r>
        <w:t xml:space="preserve">l'accès aux données que nous avons sur vous ;</w:t>
      </w:r>
    </w:p>
    <w:p>
      <w:pPr>
        <w:pStyle w:val="Compact"/>
        <w:numPr>
          <w:ilvl w:val="0"/>
          <w:numId w:val="1032"/>
        </w:numPr>
      </w:pPr>
      <w:r>
        <w:t xml:space="preserve">la correction d'une donnée inexacte ;</w:t>
      </w:r>
    </w:p>
    <w:p>
      <w:pPr>
        <w:pStyle w:val="Compact"/>
        <w:numPr>
          <w:ilvl w:val="0"/>
          <w:numId w:val="1032"/>
        </w:numPr>
      </w:pPr>
      <w:r>
        <w:t xml:space="preserve">l'effacement de votre compte et de vos données personnelles, si votre solde est nul et qu'aucune mission n'est en cours. Les opérations d'argent passées restent conservées pendant la durée légale, rattachées à un identifiant interne, sans votre nom ni votre numéro ;</w:t>
      </w:r>
    </w:p>
    <w:p>
      <w:pPr>
        <w:pStyle w:val="Compact"/>
        <w:numPr>
          <w:ilvl w:val="0"/>
          <w:numId w:val="1032"/>
        </w:numPr>
      </w:pPr>
      <w:r>
        <w:t xml:space="preserve">le retrait d'un consentement que vous avez donné ; sans le consentement aux transferts hors RDC, le service ne peut plus vous être fourni ;</w:t>
      </w:r>
    </w:p>
    <w:p>
      <w:pPr>
        <w:pStyle w:val="Compact"/>
        <w:numPr>
          <w:ilvl w:val="0"/>
          <w:numId w:val="1032"/>
        </w:numPr>
      </w:pPr>
      <w:r>
        <w:t xml:space="preserve">[À VALIDER : opposition, portabilité et autres droits prévus par le Code du numérique].</w:t>
      </w:r>
    </w:p>
    <w:p>
      <w:pPr>
        <w:pStyle w:val="FirstParagraph"/>
      </w:pPr>
      <w:r>
        <w:t xml:space="preserve">Pour exercer vos droits : [À COMPLÉTER : e-mail du délégué et commande dans le bot]. Nous vérifions votre identité par le canal lié à votre compte avant de répondre, dans un délai de [À COMPLÉTER].</w:t>
      </w:r>
    </w:p>
    <w:p>
      <w:pPr>
        <w:pStyle w:val="BodyText"/>
      </w:pPr>
      <w:r>
        <w:t xml:space="preserve">Vous pouvez aussi saisir [À VALIDER : l'Autorité de protection des données, pas encore créée selon la presse en mars 2026, ou l'autorité qui exerce ses missions].</w:t>
      </w:r>
    </w:p>
    <w:bookmarkEnd w:id="80"/>
    <w:bookmarkStart w:id="81" w:name="Xc7493afc233eff6728958b78e63442aec99a937"/>
    <w:p>
      <w:pPr>
        <w:pStyle w:val="Heading2"/>
      </w:pPr>
      <w:r>
        <w:t xml:space="preserve">7. Mineurs</w:t>
      </w:r>
    </w:p>
    <w:p>
      <w:pPr>
        <w:pStyle w:val="FirstParagraph"/>
      </w:pPr>
      <w:r>
        <w:t xml:space="preserve">Nexis Hub est réservé aux personnes majeures. Si nous apprenons qu'un compte appartient à un mineur, il est clôturé selon les Règles de conduite.</w:t>
      </w:r>
    </w:p>
    <w:bookmarkEnd w:id="81"/>
    <w:bookmarkStart w:id="82" w:name="Xe57657e238e8e323f0ada5d7a4cfaf8872ec9ee"/>
    <w:p>
      <w:pPr>
        <w:pStyle w:val="Heading2"/>
      </w:pPr>
      <w:r>
        <w:t xml:space="preserve">8. Modifications</w:t>
      </w:r>
    </w:p>
    <w:p>
      <w:pPr>
        <w:pStyle w:val="FirstParagraph"/>
      </w:pPr>
      <w:r>
        <w:t xml:space="preserve">Toute modification de cette politique est annoncée dans le bot. Si elle demande un nouveau consentement, il vous est demandé avant de s'appliquer.</w:t>
      </w:r>
    </w:p>
    <w:p>
      <w:r>
        <w:br w:type="page"/>
      </w:r>
    </w:p>
    <w:bookmarkEnd w:id="82"/>
    <w:bookmarkEnd w:id="83"/>
    <w:bookmarkStart w:id="95" w:name="textes-courts-dans-whatsapp-et-telegram"/>
    <w:p>
      <w:pPr>
        <w:pStyle w:val="Heading1"/>
      </w:pPr>
      <w:r>
        <w:t xml:space="preserve">Textes courts dans WhatsApp et Telegram</w:t>
      </w:r>
    </w:p>
    <w:p>
      <w:pPr>
        <w:pStyle w:val="FirstParagraph"/>
      </w:pPr>
      <w:r>
        <w:t xml:space="preserve">Ces textes s'affichent dans le bot aux moments indiqués. Ils résument les documents sans les remplacer : chaque texte renvoie au document complet par un bouton. Version française à valider par le juriste, puis traduction en lingala et en anglais.</w:t>
      </w:r>
    </w:p>
    <w:p>
      <w:pPr>
        <w:pStyle w:val="BodyText"/>
      </w:pPr>
      <w:r>
        <w:t xml:space="preserve">Limites à respecter : sur WhatsApp, 3 boutons au plus et 20 caractères par bouton. Les libellés ci-dessous tiennent dans ces limites en français ; les libellés lingala devront être relus pour la longueur.</w:t>
      </w:r>
    </w:p>
    <w:bookmarkStart w:id="84" w:name="X9844df2ce7505531d468d324f95cc1d667a64f8"/>
    <w:p>
      <w:pPr>
        <w:pStyle w:val="Heading2"/>
      </w:pPr>
      <w:r>
        <w:t xml:space="preserve">1. Inscription d'un client (Telegram et WhatsApp)</w:t>
      </w:r>
    </w:p>
    <w:p>
      <w:pPr>
        <w:pStyle w:val="FirstParagraph"/>
      </w:pPr>
      <w:r>
        <w:rPr>
          <w:b/>
          <w:bCs/>
        </w:rPr>
        <w:t xml:space="preserve">Quand</w:t>
      </w:r>
      <w:r>
        <w:t xml:space="preserve"> </w:t>
      </w:r>
      <w:r>
        <w:t xml:space="preserve">: avant la première demande, et à chaque nouvelle version des conditions.</w:t>
      </w:r>
    </w:p>
    <w:p>
      <w:pPr>
        <w:pStyle w:val="BlockText"/>
      </w:pPr>
      <w:r>
        <w:t xml:space="preserve">Bienvenue sur Nexis Hub. Avant de commencer : • Nexis Hub vous met en relation avec des prestataires vérifiés. Le prestataire réalise le travail ; Nexis Hub garde votre paiement bloqué jusqu'à ce que vous confirmiez la fin de la mission. • Si vous ne confirmez pas et ne signalez aucun problème dans les 24 heures après que le prestataire a indiqué la fin, le paiement lui est versé. • Un paiement fait hors de Nexis Hub n'est pas protégé. En appuyant sur « J'accepte », vous acceptez les Conditions générales et confirmez avoir 18 ans ou plus.</w:t>
      </w:r>
    </w:p>
    <w:p>
      <w:pPr>
        <w:pStyle w:val="FirstParagraph"/>
      </w:pPr>
      <w:r>
        <w:t xml:space="preserve">Boutons :</w:t>
      </w:r>
      <w:r>
        <w:t xml:space="preserve"> </w:t>
      </w:r>
      <w:r>
        <w:rPr>
          <w:rStyle w:val="VerbatimChar"/>
        </w:rPr>
        <w:t xml:space="preserve">Lire les conditions</w:t>
      </w:r>
      <w:r>
        <w:t xml:space="preserve"> </w:t>
      </w:r>
      <w:r>
        <w:t xml:space="preserve">·</w:t>
      </w:r>
      <w:r>
        <w:t xml:space="preserve"> </w:t>
      </w:r>
      <w:r>
        <w:rPr>
          <w:rStyle w:val="VerbatimChar"/>
        </w:rPr>
        <w:t xml:space="preserve">J'accepte</w:t>
      </w:r>
      <w:r>
        <w:t xml:space="preserve"> </w:t>
      </w:r>
      <w:r>
        <w:t xml:space="preserve">·</w:t>
      </w:r>
      <w:r>
        <w:t xml:space="preserve"> </w:t>
      </w:r>
      <w:r>
        <w:rPr>
          <w:rStyle w:val="VerbatimChar"/>
        </w:rPr>
        <w:t xml:space="preserve">Refuser</w:t>
      </w:r>
    </w:p>
    <w:bookmarkEnd w:id="84"/>
    <w:bookmarkStart w:id="85" w:name="X6b6113d97db1266243ecfa48e0aec893801d158"/>
    <w:p>
      <w:pPr>
        <w:pStyle w:val="Heading2"/>
      </w:pPr>
      <w:r>
        <w:t xml:space="preserve">2. Consentement aux données et aux transferts hors RDC</w:t>
      </w:r>
    </w:p>
    <w:p>
      <w:pPr>
        <w:pStyle w:val="FirstParagraph"/>
      </w:pPr>
      <w:r>
        <w:rPr>
          <w:b/>
          <w:bCs/>
        </w:rPr>
        <w:t xml:space="preserve">Quand</w:t>
      </w:r>
      <w:r>
        <w:t xml:space="preserve"> </w:t>
      </w:r>
      <w:r>
        <w:t xml:space="preserve">: juste après l'acceptation des conditions, avant de demander le numéro.</w:t>
      </w:r>
    </w:p>
    <w:p>
      <w:pPr>
        <w:pStyle w:val="BlockText"/>
      </w:pPr>
      <w:r>
        <w:t xml:space="preserve">Pour fonctionner, Nexis Hub utilise votre nom, votre numéro et vos demandes. Vos messages passent par [Telegram / WhatsApp], dont les serveurs sont hors de la RDC, et nos serveurs sont chez [À COMPLÉTER : hébergeur, pays]. Ces pays n'offrent pas forcément la même protection qu'en RDC. Vous pouvez demander l'effacement de votre compte à tout moment. Acceptez-vous ces traitements et ces transferts ?</w:t>
      </w:r>
    </w:p>
    <w:p>
      <w:pPr>
        <w:pStyle w:val="FirstParagraph"/>
      </w:pPr>
      <w:r>
        <w:t xml:space="preserve">Boutons :</w:t>
      </w:r>
      <w:r>
        <w:t xml:space="preserve"> </w:t>
      </w:r>
      <w:r>
        <w:rPr>
          <w:rStyle w:val="VerbatimChar"/>
        </w:rPr>
        <w:t xml:space="preserve">Politique données</w:t>
      </w:r>
      <w:r>
        <w:t xml:space="preserve"> </w:t>
      </w:r>
      <w:r>
        <w:t xml:space="preserve">·</w:t>
      </w:r>
      <w:r>
        <w:t xml:space="preserve"> </w:t>
      </w:r>
      <w:r>
        <w:rPr>
          <w:rStyle w:val="VerbatimChar"/>
        </w:rPr>
        <w:t xml:space="preserve">J'accepte</w:t>
      </w:r>
      <w:r>
        <w:t xml:space="preserve"> </w:t>
      </w:r>
      <w:r>
        <w:t xml:space="preserve">·</w:t>
      </w:r>
      <w:r>
        <w:t xml:space="preserve"> </w:t>
      </w:r>
      <w:r>
        <w:rPr>
          <w:rStyle w:val="VerbatimChar"/>
        </w:rPr>
        <w:t xml:space="preserve">Refuser</w:t>
      </w:r>
    </w:p>
    <w:p>
      <w:pPr>
        <w:pStyle w:val="BodyText"/>
      </w:pPr>
      <w:r>
        <w:t xml:space="preserve">Si la personne refuse : « Sans cet accord, nous ne pouvons pas vous fournir le service. Vous pouvez revenir quand vous voulez. » Aucune donnée n'est conservée en dehors de l'identifiant technique nécessaire pour ne pas redemander.</w:t>
      </w:r>
    </w:p>
    <w:p>
      <w:pPr>
        <w:pStyle w:val="BlockText"/>
      </w:pPr>
      <w:r>
        <w:t xml:space="preserve">Pour le juriste : à confirmer qu'on peut garder cet identifiant technique après un refus.</w:t>
      </w:r>
    </w:p>
    <w:bookmarkEnd w:id="85"/>
    <w:bookmarkStart w:id="86" w:name="X4082dfdb7993af97bd76fcc90db59c8daa730de"/>
    <w:p>
      <w:pPr>
        <w:pStyle w:val="Heading2"/>
      </w:pPr>
      <w:r>
        <w:t xml:space="preserve">3. Inscription d'un prestataire (Telegram et Mini App)</w:t>
      </w:r>
    </w:p>
    <w:p>
      <w:pPr>
        <w:pStyle w:val="FirstParagraph"/>
      </w:pPr>
      <w:r>
        <w:rPr>
          <w:b/>
          <w:bCs/>
        </w:rPr>
        <w:t xml:space="preserve">Quand</w:t>
      </w:r>
      <w:r>
        <w:t xml:space="preserve"> </w:t>
      </w:r>
      <w:r>
        <w:t xml:space="preserve">: avant l'envoi de la pièce d'identité.</w:t>
      </w:r>
    </w:p>
    <w:p>
      <w:pPr>
        <w:pStyle w:val="BlockText"/>
      </w:pPr>
      <w:r>
        <w:t xml:space="preserve">Pour devenir prestataire Nexis Hub : • Vous travaillez de façon indépendante et restez responsable de vos impôts et de vos obligations. • Nexis Hub retient une commission de 10 % (15 % si la demande est urgente) sur chaque devis payé. • Votre pièce d'identité et votre selfie servent uniquement à vérifier votre identité ; ils sont vus par l'équipe Nexis Hub et ne sont jamais montrés aux clients. • Tout paiement doit passer par Nexis Hub. En appuyant sur « J'accepte », vous acceptez les Conditions générales et les Conditions des prestataires.</w:t>
      </w:r>
    </w:p>
    <w:p>
      <w:pPr>
        <w:pStyle w:val="FirstParagraph"/>
      </w:pPr>
      <w:r>
        <w:t xml:space="preserve">Boutons :</w:t>
      </w:r>
      <w:r>
        <w:t xml:space="preserve"> </w:t>
      </w:r>
      <w:r>
        <w:rPr>
          <w:rStyle w:val="VerbatimChar"/>
        </w:rPr>
        <w:t xml:space="preserve">Lire les conditions</w:t>
      </w:r>
      <w:r>
        <w:t xml:space="preserve"> </w:t>
      </w:r>
      <w:r>
        <w:t xml:space="preserve">·</w:t>
      </w:r>
      <w:r>
        <w:t xml:space="preserve"> </w:t>
      </w:r>
      <w:r>
        <w:rPr>
          <w:rStyle w:val="VerbatimChar"/>
        </w:rPr>
        <w:t xml:space="preserve">J'accepte</w:t>
      </w:r>
      <w:r>
        <w:t xml:space="preserve"> </w:t>
      </w:r>
      <w:r>
        <w:t xml:space="preserve">·</w:t>
      </w:r>
      <w:r>
        <w:t xml:space="preserve"> </w:t>
      </w:r>
      <w:r>
        <w:rPr>
          <w:rStyle w:val="VerbatimChar"/>
        </w:rPr>
        <w:t xml:space="preserve">Refuser</w:t>
      </w:r>
    </w:p>
    <w:bookmarkEnd w:id="86"/>
    <w:bookmarkStart w:id="87" w:name="X7441df9dcca948226e7b0b74e7bf961c85a9ee4"/>
    <w:p>
      <w:pPr>
        <w:pStyle w:val="Heading2"/>
      </w:pPr>
      <w:r>
        <w:t xml:space="preserve">4. Avant le paiement d'une mission</w:t>
      </w:r>
    </w:p>
    <w:p>
      <w:pPr>
        <w:pStyle w:val="FirstParagraph"/>
      </w:pPr>
      <w:r>
        <w:rPr>
          <w:b/>
          <w:bCs/>
        </w:rPr>
        <w:t xml:space="preserve">Quand</w:t>
      </w:r>
      <w:r>
        <w:t xml:space="preserve"> </w:t>
      </w:r>
      <w:r>
        <w:t xml:space="preserve">: sur l'écran de paiement, une seule fois par compte, puis en une ligne.</w:t>
      </w:r>
    </w:p>
    <w:p>
      <w:pPr>
        <w:pStyle w:val="BlockText"/>
      </w:pPr>
      <w:r>
        <w:t xml:space="preserve">Votre paiement reste bloqué par Nexis Hub. Il est versé au prestataire quand vous confirmez la fin de la mission, ou 24 heures après qu'il l'a indiquée si vous ne signalez rien. En cas de problème, appuyez sur « Signaler un problème » avant ce délai.</w:t>
      </w:r>
    </w:p>
    <w:p>
      <w:pPr>
        <w:pStyle w:val="FirstParagraph"/>
      </w:pPr>
      <w:r>
        <w:t xml:space="preserve">Version courte : « Paiement bloqué jusqu'à votre confirmation ou 24 h après la fin indiquée. »</w:t>
      </w:r>
    </w:p>
    <w:bookmarkEnd w:id="87"/>
    <w:bookmarkStart w:id="88" w:name="X259d7dda5075e2bab4bfe5649b6b748f00fdbf7"/>
    <w:p>
      <w:pPr>
        <w:pStyle w:val="Heading2"/>
      </w:pPr>
      <w:r>
        <w:t xml:space="preserve">5. Fin de mission indiquée par le prestataire</w:t>
      </w:r>
    </w:p>
    <w:p>
      <w:pPr>
        <w:pStyle w:val="BlockText"/>
      </w:pPr>
      <w:r>
        <w:t xml:space="preserve">Le prestataire indique que la mission NXH-[numéro] est terminée. Confirmez si tout est en ordre. Sans réponse de votre part, le paiement lui sera versé automatiquement le [date et heure].</w:t>
      </w:r>
    </w:p>
    <w:p>
      <w:pPr>
        <w:pStyle w:val="FirstParagraph"/>
      </w:pPr>
      <w:r>
        <w:t xml:space="preserve">Boutons :</w:t>
      </w:r>
      <w:r>
        <w:t xml:space="preserve"> </w:t>
      </w:r>
      <w:r>
        <w:rPr>
          <w:rStyle w:val="VerbatimChar"/>
        </w:rPr>
        <w:t xml:space="preserve">C'est terminé</w:t>
      </w:r>
      <w:r>
        <w:t xml:space="preserve"> </w:t>
      </w:r>
      <w:r>
        <w:t xml:space="preserve">·</w:t>
      </w:r>
      <w:r>
        <w:t xml:space="preserve"> </w:t>
      </w:r>
      <w:r>
        <w:rPr>
          <w:rStyle w:val="VerbatimChar"/>
        </w:rPr>
        <w:t xml:space="preserve">Signaler un problème</w:t>
      </w:r>
    </w:p>
    <w:p>
      <w:pPr>
        <w:pStyle w:val="BlockText"/>
      </w:pPr>
      <w:r>
        <w:t xml:space="preserve">Pour le juriste : afficher la date et l'heure exactes de la libération automatique rend le délai de 24 heures plus défendable. Cela demande une petite modification du bot.</w:t>
      </w:r>
    </w:p>
    <w:bookmarkEnd w:id="88"/>
    <w:bookmarkStart w:id="89" w:name="X0bd4360e690de1b22bdf4a78705acaf2f72d44e"/>
    <w:p>
      <w:pPr>
        <w:pStyle w:val="Heading2"/>
      </w:pPr>
      <w:r>
        <w:t xml:space="preserve">6. Ouverture d'un litige</w:t>
      </w:r>
    </w:p>
    <w:p>
      <w:pPr>
        <w:pStyle w:val="BlockText"/>
      </w:pPr>
      <w:r>
        <w:t xml:space="preserve">Votre signalement est enregistré. Le paiement de la mission NXH-[numéro] est gelé : personne ne peut le toucher jusqu'à la décision de Nexis Hub. Notre équipe vous contacte dans les 48 heures. Préparez vos explications et vos photos.</w:t>
      </w:r>
    </w:p>
    <w:bookmarkEnd w:id="89"/>
    <w:bookmarkStart w:id="90" w:name="Xf829140ed37955f6653766e87672c62b0e19d09"/>
    <w:p>
      <w:pPr>
        <w:pStyle w:val="Heading2"/>
      </w:pPr>
      <w:r>
        <w:t xml:space="preserve">7. Remboursement</w:t>
      </w:r>
    </w:p>
    <w:p>
      <w:pPr>
        <w:pStyle w:val="BlockText"/>
      </w:pPr>
      <w:r>
        <w:t xml:space="preserve">Vous avez été remboursé de [montant] sur votre wallet Nexis. Vous pouvez l'utiliser tout de suite pour une autre mission. Pour le retirer vers votre Mobile Money, une vérification de notre équipe est nécessaire.</w:t>
      </w:r>
    </w:p>
    <w:bookmarkEnd w:id="90"/>
    <w:bookmarkStart w:id="91" w:name="Xa29a7ea849bf7a306e93d295051914e6db05529"/>
    <w:p>
      <w:pPr>
        <w:pStyle w:val="Heading2"/>
      </w:pPr>
      <w:r>
        <w:t xml:space="preserve">8. Demande de retrait</w:t>
      </w:r>
    </w:p>
    <w:p>
      <w:pPr>
        <w:pStyle w:val="FirstParagraph"/>
      </w:pPr>
      <w:r>
        <w:rPr>
          <w:b/>
          <w:bCs/>
        </w:rPr>
        <w:t xml:space="preserve">Quand</w:t>
      </w:r>
      <w:r>
        <w:t xml:space="preserve"> </w:t>
      </w:r>
      <w:r>
        <w:t xml:space="preserve">: avant la confirmation du retrait.</w:t>
      </w:r>
    </w:p>
    <w:p>
      <w:pPr>
        <w:pStyle w:val="BlockText"/>
      </w:pPr>
      <w:r>
        <w:t xml:space="preserve">Retrait de [montant] vers le [numéro masqué]. Frais : [frais]. Vous recevrez : [net]. Le montant est bloqué dès maintenant. Il sera envoyé après validation par Nexis Hub ; en cas de refus ou d'échec, il revient entièrement dans votre wallet.</w:t>
      </w:r>
    </w:p>
    <w:p>
      <w:pPr>
        <w:pStyle w:val="FirstParagraph"/>
      </w:pPr>
      <w:r>
        <w:t xml:space="preserve">Boutons :</w:t>
      </w:r>
      <w:r>
        <w:t xml:space="preserve"> </w:t>
      </w:r>
      <w:r>
        <w:rPr>
          <w:rStyle w:val="VerbatimChar"/>
        </w:rPr>
        <w:t xml:space="preserve">Confirmer</w:t>
      </w:r>
      <w:r>
        <w:t xml:space="preserve"> </w:t>
      </w:r>
      <w:r>
        <w:t xml:space="preserve">·</w:t>
      </w:r>
      <w:r>
        <w:t xml:space="preserve"> </w:t>
      </w:r>
      <w:r>
        <w:rPr>
          <w:rStyle w:val="VerbatimChar"/>
        </w:rPr>
        <w:t xml:space="preserve">Annuler</w:t>
      </w:r>
    </w:p>
    <w:bookmarkEnd w:id="91"/>
    <w:bookmarkStart w:id="92" w:name="X7042b9ad5249390e00bc780c315583633487da6"/>
    <w:p>
      <w:pPr>
        <w:pStyle w:val="Heading2"/>
      </w:pPr>
      <w:r>
        <w:t xml:space="preserve">9. Rappel contre le contournement</w:t>
      </w:r>
    </w:p>
    <w:p>
      <w:pPr>
        <w:pStyle w:val="FirstParagraph"/>
      </w:pPr>
      <w:r>
        <w:rPr>
          <w:b/>
          <w:bCs/>
        </w:rPr>
        <w:t xml:space="preserve">Quand</w:t>
      </w:r>
      <w:r>
        <w:t xml:space="preserve"> </w:t>
      </w:r>
      <w:r>
        <w:t xml:space="preserve">: après l'acceptation d'un devis (texte actuel du bot, à garder en le précisant).</w:t>
      </w:r>
    </w:p>
    <w:p>
      <w:pPr>
        <w:pStyle w:val="BlockText"/>
      </w:pPr>
      <w:r>
        <w:t xml:space="preserve">Rappel : payez toujours par Nexis Hub. Un paiement fait directement au prestataire n'est ni bloqué ni remboursable par Nexis Hub. Si un prestataire vous demande de payer hors du bot, signalez-le.</w:t>
      </w:r>
    </w:p>
    <w:p>
      <w:pPr>
        <w:pStyle w:val="BlockText"/>
      </w:pPr>
      <w:r>
        <w:t xml:space="preserve">Pour le juriste : le texte actuel du bot parle de « Garantie NEXIS HUB ». Nous proposons de remplacer « garantie » par « protection du paiement » pour ne pas promettre une garantie de résultat. À trancher.</w:t>
      </w:r>
    </w:p>
    <w:bookmarkEnd w:id="92"/>
    <w:bookmarkStart w:id="93" w:name="Xd8f1089e053ca376c9664c73edce5a60edb5f80"/>
    <w:p>
      <w:pPr>
        <w:pStyle w:val="Heading2"/>
      </w:pPr>
      <w:r>
        <w:t xml:space="preserve">10. Menu « À propos »</w:t>
      </w:r>
    </w:p>
    <w:p>
      <w:pPr>
        <w:pStyle w:val="FirstParagraph"/>
      </w:pPr>
      <w:r>
        <w:t xml:space="preserve">Accessible en permanence : raison sociale, forme, RCCM, IDNAT, NIF, siège, contact, et liens vers les sept documents dans leur version en vigueur (Code du numérique, art. 52).</w:t>
      </w:r>
    </w:p>
    <w:bookmarkEnd w:id="93"/>
    <w:bookmarkStart w:id="94" w:name="ce-que-le-bot-doit-enregistrer"/>
    <w:p>
      <w:pPr>
        <w:pStyle w:val="Heading2"/>
      </w:pPr>
      <w:r>
        <w:t xml:space="preserve">Ce que le bot doit enregistrer</w:t>
      </w:r>
    </w:p>
    <w:p>
      <w:pPr>
        <w:pStyle w:val="FirstParagraph"/>
      </w:pPr>
      <w:r>
        <w:t xml:space="preserve">Pour que ces acceptations aient une valeur de preuve, le bot doit enregistrer pour chaque compte : la version du document acceptée, la date et l'heure, le canal, et la réponse (accepté ou refusé). Cette fonction n'existe pas encore dans le code ; elle devra être construite avant l'ouverture, avec ses tests, au même titre que les règles d'argent.</w:t>
      </w:r>
    </w:p>
    <w:p>
      <w:r>
        <w:br w:type="page"/>
      </w:r>
    </w:p>
    <w:bookmarkEnd w:id="94"/>
    <w:bookmarkEnd w:id="95"/>
    <w:bookmarkStart w:id="100" w:name="questions-pour-le-juriste"/>
    <w:p>
      <w:pPr>
        <w:pStyle w:val="Heading1"/>
      </w:pPr>
      <w:r>
        <w:t xml:space="preserve">Questions pour le juriste</w:t>
      </w:r>
    </w:p>
    <w:p>
      <w:pPr>
        <w:pStyle w:val="FirstParagraph"/>
      </w:pPr>
      <w:r>
        <w:t xml:space="preserve">Vingt-cinq questions, du plus bloquant au moins urgent. Les questions 1 à 6 bloquent tout paiement réel ; les questions 7 à 16 bloquent la publication des conditions. Elles reprennent les 8 questions de la fiche</w:t>
      </w:r>
      <w:r>
        <w:t xml:space="preserve"> </w:t>
      </w:r>
      <w:hyperlink r:id="rId9">
        <w:r>
          <w:rPr>
            <w:rStyle w:val="Hyperlink"/>
          </w:rPr>
          <w:t xml:space="preserve">Créer Nexis Hub au GUCE</w:t>
        </w:r>
      </w:hyperlink>
      <w:r>
        <w:t xml:space="preserve"> </w:t>
      </w:r>
      <w:r>
        <w:t xml:space="preserve">(repérées « GUCE n »). La dernière colonne est à remplir pendant le rendez-vous.</w:t>
      </w:r>
    </w:p>
    <w:bookmarkStart w:id="96" w:name="argent--bloque-le-paiement-réel"/>
    <w:p>
      <w:pPr>
        <w:pStyle w:val="Heading2"/>
      </w:pPr>
      <w:r>
        <w:t xml:space="preserve">Argent : bloque le paiement réel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w:t>
            </w:r>
          </w:p>
        </w:tc>
        <w:tc>
          <w:tcPr/>
          <w:p>
            <w:pPr>
              <w:pStyle w:val="Compact"/>
            </w:pPr>
            <w:r>
              <w:t xml:space="preserve">Pourquoi on la pose</w:t>
            </w:r>
          </w:p>
        </w:tc>
        <w:tc>
          <w:tcPr/>
          <w:p>
            <w:pPr>
              <w:pStyle w:val="Compact"/>
            </w:pPr>
            <w:r>
              <w:t xml:space="preserve">Documents touchés</w:t>
            </w:r>
          </w:p>
        </w:tc>
        <w:tc>
          <w:tcPr/>
          <w:p>
            <w:pPr>
              <w:pStyle w:val="Compact"/>
            </w:pPr>
            <w:r>
              <w:t xml:space="preserve">Réponse du juriste</w:t>
            </w:r>
          </w:p>
        </w:tc>
      </w:tr>
      <w:tr>
        <w:tc>
          <w:tcPr/>
          <w:p>
            <w:pPr>
              <w:pStyle w:val="Compact"/>
            </w:pPr>
            <w:r>
              <w:t xml:space="preserve">1</w:t>
            </w:r>
          </w:p>
        </w:tc>
        <w:tc>
          <w:tcPr/>
          <w:p>
            <w:pPr>
              <w:pStyle w:val="Compact"/>
            </w:pPr>
            <w:r>
              <w:t xml:space="preserve">Garder le paiement du client jusqu'à la fin de la mission, puis le verser au prestataire, demande-t-il un agrément de la BCC (loi n° 18/019 du 9 juillet 2018 et instructions) ? (GUCE 1)</w:t>
            </w:r>
          </w:p>
        </w:tc>
        <w:tc>
          <w:tcPr/>
          <w:p>
            <w:pPr>
              <w:pStyle w:val="Compact"/>
            </w:pPr>
            <w:r>
              <w:t xml:space="preserve">C'est le cœur du modèle</w:t>
            </w:r>
          </w:p>
        </w:tc>
        <w:tc>
          <w:tcPr/>
          <w:p>
            <w:pPr>
              <w:pStyle w:val="Compact"/>
            </w:pPr>
            <w:r>
              <w:t xml:space="preserve">1, 2, 3</w:t>
            </w:r>
          </w:p>
        </w:tc>
        <w:tc>
          <w:tcPr/>
          <w:p>
            <w:pPr>
              <w:pStyle w:val="Compact"/>
            </w:pPr>
          </w:p>
        </w:tc>
      </w:tr>
      <w:tr>
        <w:tc>
          <w:tcPr/>
          <w:p>
            <w:pPr>
              <w:pStyle w:val="Compact"/>
            </w:pPr>
            <w:r>
              <w:t xml:space="preserve">2</w:t>
            </w:r>
          </w:p>
        </w:tc>
        <w:tc>
          <w:tcPr/>
          <w:p>
            <w:pPr>
              <w:pStyle w:val="Compact"/>
            </w:pPr>
            <w:r>
              <w:t xml:space="preserve">Si oui, l'argent resté chez l'agrégateur (FlexPaie) suffit-il, ou faut-il un mandat d'encaissement, un compte de cantonnement ou un partenaire agréé ? (GUCE 2)</w:t>
            </w:r>
          </w:p>
        </w:tc>
        <w:tc>
          <w:tcPr/>
          <w:p>
            <w:pPr>
              <w:pStyle w:val="Compact"/>
            </w:pPr>
            <w:r>
              <w:t xml:space="preserve">Détermine le montage et la rédaction du séquestre</w:t>
            </w:r>
          </w:p>
        </w:tc>
        <w:tc>
          <w:tcPr/>
          <w:p>
            <w:pPr>
              <w:pStyle w:val="Compact"/>
            </w:pPr>
            <w:r>
              <w:t xml:space="preserve">2</w:t>
            </w:r>
          </w:p>
        </w:tc>
        <w:tc>
          <w:tcPr/>
          <w:p>
            <w:pPr>
              <w:pStyle w:val="Compact"/>
            </w:pPr>
          </w:p>
        </w:tc>
      </w:tr>
      <w:tr>
        <w:tc>
          <w:tcPr/>
          <w:p>
            <w:pPr>
              <w:pStyle w:val="Compact"/>
            </w:pPr>
            <w:r>
              <w:t xml:space="preserve">3</w:t>
            </w:r>
          </w:p>
        </w:tc>
        <w:tc>
          <w:tcPr/>
          <w:p>
            <w:pPr>
              <w:pStyle w:val="Compact"/>
            </w:pPr>
            <w:r>
              <w:t xml:space="preserve">Un wallet qu'on ne peut pas alimenter par dépôt, crédité seulement par libération, remboursement ou trop-perçu, est-il de la monnaie électronique ?</w:t>
            </w:r>
          </w:p>
        </w:tc>
        <w:tc>
          <w:tcPr/>
          <w:p>
            <w:pPr>
              <w:pStyle w:val="Compact"/>
            </w:pPr>
            <w:r>
              <w:t xml:space="preserve">Peut imposer de supprimer le wallet ou d'obtenir un agrément</w:t>
            </w:r>
          </w:p>
        </w:tc>
        <w:tc>
          <w:tcPr/>
          <w:p>
            <w:pPr>
              <w:pStyle w:val="Compact"/>
            </w:pPr>
            <w:r>
              <w:t xml:space="preserve">2, 3</w:t>
            </w:r>
          </w:p>
        </w:tc>
        <w:tc>
          <w:tcPr/>
          <w:p>
            <w:pPr>
              <w:pStyle w:val="Compact"/>
            </w:pPr>
          </w:p>
        </w:tc>
      </w:tr>
      <w:tr>
        <w:tc>
          <w:tcPr/>
          <w:p>
            <w:pPr>
              <w:pStyle w:val="Compact"/>
            </w:pPr>
            <w:r>
              <w:t xml:space="preserve">4</w:t>
            </w:r>
          </w:p>
        </w:tc>
        <w:tc>
          <w:tcPr/>
          <w:p>
            <w:pPr>
              <w:pStyle w:val="Compact"/>
            </w:pPr>
            <w:r>
              <w:t xml:space="preserve">Nexis Hub est-il assujetti à la loi n° 22/068 du 27 décembre 2022 contre le blanchiment ? Quelles obligations : identification des clients, déclarations, gel ?</w:t>
            </w:r>
          </w:p>
        </w:tc>
        <w:tc>
          <w:tcPr/>
          <w:p>
            <w:pPr>
              <w:pStyle w:val="Compact"/>
            </w:pPr>
            <w:r>
              <w:t xml:space="preserve">Peut imposer une vérification d'identité des clients, pas seulement des prestataires</w:t>
            </w:r>
          </w:p>
        </w:tc>
        <w:tc>
          <w:tcPr/>
          <w:p>
            <w:pPr>
              <w:pStyle w:val="Compact"/>
            </w:pPr>
            <w:r>
              <w:t xml:space="preserve">2, 5, 6</w:t>
            </w:r>
          </w:p>
        </w:tc>
        <w:tc>
          <w:tcPr/>
          <w:p>
            <w:pPr>
              <w:pStyle w:val="Compact"/>
            </w:pPr>
          </w:p>
        </w:tc>
      </w:tr>
      <w:tr>
        <w:tc>
          <w:tcPr/>
          <w:p>
            <w:pPr>
              <w:pStyle w:val="Compact"/>
            </w:pPr>
            <w:r>
              <w:t xml:space="preserve">5</w:t>
            </w:r>
          </w:p>
        </w:tc>
        <w:tc>
          <w:tcPr/>
          <w:p>
            <w:pPr>
              <w:pStyle w:val="Compact"/>
            </w:pPr>
            <w:r>
              <w:t xml:space="preserve">Combien de temps garder les opérations d'argent et les pièces associées ? Les 10 ans de l'Acte uniforme OHADA comptable s'appliquent-ils à tout le registre ? (GUCE 7)</w:t>
            </w:r>
          </w:p>
        </w:tc>
        <w:tc>
          <w:tcPr/>
          <w:p>
            <w:pPr>
              <w:pStyle w:val="Compact"/>
            </w:pPr>
            <w:r>
              <w:t xml:space="preserve">Fixe les durées de la politique de confidentialité et le sort des données après clôture</w:t>
            </w:r>
          </w:p>
        </w:tc>
        <w:tc>
          <w:tcPr/>
          <w:p>
            <w:pPr>
              <w:pStyle w:val="Compact"/>
            </w:pPr>
            <w:r>
              <w:t xml:space="preserve">6</w:t>
            </w:r>
          </w:p>
        </w:tc>
        <w:tc>
          <w:tcPr/>
          <w:p>
            <w:pPr>
              <w:pStyle w:val="Compact"/>
            </w:pPr>
          </w:p>
        </w:tc>
      </w:tr>
      <w:tr>
        <w:tc>
          <w:tcPr/>
          <w:p>
            <w:pPr>
              <w:pStyle w:val="Compact"/>
            </w:pPr>
            <w:r>
              <w:t xml:space="preserve">6</w:t>
            </w:r>
          </w:p>
        </w:tc>
        <w:tc>
          <w:tcPr/>
          <w:p>
            <w:pPr>
              <w:pStyle w:val="Compact"/>
            </w:pPr>
            <w:r>
              <w:t xml:space="preserve">Comment garder l'argent des utilisateurs distinct de celui de l'entreprise, pour le protéger en cas de difficultés ou de cessation ?</w:t>
            </w:r>
          </w:p>
        </w:tc>
        <w:tc>
          <w:tcPr/>
          <w:p>
            <w:pPr>
              <w:pStyle w:val="Compact"/>
            </w:pPr>
            <w:r>
              <w:t xml:space="preserve">Conditionne l'engagement de l'article 10 des Conditions de paiement</w:t>
            </w:r>
          </w:p>
        </w:tc>
        <w:tc>
          <w:tcPr/>
          <w:p>
            <w:pPr>
              <w:pStyle w:val="Compact"/>
            </w:pPr>
            <w:r>
              <w:t xml:space="preserve">2</w:t>
            </w:r>
          </w:p>
        </w:tc>
        <w:tc>
          <w:tcPr/>
          <w:p>
            <w:pPr>
              <w:pStyle w:val="Compact"/>
            </w:pPr>
          </w:p>
        </w:tc>
      </w:tr>
    </w:tbl>
    <w:bookmarkEnd w:id="96"/>
    <w:bookmarkStart w:id="97" w:name="X1e96027232e1d0f7231e176e18b4e3197f7d9a8"/>
    <w:p>
      <w:pPr>
        <w:pStyle w:val="Heading2"/>
      </w:pPr>
      <w:r>
        <w:t xml:space="preserve">Entreprise et conditions : bloque la publication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w:t>
            </w:r>
          </w:p>
        </w:tc>
        <w:tc>
          <w:tcPr/>
          <w:p>
            <w:pPr>
              <w:pStyle w:val="Compact"/>
            </w:pPr>
            <w:r>
              <w:t xml:space="preserve">Pourquoi on la pose</w:t>
            </w:r>
          </w:p>
        </w:tc>
        <w:tc>
          <w:tcPr/>
          <w:p>
            <w:pPr>
              <w:pStyle w:val="Compact"/>
            </w:pPr>
            <w:r>
              <w:t xml:space="preserve">Documents touchés</w:t>
            </w:r>
          </w:p>
        </w:tc>
        <w:tc>
          <w:tcPr/>
          <w:p>
            <w:pPr>
              <w:pStyle w:val="Compact"/>
            </w:pPr>
            <w:r>
              <w:t xml:space="preserve">Réponse du juriste</w:t>
            </w:r>
          </w:p>
        </w:tc>
      </w:tr>
      <w:tr>
        <w:tc>
          <w:tcPr/>
          <w:p>
            <w:pPr>
              <w:pStyle w:val="Compact"/>
            </w:pPr>
            <w:r>
              <w:t xml:space="preserve">7</w:t>
            </w:r>
          </w:p>
        </w:tc>
        <w:tc>
          <w:tcPr/>
          <w:p>
            <w:pPr>
              <w:pStyle w:val="Compact"/>
            </w:pPr>
            <w:r>
              <w:t xml:space="preserve">Quelle forme (SARL unipersonnelle recommandée dans la fiche GUCE) et quel objet social pour couvrir la mise en relation, l'encaissement pour compte de tiers et la commission ? (GUCE 3 et 4)</w:t>
            </w:r>
          </w:p>
        </w:tc>
        <w:tc>
          <w:tcPr/>
          <w:p>
            <w:pPr>
              <w:pStyle w:val="Compact"/>
            </w:pPr>
            <w:r>
              <w:t xml:space="preserve">Identité de l'éditeur dans tous les documents</w:t>
            </w:r>
          </w:p>
        </w:tc>
        <w:tc>
          <w:tcPr/>
          <w:p>
            <w:pPr>
              <w:pStyle w:val="Compact"/>
            </w:pPr>
            <w:r>
              <w:t xml:space="preserve">Tous</w:t>
            </w:r>
          </w:p>
        </w:tc>
        <w:tc>
          <w:tcPr/>
          <w:p>
            <w:pPr>
              <w:pStyle w:val="Compact"/>
            </w:pPr>
          </w:p>
        </w:tc>
      </w:tr>
      <w:tr>
        <w:tc>
          <w:tcPr/>
          <w:p>
            <w:pPr>
              <w:pStyle w:val="Compact"/>
            </w:pPr>
            <w:r>
              <w:t xml:space="preserve">8</w:t>
            </w:r>
          </w:p>
        </w:tc>
        <w:tc>
          <w:tcPr/>
          <w:p>
            <w:pPr>
              <w:pStyle w:val="Compact"/>
            </w:pPr>
            <w:r>
              <w:t xml:space="preserve">Quel régime du Code du numérique s'applique à Nexis Hub (autorisation, déclaration comme application de startup, homologation ; art. 13 à 18) et auprès de quelle autorité ?</w:t>
            </w:r>
          </w:p>
        </w:tc>
        <w:tc>
          <w:tcPr/>
          <w:p>
            <w:pPr>
              <w:pStyle w:val="Compact"/>
            </w:pPr>
            <w:r>
              <w:t xml:space="preserve">Mention obligatoire et condition d'exercice</w:t>
            </w:r>
          </w:p>
        </w:tc>
        <w:tc>
          <w:tcPr/>
          <w:p>
            <w:pPr>
              <w:pStyle w:val="Compact"/>
            </w:pPr>
            <w:r>
              <w:t xml:space="preserve">1, 7</w:t>
            </w:r>
          </w:p>
        </w:tc>
        <w:tc>
          <w:tcPr/>
          <w:p>
            <w:pPr>
              <w:pStyle w:val="Compact"/>
            </w:pPr>
          </w:p>
        </w:tc>
      </w:tr>
      <w:tr>
        <w:tc>
          <w:tcPr/>
          <w:p>
            <w:pPr>
              <w:pStyle w:val="Compact"/>
            </w:pPr>
            <w:r>
              <w:t xml:space="preserve">9</w:t>
            </w:r>
          </w:p>
        </w:tc>
        <w:tc>
          <w:tcPr/>
          <w:p>
            <w:pPr>
              <w:pStyle w:val="Compact"/>
            </w:pPr>
            <w:r>
              <w:t xml:space="preserve">Le droit de rétractation de 72 heures (art. 62 à 64) s'applique-t-il au service de Nexis Hub, à la prestation, ou aux deux ? Un remboursement sur le wallet suivi d'une vérification avant retrait le respecte-t-il ?</w:t>
            </w:r>
          </w:p>
        </w:tc>
        <w:tc>
          <w:tcPr/>
          <w:p>
            <w:pPr>
              <w:pStyle w:val="Compact"/>
            </w:pPr>
            <w:r>
              <w:t xml:space="preserve">Peut imposer une annulation directe après paiement et un remboursement vers le Mobile Money</w:t>
            </w:r>
          </w:p>
        </w:tc>
        <w:tc>
          <w:tcPr/>
          <w:p>
            <w:pPr>
              <w:pStyle w:val="Compact"/>
            </w:pPr>
            <w:r>
              <w:t xml:space="preserve">1, 2, 3</w:t>
            </w:r>
          </w:p>
        </w:tc>
        <w:tc>
          <w:tcPr/>
          <w:p>
            <w:pPr>
              <w:pStyle w:val="Compact"/>
            </w:pPr>
          </w:p>
        </w:tc>
      </w:tr>
      <w:tr>
        <w:tc>
          <w:tcPr/>
          <w:p>
            <w:pPr>
              <w:pStyle w:val="Compact"/>
            </w:pPr>
            <w:r>
              <w:t xml:space="preserve">10</w:t>
            </w:r>
          </w:p>
        </w:tc>
        <w:tc>
          <w:tcPr/>
          <w:p>
            <w:pPr>
              <w:pStyle w:val="Compact"/>
            </w:pPr>
            <w:r>
              <w:t xml:space="preserve">Le délai de 24 heures avant libération automatique est-il acceptable face à un consommateur ?</w:t>
            </w:r>
          </w:p>
        </w:tc>
        <w:tc>
          <w:tcPr/>
          <w:p>
            <w:pPr>
              <w:pStyle w:val="Compact"/>
            </w:pPr>
            <w:r>
              <w:t xml:space="preserve">Règle codée ; à changer avec le code si besoin</w:t>
            </w:r>
          </w:p>
        </w:tc>
        <w:tc>
          <w:tcPr/>
          <w:p>
            <w:pPr>
              <w:pStyle w:val="Compact"/>
            </w:pPr>
            <w:r>
              <w:t xml:space="preserve">2, 3, 7</w:t>
            </w:r>
          </w:p>
        </w:tc>
        <w:tc>
          <w:tcPr/>
          <w:p>
            <w:pPr>
              <w:pStyle w:val="Compact"/>
            </w:pPr>
          </w:p>
        </w:tc>
      </w:tr>
      <w:tr>
        <w:tc>
          <w:tcPr/>
          <w:p>
            <w:pPr>
              <w:pStyle w:val="Compact"/>
            </w:pPr>
            <w:r>
              <w:t xml:space="preserve">11</w:t>
            </w:r>
          </w:p>
        </w:tc>
        <w:tc>
          <w:tcPr/>
          <w:p>
            <w:pPr>
              <w:pStyle w:val="Compact"/>
            </w:pPr>
            <w:r>
              <w:t xml:space="preserve">En cas de partage d'un litige, Nexis Hub peut-il garder toute sa commission ?</w:t>
            </w:r>
          </w:p>
        </w:tc>
        <w:tc>
          <w:tcPr/>
          <w:p>
            <w:pPr>
              <w:pStyle w:val="Compact"/>
            </w:pPr>
            <w:r>
              <w:t xml:space="preserve">Règle codée ; à changer avec le code si besoin</w:t>
            </w:r>
          </w:p>
        </w:tc>
        <w:tc>
          <w:tcPr/>
          <w:p>
            <w:pPr>
              <w:pStyle w:val="Compact"/>
            </w:pPr>
            <w:r>
              <w:t xml:space="preserve">3</w:t>
            </w:r>
          </w:p>
        </w:tc>
        <w:tc>
          <w:tcPr/>
          <w:p>
            <w:pPr>
              <w:pStyle w:val="Compact"/>
            </w:pPr>
          </w:p>
        </w:tc>
      </w:tr>
      <w:tr>
        <w:tc>
          <w:tcPr/>
          <w:p>
            <w:pPr>
              <w:pStyle w:val="Compact"/>
            </w:pPr>
            <w:r>
              <w:t xml:space="preserve">12</w:t>
            </w:r>
          </w:p>
        </w:tc>
        <w:tc>
          <w:tcPr/>
          <w:p>
            <w:pPr>
              <w:pStyle w:val="Compact"/>
            </w:pPr>
            <w:r>
              <w:t xml:space="preserve">La limitation de responsabilité de Nexis Hub au montant de la mission est-elle valable ? Le mot « garantie » utilisé dans le bot crée-t-il une obligation ?</w:t>
            </w:r>
          </w:p>
        </w:tc>
        <w:tc>
          <w:tcPr/>
          <w:p>
            <w:pPr>
              <w:pStyle w:val="Compact"/>
            </w:pPr>
            <w:r>
              <w:t xml:space="preserve">Protection de l'entreprise</w:t>
            </w:r>
          </w:p>
        </w:tc>
        <w:tc>
          <w:tcPr/>
          <w:p>
            <w:pPr>
              <w:pStyle w:val="Compact"/>
            </w:pPr>
            <w:r>
              <w:t xml:space="preserve">1, 7</w:t>
            </w:r>
          </w:p>
        </w:tc>
        <w:tc>
          <w:tcPr/>
          <w:p>
            <w:pPr>
              <w:pStyle w:val="Compact"/>
            </w:pPr>
          </w:p>
        </w:tc>
      </w:tr>
      <w:tr>
        <w:tc>
          <w:tcPr/>
          <w:p>
            <w:pPr>
              <w:pStyle w:val="Compact"/>
            </w:pPr>
            <w:r>
              <w:t xml:space="preserve">13</w:t>
            </w:r>
          </w:p>
        </w:tc>
        <w:tc>
          <w:tcPr/>
          <w:p>
            <w:pPr>
              <w:pStyle w:val="Compact"/>
            </w:pPr>
            <w:r>
              <w:t xml:space="preserve">Existe-t-il une loi de protection du consommateur applicable ? Une clause attributive de juridiction est-elle opposable à un consommateur ? Faut-il prévoir une médiation ?</w:t>
            </w:r>
          </w:p>
        </w:tc>
        <w:tc>
          <w:tcPr/>
          <w:p>
            <w:pPr>
              <w:pStyle w:val="Compact"/>
            </w:pPr>
            <w:r>
              <w:t xml:space="preserve">Clause de litiges avec Nexis Hub</w:t>
            </w:r>
          </w:p>
        </w:tc>
        <w:tc>
          <w:tcPr/>
          <w:p>
            <w:pPr>
              <w:pStyle w:val="Compact"/>
            </w:pPr>
            <w:r>
              <w:t xml:space="preserve">1</w:t>
            </w:r>
          </w:p>
        </w:tc>
        <w:tc>
          <w:tcPr/>
          <w:p>
            <w:pPr>
              <w:pStyle w:val="Compact"/>
            </w:pPr>
          </w:p>
        </w:tc>
      </w:tr>
      <w:tr>
        <w:tc>
          <w:tcPr/>
          <w:p>
            <w:pPr>
              <w:pStyle w:val="Compact"/>
            </w:pPr>
            <w:r>
              <w:t xml:space="preserve">14</w:t>
            </w:r>
          </w:p>
        </w:tc>
        <w:tc>
          <w:tcPr/>
          <w:p>
            <w:pPr>
              <w:pStyle w:val="Compact"/>
            </w:pPr>
            <w:r>
              <w:t xml:space="preserve">Une acceptation par bouton dans Telegram ou WhatsApp vaut-elle acceptation du contrat (art. 55) ? Que faut-il enregistrer comme preuve ?</w:t>
            </w:r>
          </w:p>
        </w:tc>
        <w:tc>
          <w:tcPr/>
          <w:p>
            <w:pPr>
              <w:pStyle w:val="Compact"/>
            </w:pPr>
            <w:r>
              <w:t xml:space="preserve">Fonction d'enregistrement à construire</w:t>
            </w:r>
          </w:p>
        </w:tc>
        <w:tc>
          <w:tcPr/>
          <w:p>
            <w:pPr>
              <w:pStyle w:val="Compact"/>
            </w:pPr>
            <w:r>
              <w:t xml:space="preserve">1, 7</w:t>
            </w:r>
          </w:p>
        </w:tc>
        <w:tc>
          <w:tcPr/>
          <w:p>
            <w:pPr>
              <w:pStyle w:val="Compact"/>
            </w:pPr>
          </w:p>
        </w:tc>
      </w:tr>
      <w:tr>
        <w:tc>
          <w:tcPr/>
          <w:p>
            <w:pPr>
              <w:pStyle w:val="Compact"/>
            </w:pPr>
            <w:r>
              <w:t xml:space="preserve">15</w:t>
            </w:r>
          </w:p>
        </w:tc>
        <w:tc>
          <w:tcPr/>
          <w:p>
            <w:pPr>
              <w:pStyle w:val="Compact"/>
            </w:pPr>
            <w:r>
              <w:t xml:space="preserve">Âge minimum : 18 ans ? Que faire d'un compte de mineur découvert ?</w:t>
            </w:r>
          </w:p>
        </w:tc>
        <w:tc>
          <w:tcPr/>
          <w:p>
            <w:pPr>
              <w:pStyle w:val="Compact"/>
            </w:pPr>
            <w:r>
              <w:t xml:space="preserve">Capacité à contracter</w:t>
            </w:r>
          </w:p>
        </w:tc>
        <w:tc>
          <w:tcPr/>
          <w:p>
            <w:pPr>
              <w:pStyle w:val="Compact"/>
            </w:pPr>
            <w:r>
              <w:t xml:space="preserve">1, 6</w:t>
            </w:r>
          </w:p>
        </w:tc>
        <w:tc>
          <w:tcPr/>
          <w:p>
            <w:pPr>
              <w:pStyle w:val="Compact"/>
            </w:pPr>
          </w:p>
        </w:tc>
      </w:tr>
      <w:tr>
        <w:tc>
          <w:tcPr/>
          <w:p>
            <w:pPr>
              <w:pStyle w:val="Compact"/>
            </w:pPr>
            <w:r>
              <w:t xml:space="preserve">16</w:t>
            </w:r>
          </w:p>
        </w:tc>
        <w:tc>
          <w:tcPr/>
          <w:p>
            <w:pPr>
              <w:pStyle w:val="Compact"/>
            </w:pPr>
            <w:r>
              <w:t xml:space="preserve">Nexis Hub peut-il reprendre sur un wallet une somme créditée par erreur, et bloquer des retraits sur soupçon de fraude ? Dans quelles limites ?</w:t>
            </w:r>
          </w:p>
        </w:tc>
        <w:tc>
          <w:tcPr/>
          <w:p>
            <w:pPr>
              <w:pStyle w:val="Compact"/>
            </w:pPr>
            <w:r>
              <w:t xml:space="preserve">Clauses d'erreur et de fraude</w:t>
            </w:r>
          </w:p>
        </w:tc>
        <w:tc>
          <w:tcPr/>
          <w:p>
            <w:pPr>
              <w:pStyle w:val="Compact"/>
            </w:pPr>
            <w:r>
              <w:t xml:space="preserve">2, 5</w:t>
            </w:r>
          </w:p>
        </w:tc>
        <w:tc>
          <w:tcPr/>
          <w:p>
            <w:pPr>
              <w:pStyle w:val="Compact"/>
            </w:pPr>
          </w:p>
        </w:tc>
      </w:tr>
    </w:tbl>
    <w:bookmarkEnd w:id="97"/>
    <w:bookmarkStart w:id="98" w:name="données-personnelles"/>
    <w:p>
      <w:pPr>
        <w:pStyle w:val="Heading2"/>
      </w:pPr>
      <w:r>
        <w:t xml:space="preserve">Données personnelles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w:t>
            </w:r>
          </w:p>
        </w:tc>
        <w:tc>
          <w:tcPr/>
          <w:p>
            <w:pPr>
              <w:pStyle w:val="Compact"/>
            </w:pPr>
            <w:r>
              <w:t xml:space="preserve">Pourquoi on la pose</w:t>
            </w:r>
          </w:p>
        </w:tc>
        <w:tc>
          <w:tcPr/>
          <w:p>
            <w:pPr>
              <w:pStyle w:val="Compact"/>
            </w:pPr>
            <w:r>
              <w:t xml:space="preserve">Documents touchés</w:t>
            </w:r>
          </w:p>
        </w:tc>
        <w:tc>
          <w:tcPr/>
          <w:p>
            <w:pPr>
              <w:pStyle w:val="Compact"/>
            </w:pPr>
            <w:r>
              <w:t xml:space="preserve">Réponse du juriste</w:t>
            </w:r>
          </w:p>
        </w:tc>
      </w:tr>
      <w:tr>
        <w:tc>
          <w:tcPr/>
          <w:p>
            <w:pPr>
              <w:pStyle w:val="Compact"/>
            </w:pPr>
            <w:r>
              <w:t xml:space="preserve">17</w:t>
            </w:r>
          </w:p>
        </w:tc>
        <w:tc>
          <w:tcPr/>
          <w:p>
            <w:pPr>
              <w:pStyle w:val="Compact"/>
            </w:pPr>
            <w:r>
              <w:t xml:space="preserve">Faut-il déclarer ou faire autoriser les traitements, auprès de qui (Autorité de protection des données pas encore créée, ARPTC) ? Le délégué à la protection des données (art. 222) est-il obligatoire pour Nexis Hub ?</w:t>
            </w:r>
          </w:p>
        </w:tc>
        <w:tc>
          <w:tcPr/>
          <w:p>
            <w:pPr>
              <w:pStyle w:val="Compact"/>
            </w:pPr>
            <w:r>
              <w:t xml:space="preserve">Formalités avant ouverture</w:t>
            </w:r>
          </w:p>
        </w:tc>
        <w:tc>
          <w:tcPr/>
          <w:p>
            <w:pPr>
              <w:pStyle w:val="Compact"/>
            </w:pPr>
            <w:r>
              <w:t xml:space="preserve">6</w:t>
            </w:r>
          </w:p>
        </w:tc>
        <w:tc>
          <w:tcPr/>
          <w:p>
            <w:pPr>
              <w:pStyle w:val="Compact"/>
            </w:pPr>
          </w:p>
        </w:tc>
      </w:tr>
      <w:tr>
        <w:tc>
          <w:tcPr/>
          <w:p>
            <w:pPr>
              <w:pStyle w:val="Compact"/>
            </w:pPr>
            <w:r>
              <w:t xml:space="preserve">18</w:t>
            </w:r>
          </w:p>
        </w:tc>
        <w:tc>
          <w:tcPr/>
          <w:p>
            <w:pPr>
              <w:pStyle w:val="Compact"/>
            </w:pPr>
            <w:r>
              <w:t xml:space="preserve">Les transferts vers Telegram, Meta et l'hébergeur (art. 201 et 202) sont-ils couverts par le consentement explicite plus la nécessité du contrat ?</w:t>
            </w:r>
          </w:p>
        </w:tc>
        <w:tc>
          <w:tcPr/>
          <w:p>
            <w:pPr>
              <w:pStyle w:val="Compact"/>
            </w:pPr>
            <w:r>
              <w:t xml:space="preserve">Texte de consentement à l'inscription</w:t>
            </w:r>
          </w:p>
        </w:tc>
        <w:tc>
          <w:tcPr/>
          <w:p>
            <w:pPr>
              <w:pStyle w:val="Compact"/>
            </w:pPr>
            <w:r>
              <w:t xml:space="preserve">6, 7</w:t>
            </w:r>
          </w:p>
        </w:tc>
        <w:tc>
          <w:tcPr/>
          <w:p>
            <w:pPr>
              <w:pStyle w:val="Compact"/>
            </w:pPr>
          </w:p>
        </w:tc>
      </w:tr>
      <w:tr>
        <w:tc>
          <w:tcPr/>
          <w:p>
            <w:pPr>
              <w:pStyle w:val="Compact"/>
            </w:pPr>
            <w:r>
              <w:t xml:space="preserve">19</w:t>
            </w:r>
          </w:p>
        </w:tc>
        <w:tc>
          <w:tcPr/>
          <w:p>
            <w:pPr>
              <w:pStyle w:val="Compact"/>
            </w:pPr>
            <w:r>
              <w:t xml:space="preserve">Le selfie comparé à l'œil avec la pièce d'identité est-il une donnée biométrique ? Quelles formalités et quelle durée de conservation ?</w:t>
            </w:r>
          </w:p>
        </w:tc>
        <w:tc>
          <w:tcPr/>
          <w:p>
            <w:pPr>
              <w:pStyle w:val="Compact"/>
            </w:pPr>
            <w:r>
              <w:t xml:space="preserve">Vérification des prestataires</w:t>
            </w:r>
          </w:p>
        </w:tc>
        <w:tc>
          <w:tcPr/>
          <w:p>
            <w:pPr>
              <w:pStyle w:val="Compact"/>
            </w:pPr>
            <w:r>
              <w:t xml:space="preserve">4, 6</w:t>
            </w:r>
          </w:p>
        </w:tc>
        <w:tc>
          <w:tcPr/>
          <w:p>
            <w:pPr>
              <w:pStyle w:val="Compact"/>
            </w:pPr>
          </w:p>
        </w:tc>
      </w:tr>
      <w:tr>
        <w:tc>
          <w:tcPr/>
          <w:p>
            <w:pPr>
              <w:pStyle w:val="Compact"/>
            </w:pPr>
            <w:r>
              <w:t xml:space="preserve">20</w:t>
            </w:r>
          </w:p>
        </w:tc>
        <w:tc>
          <w:tcPr/>
          <w:p>
            <w:pPr>
              <w:pStyle w:val="Compact"/>
            </w:pPr>
            <w:r>
              <w:t xml:space="preserve">Les fondements, les droits listés et l'obligation de notifier une violation de données sont-ils conformes au Code du numérique ?</w:t>
            </w:r>
          </w:p>
        </w:tc>
        <w:tc>
          <w:tcPr/>
          <w:p>
            <w:pPr>
              <w:pStyle w:val="Compact"/>
            </w:pPr>
            <w:r>
              <w:t xml:space="preserve">Section droits de la politique</w:t>
            </w:r>
          </w:p>
        </w:tc>
        <w:tc>
          <w:tcPr/>
          <w:p>
            <w:pPr>
              <w:pStyle w:val="Compact"/>
            </w:pPr>
            <w:r>
              <w:t xml:space="preserve">6</w:t>
            </w:r>
          </w:p>
        </w:tc>
        <w:tc>
          <w:tcPr/>
          <w:p>
            <w:pPr>
              <w:pStyle w:val="Compact"/>
            </w:pPr>
          </w:p>
        </w:tc>
      </w:tr>
    </w:tbl>
    <w:bookmarkEnd w:id="98"/>
    <w:bookmarkStart w:id="99" w:name="prestataires-et-fiscalité"/>
    <w:p>
      <w:pPr>
        <w:pStyle w:val="Heading2"/>
      </w:pPr>
      <w:r>
        <w:t xml:space="preserve">Prestataires et fiscalité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Question</w:t>
            </w:r>
          </w:p>
        </w:tc>
        <w:tc>
          <w:tcPr/>
          <w:p>
            <w:pPr>
              <w:pStyle w:val="Compact"/>
            </w:pPr>
            <w:r>
              <w:t xml:space="preserve">Pourquoi on la pose</w:t>
            </w:r>
          </w:p>
        </w:tc>
        <w:tc>
          <w:tcPr/>
          <w:p>
            <w:pPr>
              <w:pStyle w:val="Compact"/>
            </w:pPr>
            <w:r>
              <w:t xml:space="preserve">Documents touchés</w:t>
            </w:r>
          </w:p>
        </w:tc>
        <w:tc>
          <w:tcPr/>
          <w:p>
            <w:pPr>
              <w:pStyle w:val="Compact"/>
            </w:pPr>
            <w:r>
              <w:t xml:space="preserve">Réponse du juriste</w:t>
            </w:r>
          </w:p>
        </w:tc>
      </w:tr>
      <w:tr>
        <w:tc>
          <w:tcPr/>
          <w:p>
            <w:pPr>
              <w:pStyle w:val="Compact"/>
            </w:pPr>
            <w:r>
              <w:t xml:space="preserve">21</w:t>
            </w:r>
          </w:p>
        </w:tc>
        <w:tc>
          <w:tcPr/>
          <w:p>
            <w:pPr>
              <w:pStyle w:val="Compact"/>
            </w:pPr>
            <w:r>
              <w:t xml:space="preserve">Le modèle présente-t-il un risque de requalification des prestataires en salariés ?</w:t>
            </w:r>
          </w:p>
        </w:tc>
        <w:tc>
          <w:tcPr/>
          <w:p>
            <w:pPr>
              <w:pStyle w:val="Compact"/>
            </w:pPr>
            <w:r>
              <w:t xml:space="preserve">Statut indépendant</w:t>
            </w:r>
          </w:p>
        </w:tc>
        <w:tc>
          <w:tcPr/>
          <w:p>
            <w:pPr>
              <w:pStyle w:val="Compact"/>
            </w:pPr>
            <w:r>
              <w:t xml:space="preserve">4</w:t>
            </w:r>
          </w:p>
        </w:tc>
        <w:tc>
          <w:tcPr/>
          <w:p>
            <w:pPr>
              <w:pStyle w:val="Compact"/>
            </w:pPr>
          </w:p>
        </w:tc>
      </w:tr>
      <w:tr>
        <w:tc>
          <w:tcPr/>
          <w:p>
            <w:pPr>
              <w:pStyle w:val="Compact"/>
            </w:pPr>
            <w:r>
              <w:t xml:space="preserve">22</w:t>
            </w:r>
          </w:p>
        </w:tc>
        <w:tc>
          <w:tcPr/>
          <w:p>
            <w:pPr>
              <w:pStyle w:val="Compact"/>
            </w:pPr>
            <w:r>
              <w:t xml:space="preserve">Les prestataires doivent-ils avoir un statut (NIF, entreprise individuelle) pour recevoir des versements ? Nexis Hub doit-il déclarer les sommes versées ? (GUCE 8)</w:t>
            </w:r>
          </w:p>
        </w:tc>
        <w:tc>
          <w:tcPr/>
          <w:p>
            <w:pPr>
              <w:pStyle w:val="Compact"/>
            </w:pPr>
            <w:r>
              <w:t xml:space="preserve">Conditions d'inscription</w:t>
            </w:r>
          </w:p>
        </w:tc>
        <w:tc>
          <w:tcPr/>
          <w:p>
            <w:pPr>
              <w:pStyle w:val="Compact"/>
            </w:pPr>
            <w:r>
              <w:t xml:space="preserve">4</w:t>
            </w:r>
          </w:p>
        </w:tc>
        <w:tc>
          <w:tcPr/>
          <w:p>
            <w:pPr>
              <w:pStyle w:val="Compact"/>
            </w:pPr>
          </w:p>
        </w:tc>
      </w:tr>
      <w:tr>
        <w:tc>
          <w:tcPr/>
          <w:p>
            <w:pPr>
              <w:pStyle w:val="Compact"/>
            </w:pPr>
            <w:r>
              <w:t xml:space="preserve">23</w:t>
            </w:r>
          </w:p>
        </w:tc>
        <w:tc>
          <w:tcPr/>
          <w:p>
            <w:pPr>
              <w:pStyle w:val="Compact"/>
            </w:pPr>
            <w:r>
              <w:t xml:space="preserve">Comment traiter fiscalement la commission (TVA, impôt, factures) et les sommes qui ne font que transiter ? (GUCE 6)</w:t>
            </w:r>
          </w:p>
        </w:tc>
        <w:tc>
          <w:tcPr/>
          <w:p>
            <w:pPr>
              <w:pStyle w:val="Compact"/>
            </w:pPr>
            <w:r>
              <w:t xml:space="preserve">Comptabilité et mentions de prix</w:t>
            </w:r>
          </w:p>
        </w:tc>
        <w:tc>
          <w:tcPr/>
          <w:p>
            <w:pPr>
              <w:pStyle w:val="Compact"/>
            </w:pPr>
            <w:r>
              <w:t xml:space="preserve">1, 2</w:t>
            </w:r>
          </w:p>
        </w:tc>
        <w:tc>
          <w:tcPr/>
          <w:p>
            <w:pPr>
              <w:pStyle w:val="Compact"/>
            </w:pPr>
          </w:p>
        </w:tc>
      </w:tr>
      <w:tr>
        <w:tc>
          <w:tcPr/>
          <w:p>
            <w:pPr>
              <w:pStyle w:val="Compact"/>
            </w:pPr>
            <w:r>
              <w:t xml:space="preserve">24</w:t>
            </w:r>
          </w:p>
        </w:tc>
        <w:tc>
          <w:tcPr/>
          <w:p>
            <w:pPr>
              <w:pStyle w:val="Compact"/>
            </w:pPr>
            <w:r>
              <w:t xml:space="preserve">Faut-il exiger une assurance de responsabilité pour certains métiers (électricité, plomberie) ?</w:t>
            </w:r>
          </w:p>
        </w:tc>
        <w:tc>
          <w:tcPr/>
          <w:p>
            <w:pPr>
              <w:pStyle w:val="Compact"/>
            </w:pPr>
            <w:r>
              <w:t xml:space="preserve">Dommages pendant une mission</w:t>
            </w:r>
          </w:p>
        </w:tc>
        <w:tc>
          <w:tcPr/>
          <w:p>
            <w:pPr>
              <w:pStyle w:val="Compact"/>
            </w:pPr>
            <w:r>
              <w:t xml:space="preserve">4</w:t>
            </w:r>
          </w:p>
        </w:tc>
        <w:tc>
          <w:tcPr/>
          <w:p>
            <w:pPr>
              <w:pStyle w:val="Compact"/>
            </w:pPr>
          </w:p>
        </w:tc>
      </w:tr>
      <w:tr>
        <w:tc>
          <w:tcPr/>
          <w:p>
            <w:pPr>
              <w:pStyle w:val="Compact"/>
            </w:pPr>
            <w:r>
              <w:t xml:space="preserve">25</w:t>
            </w:r>
          </w:p>
        </w:tc>
        <w:tc>
          <w:tcPr/>
          <w:p>
            <w:pPr>
              <w:pStyle w:val="Compact"/>
            </w:pPr>
            <w:r>
              <w:t xml:space="preserve">Les conditions générales pour clients et prestataires couvrent-elles bien séquestre, litiges, remboursements et délais ? (GUCE 5)</w:t>
            </w:r>
          </w:p>
        </w:tc>
        <w:tc>
          <w:tcPr/>
          <w:p>
            <w:pPr>
              <w:pStyle w:val="Compact"/>
            </w:pPr>
            <w:r>
              <w:t xml:space="preserve">Relecture d'ensemble de ce dossier</w:t>
            </w:r>
          </w:p>
        </w:tc>
        <w:tc>
          <w:tcPr/>
          <w:p>
            <w:pPr>
              <w:pStyle w:val="Compact"/>
            </w:pPr>
            <w:r>
              <w:t xml:space="preserve">Tous</w:t>
            </w:r>
          </w:p>
        </w:tc>
        <w:tc>
          <w:tcPr/>
          <w:p>
            <w:pPr>
              <w:pStyle w:val="Compact"/>
            </w:pPr>
          </w:p>
        </w:tc>
      </w:tr>
    </w:tbl>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laude.ai/code/artifact/caa221ce-3a54-4e55-a27e-f06cf9a1b23b" TargetMode="External" /><Relationship Type="http://schemas.openxmlformats.org/officeDocument/2006/relationships/hyperlink" Id="rId13" Target="https://droitnumerique.cd/le-transfert-des-donnees-personnelles-hors-de-la-rd-congo/" TargetMode="External" /><Relationship Type="http://schemas.openxmlformats.org/officeDocument/2006/relationships/hyperlink" Id="rId12" Target="https://droitnumerique.cd/wp-content/uploads/2024/08/Code-du-numerique-I-RD-Congo.pdf" TargetMode="External" /><Relationship Type="http://schemas.openxmlformats.org/officeDocument/2006/relationships/hyperlink" Id="rId17" Target="https://www.financialafrik.com/2023/10/04/tribune-la-nouvelle-dynamique-de-lutte-contre-la-criminalite-financiere-en-rdc/" TargetMode="External" /><Relationship Type="http://schemas.openxmlformats.org/officeDocument/2006/relationships/hyperlink" Id="rId16" Target="https://www.labase-lextenso.fr/l-essentiel-droits-africains-des-affaires/2019-n2/republique-democratique-du-congo-modernisation-des-instruments-de-paiement-DAA111y6" TargetMode="External" /><Relationship Type="http://schemas.openxmlformats.org/officeDocument/2006/relationships/hyperlink" Id="rId18" Target="https://www.vie-publique.sn/documents/11026/acte-uniforme-droit-comptable-information-financiere-ohada-2017" TargetMode="External" /><Relationship Type="http://schemas.openxmlformats.org/officeDocument/2006/relationships/hyperlink" Id="rId14" Target="https://www.village-justice.com/articles/designation-delegue-protection-des-donnees-droit-congolais,47243.html" TargetMode="External" /><Relationship Type="http://schemas.openxmlformats.org/officeDocument/2006/relationships/hyperlink" Id="rId15" Target="https://www.wearetech.africa/fr/fils/actualites/tech/numerique-la-rdc-met-en-place-un-reseau-de-responsables-de-la-protection-des-donnees" TargetMode="External" /></Relationships>
</file>

<file path=word/_rels/footnotes.xml.rels><?xml version="1.0" encoding="UTF-8"?><Relationships xmlns="http://schemas.openxmlformats.org/package/2006/relationships"><Relationship Type="http://schemas.openxmlformats.org/officeDocument/2006/relationships/hyperlink" Id="rId9" Target="https://claude.ai/code/artifact/caa221ce-3a54-4e55-a27e-f06cf9a1b23b" TargetMode="External" /><Relationship Type="http://schemas.openxmlformats.org/officeDocument/2006/relationships/hyperlink" Id="rId13" Target="https://droitnumerique.cd/le-transfert-des-donnees-personnelles-hors-de-la-rd-congo/" TargetMode="External" /><Relationship Type="http://schemas.openxmlformats.org/officeDocument/2006/relationships/hyperlink" Id="rId12" Target="https://droitnumerique.cd/wp-content/uploads/2024/08/Code-du-numerique-I-RD-Congo.pdf" TargetMode="External" /><Relationship Type="http://schemas.openxmlformats.org/officeDocument/2006/relationships/hyperlink" Id="rId17" Target="https://www.financialafrik.com/2023/10/04/tribune-la-nouvelle-dynamique-de-lutte-contre-la-criminalite-financiere-en-rdc/" TargetMode="External" /><Relationship Type="http://schemas.openxmlformats.org/officeDocument/2006/relationships/hyperlink" Id="rId16" Target="https://www.labase-lextenso.fr/l-essentiel-droits-africains-des-affaires/2019-n2/republique-democratique-du-congo-modernisation-des-instruments-de-paiement-DAA111y6" TargetMode="External" /><Relationship Type="http://schemas.openxmlformats.org/officeDocument/2006/relationships/hyperlink" Id="rId18" Target="https://www.vie-publique.sn/documents/11026/acte-uniforme-droit-comptable-information-financiere-ohada-2017" TargetMode="External" /><Relationship Type="http://schemas.openxmlformats.org/officeDocument/2006/relationships/hyperlink" Id="rId14" Target="https://www.village-justice.com/articles/designation-delegue-protection-des-donnees-droit-congolais,47243.html" TargetMode="External" /><Relationship Type="http://schemas.openxmlformats.org/officeDocument/2006/relationships/hyperlink" Id="rId15" Target="https://www.wearetech.africa/fr/fils/actualites/tech/numerique-la-rdc-met-en-place-un-reseau-de-responsables-de-la-protection-des-donne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2026-10-03T17:44:40Z</dcterms:created>
  <dcterms:modified xsi:type="dcterms:W3CDTF">2026-10-03T17:44:40Z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