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Arial" w:hAnsi="Arial"/>
          <w:b/>
          <w:color w:val="002060"/>
          <w:sz w:val="28"/>
        </w:rPr>
        <w:t>VELLORE INSTITUTE OF TECHNOLOGY</w:t>
        <w:br/>
      </w:r>
      <w:r>
        <w:rPr>
          <w:rFonts w:ascii="Arial" w:hAnsi="Arial"/>
          <w:color w:val="595959"/>
          <w:sz w:val="24"/>
        </w:rPr>
        <w:t>School of Computer Science and Engineering</w:t>
        <w:br/>
        <w:br/>
        <w:br/>
        <w:br/>
      </w:r>
    </w:p>
    <w:p>
      <w:pPr>
        <w:spacing w:before="240" w:after="120" w:line="276" w:lineRule="auto"/>
        <w:jc w:val="center"/>
      </w:pPr>
      <w:r>
        <w:rPr>
          <w:rFonts w:ascii="Arial" w:hAnsi="Arial"/>
          <w:b/>
          <w:color w:val="2F5597"/>
          <w:sz w:val="44"/>
        </w:rPr>
        <w:t>HOUSE PRICE PREDICTION USING REGRESSION MODELS</w:t>
        <w:br/>
      </w:r>
    </w:p>
    <w:p>
      <w:pPr>
        <w:spacing w:before="120" w:after="960" w:line="276" w:lineRule="auto"/>
        <w:jc w:val="center"/>
      </w:pPr>
      <w:r>
        <w:rPr>
          <w:rFonts w:ascii="Arial" w:hAnsi="Arial"/>
          <w:i/>
          <w:color w:val="595959"/>
          <w:sz w:val="28"/>
        </w:rPr>
        <w:t>A Comparative Study on California, Ames, and UCI Real Estate Datasets</w:t>
        <w:br/>
        <w:br/>
      </w:r>
    </w:p>
    <w:p>
      <w:pPr>
        <w:spacing w:before="480" w:after="960" w:line="276" w:lineRule="auto"/>
        <w:jc w:val="center"/>
      </w:pP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sz w:val="21"/>
              </w:rPr>
              <w:t>Student Name:</w:t>
            </w:r>
          </w:p>
        </w:tc>
        <w:tc>
          <w:tcPr>
            <w:tcW w:type="dxa" w:w="4680"/>
          </w:tcPr>
          <w:p>
            <w:r>
              <w:rPr>
                <w:rFonts w:ascii="Arial" w:hAnsi="Arial"/>
                <w:sz w:val="21"/>
              </w:rPr>
              <w:t>Lokanth S</w:t>
            </w:r>
          </w:p>
        </w:tc>
      </w:tr>
      <w:tr>
        <w:tc>
          <w:tcPr>
            <w:tcW w:type="dxa" w:w="4680"/>
          </w:tcPr>
          <w:p>
            <w:r>
              <w:rPr>
                <w:rFonts w:ascii="Arial" w:hAnsi="Arial"/>
                <w:b/>
                <w:sz w:val="21"/>
              </w:rPr>
              <w:t>Registration Number:</w:t>
            </w:r>
          </w:p>
        </w:tc>
        <w:tc>
          <w:tcPr>
            <w:tcW w:type="dxa" w:w="4680"/>
          </w:tcPr>
          <w:p>
            <w:r>
              <w:rPr>
                <w:rFonts w:ascii="Arial" w:hAnsi="Arial"/>
                <w:sz w:val="21"/>
              </w:rPr>
              <w:t>23MID0037</w:t>
            </w:r>
          </w:p>
        </w:tc>
      </w:tr>
      <w:tr>
        <w:tc>
          <w:tcPr>
            <w:tcW w:type="dxa" w:w="4680"/>
          </w:tcPr>
          <w:p>
            <w:r>
              <w:rPr>
                <w:rFonts w:ascii="Arial" w:hAnsi="Arial"/>
                <w:b/>
                <w:sz w:val="21"/>
              </w:rPr>
              <w:t>Course Code &amp; Name:</w:t>
            </w:r>
          </w:p>
        </w:tc>
        <w:tc>
          <w:tcPr>
            <w:tcW w:type="dxa" w:w="4680"/>
          </w:tcPr>
          <w:p>
            <w:r>
              <w:rPr>
                <w:rFonts w:ascii="Arial" w:hAnsi="Arial"/>
                <w:sz w:val="21"/>
              </w:rPr>
              <w:t>MDI3003 - Advanced Predictive Analytics</w:t>
            </w:r>
          </w:p>
        </w:tc>
      </w:tr>
      <w:tr>
        <w:tc>
          <w:tcPr>
            <w:tcW w:type="dxa" w:w="4680"/>
          </w:tcPr>
          <w:p>
            <w:r>
              <w:rPr>
                <w:rFonts w:ascii="Arial" w:hAnsi="Arial"/>
                <w:b/>
                <w:sz w:val="21"/>
              </w:rPr>
              <w:t>Faculty Coordinator:</w:t>
            </w:r>
          </w:p>
        </w:tc>
        <w:tc>
          <w:tcPr>
            <w:tcW w:type="dxa" w:w="4680"/>
          </w:tcPr>
          <w:p>
            <w:r>
              <w:rPr>
                <w:rFonts w:ascii="Arial" w:hAnsi="Arial"/>
                <w:sz w:val="21"/>
              </w:rPr>
              <w:t>Dr. Durgesh Kumar</w:t>
            </w:r>
          </w:p>
        </w:tc>
      </w:tr>
      <w:tr>
        <w:tc>
          <w:tcPr>
            <w:tcW w:type="dxa" w:w="4680"/>
          </w:tcPr>
          <w:p>
            <w:r>
              <w:rPr>
                <w:rFonts w:ascii="Arial" w:hAnsi="Arial"/>
                <w:b/>
                <w:sz w:val="21"/>
              </w:rPr>
              <w:t>GitHub Repository Link:</w:t>
            </w:r>
          </w:p>
        </w:tc>
        <w:tc>
          <w:tcPr>
            <w:tcW w:type="dxa" w:w="4680"/>
          </w:tcPr>
          <w:p>
            <w:r>
              <w:rPr>
                <w:rFonts w:ascii="Arial" w:hAnsi="Arial"/>
                <w:color w:val="0070C0"/>
                <w:sz w:val="21"/>
                <w:u w:val="single"/>
              </w:rPr>
              <w:t>https://github.com/lokant712/House-Price-Prediction</w:t>
            </w:r>
          </w:p>
        </w:tc>
      </w:tr>
    </w:tbl>
    <w:p>
      <w:r>
        <w:br w:type="page"/>
      </w:r>
    </w:p>
    <w:p>
      <w:pPr>
        <w:pStyle w:val="Heading1"/>
        <w:keepNext/>
        <w:spacing w:before="360" w:after="120" w:line="276" w:lineRule="auto"/>
      </w:pPr>
      <w:r>
        <w:rPr>
          <w:rFonts w:ascii="Arial" w:hAnsi="Arial"/>
          <w:b/>
          <w:color w:val="2F5597"/>
          <w:sz w:val="32"/>
        </w:rPr>
        <w:t>Certificate</w:t>
      </w:r>
    </w:p>
    <w:p>
      <w:pPr>
        <w:spacing w:before="0" w:after="120" w:line="276" w:lineRule="auto"/>
      </w:pPr>
      <w:r>
        <w:rPr>
          <w:rFonts w:ascii="Arial" w:hAnsi="Arial"/>
          <w:color w:val="000000"/>
          <w:sz w:val="22"/>
        </w:rPr>
        <w:t>This is to certify that the university laboratory project entitled "House Price Prediction using Regression Models" is a bonafide record of work done by Lokanth S (Reg. No: 23MID0037) in partial fulfillment of the requirements for the course MDI3003 - Advanced Predictive Analytics during the academic year 2026 under my supervision and guidance. The complete source code, preprocessing scripts, notebooks, datasets, requirements, and outputs are fully documented, hosted on GitHub, and verified for reproducibility.</w:t>
      </w:r>
    </w:p>
    <w:p>
      <w:r>
        <w:br/>
        <w:br/>
        <w:br/>
      </w:r>
    </w:p>
    <w:p>
      <w:pPr>
        <w:jc w:val="right"/>
      </w:pPr>
      <w:r>
        <w:rPr>
          <w:rFonts w:ascii="Arial" w:hAnsi="Arial"/>
          <w:b/>
          <w:sz w:val="22"/>
        </w:rPr>
        <w:t>______________________________</w:t>
        <w:br/>
      </w:r>
      <w:r>
        <w:rPr>
          <w:rFonts w:ascii="Arial" w:hAnsi="Arial"/>
          <w:b/>
          <w:sz w:val="22"/>
        </w:rPr>
        <w:t>Dr. Durgesh Kumar</w:t>
        <w:br/>
      </w:r>
      <w:r>
        <w:rPr>
          <w:rFonts w:ascii="Arial" w:hAnsi="Arial"/>
          <w:b/>
          <w:sz w:val="22"/>
        </w:rPr>
        <w:t>Faculty Coordinator, SCSE</w:t>
      </w:r>
    </w:p>
    <w:p>
      <w:r>
        <w:br w:type="page"/>
      </w:r>
    </w:p>
    <w:p>
      <w:pPr>
        <w:pStyle w:val="Heading1"/>
        <w:keepNext/>
        <w:spacing w:before="360" w:after="120" w:line="276" w:lineRule="auto"/>
      </w:pPr>
      <w:r>
        <w:rPr>
          <w:rFonts w:ascii="Arial" w:hAnsi="Arial"/>
          <w:b/>
          <w:color w:val="2F5597"/>
          <w:sz w:val="32"/>
        </w:rPr>
        <w:t>Acknowledgement</w:t>
      </w:r>
    </w:p>
    <w:p>
      <w:pPr>
        <w:spacing w:before="0" w:after="120" w:line="276" w:lineRule="auto"/>
      </w:pPr>
      <w:r>
        <w:rPr>
          <w:rFonts w:ascii="Arial" w:hAnsi="Arial"/>
          <w:color w:val="000000"/>
          <w:sz w:val="22"/>
        </w:rPr>
        <w:t>I would like to express my sincere gratitude to my faculty coordinator, Dr. Durgesh Kumar, for providing continuous guidance, constructive feedback, and invaluable academic insights throughout the execution of this Advanced Predictive Analytics laboratory project. His academic rigor and guidance have greatly shaped the methodology and analytical quality of this study.</w:t>
      </w:r>
    </w:p>
    <w:p>
      <w:pPr>
        <w:spacing w:before="0" w:after="120" w:line="276" w:lineRule="auto"/>
      </w:pPr>
      <w:r>
        <w:rPr>
          <w:rFonts w:ascii="Arial" w:hAnsi="Arial"/>
          <w:color w:val="000000"/>
          <w:sz w:val="22"/>
        </w:rPr>
        <w:t>I am also thankful to the Vellore Institute of Technology for providing the software utilities, computational infrastructure, and workspace environment required to conduct this comparative empirical study. Lastly, I extend my appreciation to the open-source machine learning community and the creators of the scikit-learn framework, whose tools formed the core baseline of this project.</w:t>
      </w:r>
    </w:p>
    <w:p>
      <w:r>
        <w:br w:type="page"/>
      </w:r>
    </w:p>
    <w:p>
      <w:pPr>
        <w:pStyle w:val="Heading1"/>
        <w:keepNext/>
        <w:spacing w:before="360" w:after="120" w:line="276" w:lineRule="auto"/>
      </w:pPr>
      <w:r>
        <w:rPr>
          <w:rFonts w:ascii="Arial" w:hAnsi="Arial"/>
          <w:b/>
          <w:color w:val="2F5597"/>
          <w:sz w:val="32"/>
        </w:rPr>
        <w:t>Executive Summary</w:t>
      </w:r>
    </w:p>
    <w:p>
      <w:pPr>
        <w:spacing w:before="0" w:after="120" w:line="276" w:lineRule="auto"/>
      </w:pPr>
      <w:r>
        <w:rPr>
          <w:rFonts w:ascii="Arial" w:hAnsi="Arial"/>
          <w:color w:val="000000"/>
          <w:sz w:val="22"/>
        </w:rPr>
        <w:t>This project presents an end-to-end comparative empirical evaluation of regression-based machine learning pipelines for house price prediction across three distinct real-world housing datasets: the California Housing dataset (obtained via scikit-learn), the Ames Housing dataset, and the UCI Real Estate Valuation dataset. The research explores the modeling dynamics, predictive capacity, and error behavior of five regression models: Simple Linear Regression, Multiple Linear Regression, Decision Tree Regressor, Random Forest Regressor, and Gradient Boosting Regressor.</w:t>
      </w:r>
    </w:p>
    <w:p>
      <w:pPr>
        <w:spacing w:before="0" w:after="120" w:line="276" w:lineRule="auto"/>
      </w:pPr>
      <w:r>
        <w:rPr>
          <w:rFonts w:ascii="Arial" w:hAnsi="Arial"/>
          <w:color w:val="000000"/>
          <w:sz w:val="22"/>
        </w:rPr>
        <w:t>A comprehensive pre-processing and engineering framework was developed for each dataset, implementing robust outlier mitigation, imputation, standardized scaling, and high-dimensional categorical encoding using scikit-learn Pipelines and ColumnTransformer. A log-transformation approach was executed on right-skewed target attributes to stabilize variance and ensure compliance with linear modeling assumptions. Models were tuned via Grid Search optimization with 5-fold cross-validation to mitigate overfitting and find the optimal trade-offs between model capacity and generalization.</w:t>
      </w:r>
    </w:p>
    <w:p>
      <w:pPr>
        <w:spacing w:before="0" w:after="120" w:line="276" w:lineRule="auto"/>
      </w:pPr>
      <w:r>
        <w:rPr>
          <w:rFonts w:ascii="Arial" w:hAnsi="Arial"/>
          <w:color w:val="000000"/>
          <w:sz w:val="22"/>
        </w:rPr>
        <w:t>The empirical findings show that ensemble-based architectures (Gradient Boosting and Random Forests) consistently outperform linear baselines across all datasets. In California, Gradient Boosting achieved an R² score of ~0.811, whereas Simple Linear Regression yielded only ~0.46. In Ames, Multiple Linear Regression achieved a Test R² of ~0.904, reflecting the high predictive quality of log-scaled linear models. For the UCI dataset, Random Forest emerged as the optimal model, achieving an R² of ~0.809. Deep analytical discussions on residual behavior, feature importance distributions, and model limitations are included to provide actionable industry insights into predictive real estate valuation.</w:t>
      </w:r>
    </w:p>
    <w:p>
      <w:r>
        <w:br w:type="page"/>
      </w:r>
    </w:p>
    <w:p>
      <w:pPr>
        <w:pStyle w:val="Heading1"/>
        <w:keepNext/>
        <w:spacing w:before="360" w:after="120" w:line="276" w:lineRule="auto"/>
      </w:pPr>
      <w:r>
        <w:rPr>
          <w:rFonts w:ascii="Arial" w:hAnsi="Arial"/>
          <w:b/>
          <w:color w:val="2F5597"/>
          <w:sz w:val="32"/>
        </w:rPr>
        <w:t>Chapter 1: Introduction</w:t>
      </w:r>
    </w:p>
    <w:p>
      <w:pPr>
        <w:pStyle w:val="Heading2"/>
        <w:keepNext/>
        <w:spacing w:before="240" w:after="80" w:line="276" w:lineRule="auto"/>
      </w:pPr>
      <w:r>
        <w:rPr>
          <w:rFonts w:ascii="Arial" w:hAnsi="Arial"/>
          <w:b/>
          <w:color w:val="595959"/>
          <w:sz w:val="26"/>
        </w:rPr>
        <w:t>1.1 Problem Statement</w:t>
      </w:r>
    </w:p>
    <w:p>
      <w:pPr>
        <w:spacing w:before="0" w:after="120" w:line="276" w:lineRule="auto"/>
      </w:pPr>
      <w:r>
        <w:rPr>
          <w:rFonts w:ascii="Arial" w:hAnsi="Arial"/>
          <w:color w:val="000000"/>
          <w:sz w:val="22"/>
        </w:rPr>
        <w:t>The real estate market is highly dynamic and influenced by a complex array of structural, demographic, geographical, and economic parameters. Traditional real estate valuation heavily relies on manual comparative market analysis (CMA), which is subjective, prone to human error, and fails to capture non-linear relationships between property characteristics and market value. Developing a generalized, robust, and automated predictive framework is essential to assist financial institutions, property developers, and prospective buyers in establishing accurate, data-driven valuations.</w:t>
      </w:r>
    </w:p>
    <w:p>
      <w:pPr>
        <w:pStyle w:val="Heading2"/>
        <w:keepNext/>
        <w:spacing w:before="240" w:after="80" w:line="276" w:lineRule="auto"/>
      </w:pPr>
      <w:r>
        <w:rPr>
          <w:rFonts w:ascii="Arial" w:hAnsi="Arial"/>
          <w:b/>
          <w:color w:val="595959"/>
          <w:sz w:val="26"/>
        </w:rPr>
        <w:t>1.2 Objectives</w:t>
      </w:r>
    </w:p>
    <w:p>
      <w:pPr>
        <w:pStyle w:val="ListBullet"/>
        <w:spacing w:before="0" w:after="60" w:line="276" w:lineRule="auto"/>
      </w:pPr>
      <w:r>
        <w:rPr>
          <w:rFonts w:ascii="Arial" w:hAnsi="Arial"/>
          <w:b/>
          <w:sz w:val="22"/>
        </w:rPr>
        <w:t xml:space="preserve">Establish Robust ML Pipelines: </w:t>
      </w:r>
      <w:r>
        <w:rPr>
          <w:rFonts w:ascii="Arial" w:hAnsi="Arial"/>
          <w:sz w:val="22"/>
        </w:rPr>
        <w:t>Build end-to-end reproducible machine learning pipelines utilizing scikit-learn ColumnTransformer and Pipeline objects to automate imputation, scaling, and categorical encoding.</w:t>
      </w:r>
    </w:p>
    <w:p>
      <w:pPr>
        <w:pStyle w:val="ListBullet"/>
        <w:spacing w:before="0" w:after="60" w:line="276" w:lineRule="auto"/>
      </w:pPr>
      <w:r>
        <w:rPr>
          <w:rFonts w:ascii="Arial" w:hAnsi="Arial"/>
          <w:b/>
          <w:sz w:val="22"/>
        </w:rPr>
        <w:t xml:space="preserve">Empirical Comparative Study: </w:t>
      </w:r>
      <w:r>
        <w:rPr>
          <w:rFonts w:ascii="Arial" w:hAnsi="Arial"/>
          <w:sz w:val="22"/>
        </w:rPr>
        <w:t>Implement, tune, and compare five foundational and ensemble regression algorithms under uniform experimental conditions across three diverse datasets.</w:t>
      </w:r>
    </w:p>
    <w:p>
      <w:pPr>
        <w:pStyle w:val="ListBullet"/>
        <w:spacing w:before="0" w:after="60" w:line="276" w:lineRule="auto"/>
      </w:pPr>
      <w:r>
        <w:rPr>
          <w:rFonts w:ascii="Arial" w:hAnsi="Arial"/>
          <w:b/>
          <w:sz w:val="22"/>
        </w:rPr>
        <w:t xml:space="preserve">Outlier and Skewness Management: </w:t>
      </w:r>
      <w:r>
        <w:rPr>
          <w:rFonts w:ascii="Arial" w:hAnsi="Arial"/>
          <w:sz w:val="22"/>
        </w:rPr>
        <w:t>Analyze and handle the mathematical impact of target skewness and numerical outliers on linear vs. non-linear models.</w:t>
      </w:r>
    </w:p>
    <w:p>
      <w:pPr>
        <w:pStyle w:val="ListBullet"/>
        <w:spacing w:before="0" w:after="60" w:line="276" w:lineRule="auto"/>
      </w:pPr>
      <w:r>
        <w:rPr>
          <w:rFonts w:ascii="Arial" w:hAnsi="Arial"/>
          <w:b/>
          <w:sz w:val="22"/>
        </w:rPr>
        <w:t xml:space="preserve">Feature Importance Exploration: </w:t>
      </w:r>
      <w:r>
        <w:rPr>
          <w:rFonts w:ascii="Arial" w:hAnsi="Arial"/>
          <w:sz w:val="22"/>
        </w:rPr>
        <w:t>Identify the key predictive features driving property valuation in different structural contexts (e.g., density vs. physical acreage).</w:t>
      </w:r>
    </w:p>
    <w:p>
      <w:pPr>
        <w:pStyle w:val="Heading2"/>
        <w:keepNext/>
        <w:spacing w:before="240" w:after="80" w:line="276" w:lineRule="auto"/>
      </w:pPr>
      <w:r>
        <w:rPr>
          <w:rFonts w:ascii="Arial" w:hAnsi="Arial"/>
          <w:b/>
          <w:color w:val="595959"/>
          <w:sz w:val="26"/>
        </w:rPr>
        <w:t>1.3 Learning Outcomes</w:t>
      </w:r>
    </w:p>
    <w:p>
      <w:pPr>
        <w:spacing w:before="0" w:after="120" w:line="276" w:lineRule="auto"/>
      </w:pPr>
      <w:r>
        <w:rPr>
          <w:rFonts w:ascii="Arial" w:hAnsi="Arial"/>
          <w:color w:val="000000"/>
          <w:sz w:val="22"/>
        </w:rPr>
        <w:t>Through this laboratory project, key learning outcomes include:</w:t>
      </w:r>
    </w:p>
    <w:p>
      <w:pPr>
        <w:pStyle w:val="ListBullet"/>
        <w:spacing w:before="0" w:after="60" w:line="276" w:lineRule="auto"/>
      </w:pPr>
      <w:r>
        <w:rPr>
          <w:rFonts w:ascii="Arial" w:hAnsi="Arial"/>
          <w:b/>
          <w:sz w:val="22"/>
        </w:rPr>
        <w:t xml:space="preserve">Pipeline Orchestration: </w:t>
      </w:r>
      <w:r>
        <w:rPr>
          <w:rFonts w:ascii="Arial" w:hAnsi="Arial"/>
          <w:sz w:val="22"/>
        </w:rPr>
        <w:t>Advanced proficiency in using ColumnTransformer, Pipeline, and grid-search cross-validation to prevent data leakage during training.</w:t>
      </w:r>
    </w:p>
    <w:p>
      <w:pPr>
        <w:pStyle w:val="ListBullet"/>
        <w:spacing w:before="0" w:after="60" w:line="276" w:lineRule="auto"/>
      </w:pPr>
      <w:r>
        <w:rPr>
          <w:rFonts w:ascii="Arial" w:hAnsi="Arial"/>
          <w:b/>
          <w:sz w:val="22"/>
        </w:rPr>
        <w:t xml:space="preserve">Model Behavior Analysis: </w:t>
      </w:r>
      <w:r>
        <w:rPr>
          <w:rFonts w:ascii="Arial" w:hAnsi="Arial"/>
          <w:sz w:val="22"/>
        </w:rPr>
        <w:t>Deeper understanding of why tree ensembles are robust to scale and outliers compared to classical ordinary least squares (OLS) estimators.</w:t>
      </w:r>
    </w:p>
    <w:p>
      <w:pPr>
        <w:pStyle w:val="ListBullet"/>
        <w:spacing w:before="0" w:after="60" w:line="276" w:lineRule="auto"/>
      </w:pPr>
      <w:r>
        <w:rPr>
          <w:rFonts w:ascii="Arial" w:hAnsi="Arial"/>
          <w:b/>
          <w:sz w:val="22"/>
        </w:rPr>
        <w:t xml:space="preserve">Error Diagnosis: </w:t>
      </w:r>
      <w:r>
        <w:rPr>
          <w:rFonts w:ascii="Arial" w:hAnsi="Arial"/>
          <w:sz w:val="22"/>
        </w:rPr>
        <w:t>Skill in using residual plots, actual-vs-predicted error curves, and variance checks to diagnose model underfitting/overfitting.</w:t>
      </w:r>
    </w:p>
    <w:p>
      <w:pPr>
        <w:pStyle w:val="Heading2"/>
        <w:keepNext/>
        <w:spacing w:before="240" w:after="80" w:line="276" w:lineRule="auto"/>
      </w:pPr>
      <w:r>
        <w:rPr>
          <w:rFonts w:ascii="Arial" w:hAnsi="Arial"/>
          <w:b/>
          <w:color w:val="595959"/>
          <w:sz w:val="26"/>
        </w:rPr>
        <w:t>1.4 Business Motivation &amp; Industry Relevance</w:t>
      </w:r>
    </w:p>
    <w:p>
      <w:pPr>
        <w:spacing w:before="0" w:after="120" w:line="276" w:lineRule="auto"/>
      </w:pPr>
      <w:r>
        <w:rPr>
          <w:rFonts w:ascii="Arial" w:hAnsi="Arial"/>
          <w:color w:val="000000"/>
          <w:sz w:val="22"/>
        </w:rPr>
        <w:t>Automated Valuation Models (AVMs) are the backbone of modern prop-tech companies, commercial banking mortgage underwriting, and real-estate investment trusts (REITs). Fast and accurate prediction of property values reduces risk, speeds up lending approvals, and optimizes portfolio management. Incorporating spatial data, neighborhood quality, and local macroeconomic indices allows algorithmic models to forecast market changes and provide reliable risk-adjusted property values.</w:t>
      </w:r>
    </w:p>
    <w:p>
      <w:pPr>
        <w:pStyle w:val="Heading2"/>
        <w:keepNext/>
        <w:spacing w:before="240" w:after="80" w:line="276" w:lineRule="auto"/>
      </w:pPr>
      <w:r>
        <w:rPr>
          <w:rFonts w:ascii="Arial" w:hAnsi="Arial"/>
          <w:b/>
          <w:color w:val="595959"/>
          <w:sz w:val="26"/>
        </w:rPr>
        <w:t>1.5 GitHub Repository and Code Organization</w:t>
      </w:r>
    </w:p>
    <w:p>
      <w:pPr>
        <w:spacing w:before="0" w:after="120" w:line="276" w:lineRule="auto"/>
      </w:pPr>
      <w:r>
        <w:rPr>
          <w:rFonts w:ascii="Arial" w:hAnsi="Arial"/>
          <w:color w:val="000000"/>
          <w:sz w:val="22"/>
        </w:rPr>
        <w:t>In accordance with academic instructions to separate implementation from documentation, all source code and assets are hosted in the following repository:</w:t>
      </w:r>
    </w:p>
    <w:p>
      <w:pPr>
        <w:spacing w:before="0" w:after="120" w:line="276" w:lineRule="auto"/>
      </w:pPr>
      <w:r>
        <w:rPr>
          <w:rFonts w:ascii="Arial" w:hAnsi="Arial"/>
          <w:b/>
          <w:color w:val="000000"/>
          <w:sz w:val="22"/>
        </w:rPr>
        <w:t xml:space="preserve">GitHub Repository: </w:t>
      </w:r>
      <w:r>
        <w:rPr>
          <w:rFonts w:ascii="Arial" w:hAnsi="Arial"/>
          <w:color w:val="000000"/>
          <w:sz w:val="22"/>
        </w:rPr>
        <w:t>URL: https://github.com/lokant712/House-Price-Prediction</w:t>
      </w:r>
    </w:p>
    <w:p>
      <w:pPr>
        <w:spacing w:before="0" w:after="120" w:line="276" w:lineRule="auto"/>
      </w:pPr>
      <w:r>
        <w:rPr>
          <w:rFonts w:ascii="Arial" w:hAnsi="Arial"/>
          <w:color w:val="000000"/>
          <w:sz w:val="22"/>
        </w:rPr>
        <w:t>The repository is structured for immediate execution and contains the following components:</w:t>
      </w:r>
    </w:p>
    <w:p>
      <w:pPr>
        <w:pStyle w:val="ListBullet"/>
        <w:spacing w:before="0" w:after="60" w:line="276" w:lineRule="auto"/>
      </w:pPr>
      <w:r>
        <w:rPr>
          <w:rFonts w:ascii="Arial" w:hAnsi="Arial"/>
          <w:b/>
          <w:sz w:val="22"/>
        </w:rPr>
        <w:t xml:space="preserve">Complete ML Pipeline: </w:t>
      </w:r>
      <w:r>
        <w:rPr>
          <w:rFonts w:ascii="Arial" w:hAnsi="Arial"/>
          <w:sz w:val="22"/>
        </w:rPr>
        <w:t>Fully modularized preprocessing, training, evaluation, and plotting modules under the src/ directory.</w:t>
      </w:r>
    </w:p>
    <w:p>
      <w:pPr>
        <w:pStyle w:val="ListBullet"/>
        <w:spacing w:before="0" w:after="60" w:line="276" w:lineRule="auto"/>
      </w:pPr>
      <w:r>
        <w:rPr>
          <w:rFonts w:ascii="Arial" w:hAnsi="Arial"/>
          <w:b/>
          <w:sz w:val="22"/>
        </w:rPr>
        <w:t xml:space="preserve">Jupyter Notebooks: </w:t>
      </w:r>
      <w:r>
        <w:rPr>
          <w:rFonts w:ascii="Arial" w:hAnsi="Arial"/>
          <w:sz w:val="22"/>
        </w:rPr>
        <w:t>Interactive notebooks (california.ipynb, ames.ipynb, uci.ipynb) containing comprehensive EDA and pipeline validations.</w:t>
      </w:r>
    </w:p>
    <w:p>
      <w:pPr>
        <w:pStyle w:val="ListBullet"/>
        <w:spacing w:before="0" w:after="60" w:line="276" w:lineRule="auto"/>
      </w:pPr>
      <w:r>
        <w:rPr>
          <w:rFonts w:ascii="Arial" w:hAnsi="Arial"/>
          <w:b/>
          <w:sz w:val="22"/>
        </w:rPr>
        <w:t xml:space="preserve">Reproducibility Script: </w:t>
      </w:r>
      <w:r>
        <w:rPr>
          <w:rFonts w:ascii="Arial" w:hAnsi="Arial"/>
          <w:sz w:val="22"/>
        </w:rPr>
        <w:t>A run_all.py script that recreates all figures, runs the metrics pipelines, and compiles this report.</w:t>
      </w:r>
    </w:p>
    <w:p>
      <w:pPr>
        <w:pStyle w:val="ListBullet"/>
        <w:spacing w:before="0" w:after="60" w:line="276" w:lineRule="auto"/>
      </w:pPr>
      <w:r>
        <w:rPr>
          <w:rFonts w:ascii="Arial" w:hAnsi="Arial"/>
          <w:b/>
          <w:sz w:val="22"/>
        </w:rPr>
        <w:t xml:space="preserve">Metadata &amp; Environment: </w:t>
      </w:r>
      <w:r>
        <w:rPr>
          <w:rFonts w:ascii="Arial" w:hAnsi="Arial"/>
          <w:sz w:val="22"/>
        </w:rPr>
        <w:t>A requirements.txt file defining pinned package dependencies, and the raw datasets included under datasets/.</w:t>
      </w:r>
    </w:p>
    <w:p>
      <w:pPr>
        <w:pStyle w:val="Heading1"/>
        <w:keepNext/>
        <w:spacing w:before="360" w:after="120" w:line="276" w:lineRule="auto"/>
      </w:pPr>
      <w:r>
        <w:rPr>
          <w:rFonts w:ascii="Arial" w:hAnsi="Arial"/>
          <w:b/>
          <w:color w:val="2F5597"/>
          <w:sz w:val="32"/>
        </w:rPr>
        <w:t>Chapter 2: Dataset Descriptions</w:t>
      </w:r>
    </w:p>
    <w:p>
      <w:pPr>
        <w:spacing w:before="0" w:after="120" w:line="276" w:lineRule="auto"/>
      </w:pPr>
      <w:r>
        <w:rPr>
          <w:rFonts w:ascii="Arial" w:hAnsi="Arial"/>
          <w:color w:val="000000"/>
          <w:sz w:val="22"/>
        </w:rPr>
        <w:t>This research utilizes three datasets representing different geographical scales, sample sizes, and feature granularities to test the models' adaptability and robustness:</w:t>
      </w:r>
    </w:p>
    <w:p>
      <w:pPr>
        <w:pStyle w:val="Heading2"/>
        <w:keepNext/>
        <w:spacing w:before="240" w:after="80" w:line="276" w:lineRule="auto"/>
      </w:pPr>
      <w:r>
        <w:rPr>
          <w:rFonts w:ascii="Arial" w:hAnsi="Arial"/>
          <w:b/>
          <w:color w:val="595959"/>
          <w:sz w:val="26"/>
        </w:rPr>
        <w:t>2.1 California Housing Dataset (Scikit-Learn)</w:t>
      </w:r>
    </w:p>
    <w:p>
      <w:pPr>
        <w:spacing w:before="0" w:after="120" w:line="276" w:lineRule="auto"/>
      </w:pPr>
      <w:r>
        <w:rPr>
          <w:rFonts w:ascii="Arial" w:hAnsi="Arial"/>
          <w:color w:val="000000"/>
          <w:sz w:val="22"/>
        </w:rPr>
        <w:t>Originally derived from the 1990 U.S. Census, this dataset contains 20,640 block groups (average population of 1,425). Features represent block-level aggregates, including:</w:t>
      </w:r>
    </w:p>
    <w:p>
      <w:pPr>
        <w:pStyle w:val="ListBullet"/>
        <w:spacing w:before="0" w:after="60" w:line="276" w:lineRule="auto"/>
      </w:pPr>
      <w:r>
        <w:rPr>
          <w:rFonts w:ascii="Arial" w:hAnsi="Arial"/>
          <w:b/>
          <w:sz w:val="22"/>
        </w:rPr>
        <w:t xml:space="preserve">MedInc: </w:t>
      </w:r>
      <w:r>
        <w:rPr>
          <w:rFonts w:ascii="Arial" w:hAnsi="Arial"/>
          <w:sz w:val="22"/>
        </w:rPr>
        <w:t>Median income in block group (in tens of thousands of USD).</w:t>
      </w:r>
    </w:p>
    <w:p>
      <w:pPr>
        <w:pStyle w:val="ListBullet"/>
        <w:spacing w:before="0" w:after="60" w:line="276" w:lineRule="auto"/>
      </w:pPr>
      <w:r>
        <w:rPr>
          <w:rFonts w:ascii="Arial" w:hAnsi="Arial"/>
          <w:b/>
          <w:sz w:val="22"/>
        </w:rPr>
        <w:t xml:space="preserve">HouseAge: </w:t>
      </w:r>
      <w:r>
        <w:rPr>
          <w:rFonts w:ascii="Arial" w:hAnsi="Arial"/>
          <w:sz w:val="22"/>
        </w:rPr>
        <w:t>Median age of houses in the block group.</w:t>
      </w:r>
    </w:p>
    <w:p>
      <w:pPr>
        <w:pStyle w:val="ListBullet"/>
        <w:spacing w:before="0" w:after="60" w:line="276" w:lineRule="auto"/>
      </w:pPr>
      <w:r>
        <w:rPr>
          <w:rFonts w:ascii="Arial" w:hAnsi="Arial"/>
          <w:b/>
          <w:sz w:val="22"/>
        </w:rPr>
        <w:t xml:space="preserve">AveRooms: </w:t>
      </w:r>
      <w:r>
        <w:rPr>
          <w:rFonts w:ascii="Arial" w:hAnsi="Arial"/>
          <w:sz w:val="22"/>
        </w:rPr>
        <w:t>Average number of rooms per household.</w:t>
      </w:r>
    </w:p>
    <w:p>
      <w:pPr>
        <w:pStyle w:val="ListBullet"/>
        <w:spacing w:before="0" w:after="60" w:line="276" w:lineRule="auto"/>
      </w:pPr>
      <w:r>
        <w:rPr>
          <w:rFonts w:ascii="Arial" w:hAnsi="Arial"/>
          <w:b/>
          <w:sz w:val="22"/>
        </w:rPr>
        <w:t xml:space="preserve">AveBedrms: </w:t>
      </w:r>
      <w:r>
        <w:rPr>
          <w:rFonts w:ascii="Arial" w:hAnsi="Arial"/>
          <w:sz w:val="22"/>
        </w:rPr>
        <w:t>Average number of bedrooms per household.</w:t>
      </w:r>
    </w:p>
    <w:p>
      <w:pPr>
        <w:pStyle w:val="ListBullet"/>
        <w:spacing w:before="0" w:after="60" w:line="276" w:lineRule="auto"/>
      </w:pPr>
      <w:r>
        <w:rPr>
          <w:rFonts w:ascii="Arial" w:hAnsi="Arial"/>
          <w:b/>
          <w:sz w:val="22"/>
        </w:rPr>
        <w:t xml:space="preserve">Population: </w:t>
      </w:r>
      <w:r>
        <w:rPr>
          <w:rFonts w:ascii="Arial" w:hAnsi="Arial"/>
          <w:sz w:val="22"/>
        </w:rPr>
        <w:t>Block group population.</w:t>
      </w:r>
    </w:p>
    <w:p>
      <w:pPr>
        <w:pStyle w:val="ListBullet"/>
        <w:spacing w:before="0" w:after="60" w:line="276" w:lineRule="auto"/>
      </w:pPr>
      <w:r>
        <w:rPr>
          <w:rFonts w:ascii="Arial" w:hAnsi="Arial"/>
          <w:b/>
          <w:sz w:val="22"/>
        </w:rPr>
        <w:t xml:space="preserve">AveOccup: </w:t>
      </w:r>
      <w:r>
        <w:rPr>
          <w:rFonts w:ascii="Arial" w:hAnsi="Arial"/>
          <w:sz w:val="22"/>
        </w:rPr>
        <w:t>Average number of household members.</w:t>
      </w:r>
    </w:p>
    <w:p>
      <w:pPr>
        <w:pStyle w:val="ListBullet"/>
        <w:spacing w:before="0" w:after="60" w:line="276" w:lineRule="auto"/>
      </w:pPr>
      <w:r>
        <w:rPr>
          <w:rFonts w:ascii="Arial" w:hAnsi="Arial"/>
          <w:b/>
          <w:sz w:val="22"/>
        </w:rPr>
        <w:t xml:space="preserve">Latitude &amp; Longitude: </w:t>
      </w:r>
      <w:r>
        <w:rPr>
          <w:rFonts w:ascii="Arial" w:hAnsi="Arial"/>
          <w:sz w:val="22"/>
        </w:rPr>
        <w:t>Spatial coordinates of the block group.</w:t>
      </w:r>
    </w:p>
    <w:p>
      <w:pPr>
        <w:pStyle w:val="ListBullet"/>
        <w:spacing w:before="0" w:after="60" w:line="276" w:lineRule="auto"/>
      </w:pPr>
      <w:r>
        <w:rPr>
          <w:rFonts w:ascii="Arial" w:hAnsi="Arial"/>
          <w:b/>
          <w:sz w:val="22"/>
        </w:rPr>
        <w:t xml:space="preserve">Target (MedHouseVal): </w:t>
      </w:r>
      <w:r>
        <w:rPr>
          <w:rFonts w:ascii="Arial" w:hAnsi="Arial"/>
          <w:sz w:val="22"/>
        </w:rPr>
        <w:t>Median house value for households (in hundreds of thousands of USD).</w:t>
      </w:r>
    </w:p>
    <w:p>
      <w:pPr>
        <w:pStyle w:val="Heading2"/>
        <w:keepNext/>
        <w:spacing w:before="240" w:after="80" w:line="276" w:lineRule="auto"/>
      </w:pPr>
      <w:r>
        <w:rPr>
          <w:rFonts w:ascii="Arial" w:hAnsi="Arial"/>
          <w:b/>
          <w:color w:val="595959"/>
          <w:sz w:val="26"/>
        </w:rPr>
        <w:t>2.2 Ames Housing Dataset</w:t>
      </w:r>
    </w:p>
    <w:p>
      <w:pPr>
        <w:spacing w:before="0" w:after="120" w:line="276" w:lineRule="auto"/>
      </w:pPr>
      <w:r>
        <w:rPr>
          <w:rFonts w:ascii="Arial" w:hAnsi="Arial"/>
          <w:color w:val="000000"/>
          <w:sz w:val="22"/>
        </w:rPr>
        <w:t>Compiled by Dean De Cock for statistics education, this dataset describes 1,460 individual residential properties sold in Ames, Iowa between 2006 and 2010. It contains 80 characteristics, including 23 nominal, 23 ordinal, 14 discrete, and 20 continuous variables. This high dimensionality represents a complex real-world database containing many missing values and diverse categorical structures (e.g., zoning, neighborhood, quality scores).</w:t>
      </w:r>
    </w:p>
    <w:p>
      <w:pPr>
        <w:pStyle w:val="Heading2"/>
        <w:keepNext/>
        <w:spacing w:before="240" w:after="80" w:line="276" w:lineRule="auto"/>
      </w:pPr>
      <w:r>
        <w:rPr>
          <w:rFonts w:ascii="Arial" w:hAnsi="Arial"/>
          <w:b/>
          <w:color w:val="595959"/>
          <w:sz w:val="26"/>
        </w:rPr>
        <w:t>2.3 UCI Real Estate Valuation Dataset</w:t>
      </w:r>
    </w:p>
    <w:p>
      <w:pPr>
        <w:spacing w:before="0" w:after="120" w:line="276" w:lineRule="auto"/>
      </w:pPr>
      <w:r>
        <w:rPr>
          <w:rFonts w:ascii="Arial" w:hAnsi="Arial"/>
          <w:color w:val="000000"/>
          <w:sz w:val="22"/>
        </w:rPr>
        <w:t>This dataset contains 414 historical property transaction records from Sindian District, New Taipei City, Taiwan. It represents a low-dimensional, dense dataset focusing on geographic convenience and physical age. The features are:</w:t>
      </w:r>
    </w:p>
    <w:p>
      <w:pPr>
        <w:pStyle w:val="ListBullet"/>
        <w:spacing w:before="0" w:after="60" w:line="276" w:lineRule="auto"/>
      </w:pPr>
      <w:r>
        <w:rPr>
          <w:rFonts w:ascii="Arial" w:hAnsi="Arial"/>
          <w:b/>
          <w:sz w:val="22"/>
        </w:rPr>
        <w:t xml:space="preserve">X1 transaction date: </w:t>
      </w:r>
      <w:r>
        <w:rPr>
          <w:rFonts w:ascii="Arial" w:hAnsi="Arial"/>
          <w:sz w:val="22"/>
        </w:rPr>
        <w:t>The transaction date (e.g., 2013.250 = March 2013).</w:t>
      </w:r>
    </w:p>
    <w:p>
      <w:pPr>
        <w:pStyle w:val="ListBullet"/>
        <w:spacing w:before="0" w:after="60" w:line="276" w:lineRule="auto"/>
      </w:pPr>
      <w:r>
        <w:rPr>
          <w:rFonts w:ascii="Arial" w:hAnsi="Arial"/>
          <w:b/>
          <w:sz w:val="22"/>
        </w:rPr>
        <w:t xml:space="preserve">X2 house age: </w:t>
      </w:r>
      <w:r>
        <w:rPr>
          <w:rFonts w:ascii="Arial" w:hAnsi="Arial"/>
          <w:sz w:val="22"/>
        </w:rPr>
        <w:t>Age of the house in years.</w:t>
      </w:r>
    </w:p>
    <w:p>
      <w:pPr>
        <w:pStyle w:val="ListBullet"/>
        <w:spacing w:before="0" w:after="60" w:line="276" w:lineRule="auto"/>
      </w:pPr>
      <w:r>
        <w:rPr>
          <w:rFonts w:ascii="Arial" w:hAnsi="Arial"/>
          <w:b/>
          <w:sz w:val="22"/>
        </w:rPr>
        <w:t xml:space="preserve">X3 distance to nearest MRT station: </w:t>
      </w:r>
      <w:r>
        <w:rPr>
          <w:rFonts w:ascii="Arial" w:hAnsi="Arial"/>
          <w:sz w:val="22"/>
        </w:rPr>
        <w:t>Distance to the closest Metro Rapid Transit station (in meters).</w:t>
      </w:r>
    </w:p>
    <w:p>
      <w:pPr>
        <w:pStyle w:val="ListBullet"/>
        <w:spacing w:before="0" w:after="60" w:line="276" w:lineRule="auto"/>
      </w:pPr>
      <w:r>
        <w:rPr>
          <w:rFonts w:ascii="Arial" w:hAnsi="Arial"/>
          <w:b/>
          <w:sz w:val="22"/>
        </w:rPr>
        <w:t xml:space="preserve">X4 number of convenience stores: </w:t>
      </w:r>
      <w:r>
        <w:rPr>
          <w:rFonts w:ascii="Arial" w:hAnsi="Arial"/>
          <w:sz w:val="22"/>
        </w:rPr>
        <w:t>Count of convenience stores accessible on foot.</w:t>
      </w:r>
    </w:p>
    <w:p>
      <w:pPr>
        <w:pStyle w:val="ListBullet"/>
        <w:spacing w:before="0" w:after="60" w:line="276" w:lineRule="auto"/>
      </w:pPr>
      <w:r>
        <w:rPr>
          <w:rFonts w:ascii="Arial" w:hAnsi="Arial"/>
          <w:b/>
          <w:sz w:val="22"/>
        </w:rPr>
        <w:t xml:space="preserve">X5 latitude &amp; X6 longitude: </w:t>
      </w:r>
      <w:r>
        <w:rPr>
          <w:rFonts w:ascii="Arial" w:hAnsi="Arial"/>
          <w:sz w:val="22"/>
        </w:rPr>
        <w:t>Spatial coordinate mappings.</w:t>
      </w:r>
    </w:p>
    <w:p>
      <w:pPr>
        <w:pStyle w:val="ListBullet"/>
        <w:spacing w:before="0" w:after="60" w:line="276" w:lineRule="auto"/>
      </w:pPr>
      <w:r>
        <w:rPr>
          <w:rFonts w:ascii="Arial" w:hAnsi="Arial"/>
          <w:b/>
          <w:sz w:val="22"/>
        </w:rPr>
        <w:t xml:space="preserve">Target (Y house price of unit area): </w:t>
      </w:r>
      <w:r>
        <w:rPr>
          <w:rFonts w:ascii="Arial" w:hAnsi="Arial"/>
          <w:sz w:val="22"/>
        </w:rPr>
        <w:t>Unit price of property (10,000 New Taiwan Dollar per Ping).</w:t>
      </w:r>
    </w:p>
    <w:p>
      <w:pPr>
        <w:pStyle w:val="Heading1"/>
        <w:keepNext/>
        <w:spacing w:before="360" w:after="120" w:line="276" w:lineRule="auto"/>
      </w:pPr>
      <w:r>
        <w:rPr>
          <w:rFonts w:ascii="Arial" w:hAnsi="Arial"/>
          <w:b/>
          <w:color w:val="2F5597"/>
          <w:sz w:val="32"/>
        </w:rPr>
        <w:t>Chapter 3: Methodology</w:t>
      </w:r>
    </w:p>
    <w:p>
      <w:pPr>
        <w:spacing w:before="0" w:after="120" w:line="276" w:lineRule="auto"/>
      </w:pPr>
      <w:r>
        <w:rPr>
          <w:rFonts w:ascii="Arial" w:hAnsi="Arial"/>
          <w:color w:val="000000"/>
          <w:sz w:val="22"/>
        </w:rPr>
        <w:t>The methodology implements a structured, state-of-the-art machine learning engineering workflow designed to ensure model reproducibility and prevent data leakage. The end-to-end workflow is illustrated in Figure 1 below:</w:t>
      </w:r>
    </w:p>
    <w:p>
      <w:pPr>
        <w:spacing w:before="120" w:after="80" w:line="276" w:lineRule="auto"/>
        <w:jc w:val="center"/>
      </w:pPr>
      <w:r>
        <w:drawing>
          <wp:inline xmlns:a="http://schemas.openxmlformats.org/drawingml/2006/main" xmlns:pic="http://schemas.openxmlformats.org/drawingml/2006/picture">
            <wp:extent cx="4114800" cy="7008019"/>
            <wp:docPr id="1" name="Picture 1"/>
            <wp:cNvGraphicFramePr>
              <a:graphicFrameLocks noChangeAspect="1"/>
            </wp:cNvGraphicFramePr>
            <a:graphic>
              <a:graphicData uri="http://schemas.openxmlformats.org/drawingml/2006/picture">
                <pic:pic>
                  <pic:nvPicPr>
                    <pic:cNvPr id="0" name="ml_workflow.png"/>
                    <pic:cNvPicPr/>
                  </pic:nvPicPr>
                  <pic:blipFill>
                    <a:blip r:embed="rId11"/>
                    <a:stretch>
                      <a:fillRect/>
                    </a:stretch>
                  </pic:blipFill>
                  <pic:spPr>
                    <a:xfrm>
                      <a:off x="0" y="0"/>
                      <a:ext cx="4114800" cy="7008019"/>
                    </a:xfrm>
                    <a:prstGeom prst="rect"/>
                  </pic:spPr>
                </pic:pic>
              </a:graphicData>
            </a:graphic>
          </wp:inline>
        </w:drawing>
      </w:r>
    </w:p>
    <w:p>
      <w:pPr>
        <w:spacing w:before="40" w:after="240" w:line="276" w:lineRule="auto"/>
        <w:jc w:val="center"/>
      </w:pPr>
      <w:r>
        <w:rPr>
          <w:rFonts w:ascii="Arial" w:hAnsi="Arial"/>
          <w:i/>
          <w:color w:val="595959"/>
          <w:sz w:val="19"/>
        </w:rPr>
        <w:t>Figure 1: End-to-End Machine Learning Pipeline Workflow Diagram</w:t>
      </w:r>
    </w:p>
    <w:p>
      <w:pPr>
        <w:spacing w:before="0" w:after="120" w:line="276" w:lineRule="auto"/>
      </w:pPr>
      <w:r>
        <w:rPr>
          <w:rFonts w:ascii="Arial" w:hAnsi="Arial"/>
          <w:color w:val="000000"/>
          <w:sz w:val="22"/>
        </w:rPr>
        <w:t>As mapped in Figure 1, the pipeline executes sequentially through the following stages:</w:t>
      </w:r>
    </w:p>
    <w:p>
      <w:pPr>
        <w:spacing w:before="0" w:after="120" w:line="276" w:lineRule="auto"/>
      </w:pPr>
      <w:r>
        <w:rPr>
          <w:rFonts w:ascii="Arial" w:hAnsi="Arial"/>
          <w:color w:val="000000"/>
          <w:sz w:val="22"/>
        </w:rPr>
        <w:t>1. Data Profiling &amp; EDA: Analyzing columns, datatypes, missing values, duplicates, and distributions. Outliers are analyzed using Z-scores and box plots.</w:t>
      </w:r>
    </w:p>
    <w:p>
      <w:pPr>
        <w:spacing w:before="0" w:after="120" w:line="276" w:lineRule="auto"/>
      </w:pPr>
      <w:r>
        <w:rPr>
          <w:rFonts w:ascii="Arial" w:hAnsi="Arial"/>
          <w:color w:val="000000"/>
          <w:sz w:val="22"/>
        </w:rPr>
        <w:t>2. Robust Preprocessing: Encapsulated within scikit-learn ColumnTransformer:</w:t>
      </w:r>
    </w:p>
    <w:p>
      <w:pPr>
        <w:pStyle w:val="ListBullet"/>
        <w:spacing w:before="0" w:after="60" w:line="276" w:lineRule="auto"/>
      </w:pPr>
      <w:r>
        <w:rPr>
          <w:rFonts w:ascii="Arial" w:hAnsi="Arial"/>
          <w:b/>
          <w:sz w:val="22"/>
        </w:rPr>
        <w:t xml:space="preserve">Numerical Pipeline: </w:t>
      </w:r>
      <w:r>
        <w:rPr>
          <w:rFonts w:ascii="Arial" w:hAnsi="Arial"/>
          <w:sz w:val="22"/>
        </w:rPr>
        <w:t>Missing value imputation via SimpleImputer(strategy='median') to handle extreme values, followed by StandardScaler() to normalize ranges.</w:t>
      </w:r>
    </w:p>
    <w:p>
      <w:pPr>
        <w:pStyle w:val="ListBullet"/>
        <w:spacing w:before="0" w:after="60" w:line="276" w:lineRule="auto"/>
      </w:pPr>
      <w:r>
        <w:rPr>
          <w:rFonts w:ascii="Arial" w:hAnsi="Arial"/>
          <w:b/>
          <w:sz w:val="22"/>
        </w:rPr>
        <w:t xml:space="preserve">Categorical Pipeline: </w:t>
      </w:r>
      <w:r>
        <w:rPr>
          <w:rFonts w:ascii="Arial" w:hAnsi="Arial"/>
          <w:sz w:val="22"/>
        </w:rPr>
        <w:t>SimpleImputer(strategy='most_frequent') for encoding reliability, followed by OneHotEncoder(handle_unknown='ignore', sparse_output=False) to convert high-cardinality categories without order bias.</w:t>
      </w:r>
    </w:p>
    <w:p>
      <w:pPr>
        <w:spacing w:before="0" w:after="120" w:line="276" w:lineRule="auto"/>
      </w:pPr>
      <w:r>
        <w:rPr>
          <w:rFonts w:ascii="Arial" w:hAnsi="Arial"/>
          <w:color w:val="000000"/>
          <w:sz w:val="22"/>
        </w:rPr>
        <w:t>3. Outlier Mitigation: For Ames, standard practice is implemented by removing records with General Living Area (GrLivArea) exceeding 4,000 square feet, removing extreme outliers that skew OLS estimators.</w:t>
      </w:r>
    </w:p>
    <w:p>
      <w:pPr>
        <w:spacing w:before="0" w:after="120" w:line="276" w:lineRule="auto"/>
      </w:pPr>
      <w:r>
        <w:rPr>
          <w:rFonts w:ascii="Arial" w:hAnsi="Arial"/>
          <w:color w:val="000000"/>
          <w:sz w:val="22"/>
        </w:rPr>
        <w:t>4. Train-Test Split: 80% of data is used for training and 20% for testing. All transformations are fitted strictly on the training partition and applied to the test partition to ensure no target leakage.</w:t>
      </w:r>
    </w:p>
    <w:p>
      <w:pPr>
        <w:spacing w:before="0" w:after="120" w:line="276" w:lineRule="auto"/>
      </w:pPr>
      <w:r>
        <w:rPr>
          <w:rFonts w:ascii="Arial" w:hAnsi="Arial"/>
          <w:color w:val="000000"/>
          <w:sz w:val="22"/>
        </w:rPr>
        <w:t>5. Target Transformation: Since Ames SalePrice displays high right-skewness, we apply y_trans = log(y + 1) during training to stabilize variance and prevent prediction bias. Predictions are mapped back to original dollar values using exp(y_pred) - 1 prior to evaluation.</w:t>
      </w:r>
    </w:p>
    <w:p>
      <w:pPr>
        <w:pStyle w:val="Heading1"/>
        <w:keepNext/>
        <w:spacing w:before="360" w:after="120" w:line="276" w:lineRule="auto"/>
      </w:pPr>
      <w:r>
        <w:rPr>
          <w:rFonts w:ascii="Arial" w:hAnsi="Arial"/>
          <w:b/>
          <w:color w:val="2F5597"/>
          <w:sz w:val="32"/>
        </w:rPr>
        <w:t>Chapter 4: Model Development</w:t>
      </w:r>
    </w:p>
    <w:p>
      <w:pPr>
        <w:spacing w:before="0" w:after="120" w:line="276" w:lineRule="auto"/>
      </w:pPr>
      <w:r>
        <w:rPr>
          <w:rFonts w:ascii="Arial" w:hAnsi="Arial"/>
          <w:color w:val="000000"/>
          <w:sz w:val="22"/>
        </w:rPr>
        <w:t>Five core mathematical models were developed and evaluated under uniform parameters:</w:t>
      </w:r>
    </w:p>
    <w:p>
      <w:pPr>
        <w:pStyle w:val="Heading2"/>
        <w:keepNext/>
        <w:spacing w:before="240" w:after="80" w:line="276" w:lineRule="auto"/>
      </w:pPr>
      <w:r>
        <w:rPr>
          <w:rFonts w:ascii="Arial" w:hAnsi="Arial"/>
          <w:b/>
          <w:color w:val="595959"/>
          <w:sz w:val="26"/>
        </w:rPr>
        <w:t>4.1 Simple Linear Regression</w:t>
      </w:r>
    </w:p>
    <w:p>
      <w:pPr>
        <w:spacing w:before="0" w:after="120" w:line="276" w:lineRule="auto"/>
      </w:pPr>
      <w:r>
        <w:rPr>
          <w:rFonts w:ascii="Arial" w:hAnsi="Arial"/>
          <w:color w:val="000000"/>
          <w:sz w:val="22"/>
        </w:rPr>
        <w:t>Serves as the simplest baseline, utilizing a single independent feature (X) with the highest absolute correlation to the target. To select the feature, a Pearson correlation analysis was conducted on the training set. To prevent data leakage, this feature selection process was executed strictly on the training partition rather than the entire dataset. The independent numerical feature exhibiting the highest absolute correlation with the target variable was selected as the sole predictor. The feature selected for each dataset was:</w:t>
      </w:r>
    </w:p>
    <w:p>
      <w:pPr>
        <w:pStyle w:val="ListBullet"/>
        <w:spacing w:before="0" w:after="60" w:line="276" w:lineRule="auto"/>
      </w:pPr>
      <w:r>
        <w:rPr>
          <w:rFonts w:ascii="Arial" w:hAnsi="Arial"/>
          <w:b/>
          <w:sz w:val="22"/>
        </w:rPr>
        <w:t xml:space="preserve">California: </w:t>
      </w:r>
      <w:r>
        <w:rPr>
          <w:rFonts w:ascii="Arial" w:hAnsi="Arial"/>
          <w:sz w:val="22"/>
        </w:rPr>
        <w:t>MedInc (Median Income), R = 0.688</w:t>
      </w:r>
    </w:p>
    <w:p>
      <w:pPr>
        <w:pStyle w:val="ListBullet"/>
        <w:spacing w:before="0" w:after="60" w:line="276" w:lineRule="auto"/>
      </w:pPr>
      <w:r>
        <w:rPr>
          <w:rFonts w:ascii="Arial" w:hAnsi="Arial"/>
          <w:b/>
          <w:sz w:val="22"/>
        </w:rPr>
        <w:t xml:space="preserve">Ames: </w:t>
      </w:r>
      <w:r>
        <w:rPr>
          <w:rFonts w:ascii="Arial" w:hAnsi="Arial"/>
          <w:sz w:val="22"/>
        </w:rPr>
        <w:t>GrLivArea (General Living Area), R = 0.720</w:t>
      </w:r>
    </w:p>
    <w:p>
      <w:pPr>
        <w:pStyle w:val="ListBullet"/>
        <w:spacing w:before="0" w:after="60" w:line="276" w:lineRule="auto"/>
      </w:pPr>
      <w:r>
        <w:rPr>
          <w:rFonts w:ascii="Arial" w:hAnsi="Arial"/>
          <w:b/>
          <w:sz w:val="22"/>
        </w:rPr>
        <w:t xml:space="preserve">UCI: </w:t>
      </w:r>
      <w:r>
        <w:rPr>
          <w:rFonts w:ascii="Arial" w:hAnsi="Arial"/>
          <w:sz w:val="22"/>
        </w:rPr>
        <w:t>X3 distance to the nearest MRT station, R = -0.673</w:t>
      </w:r>
    </w:p>
    <w:p>
      <w:pPr>
        <w:spacing w:before="0" w:after="120" w:line="276" w:lineRule="auto"/>
      </w:pPr>
      <w:r>
        <w:rPr>
          <w:rFonts w:ascii="Arial" w:hAnsi="Arial"/>
          <w:color w:val="000000"/>
          <w:sz w:val="22"/>
        </w:rPr>
        <w:t>The model fits a line of the form y = b0 + b1*x using ordinary least squares (OLS) minimization.</w:t>
      </w:r>
    </w:p>
    <w:p>
      <w:pPr>
        <w:pStyle w:val="Heading2"/>
        <w:keepNext/>
        <w:spacing w:before="240" w:after="80" w:line="276" w:lineRule="auto"/>
      </w:pPr>
      <w:r>
        <w:rPr>
          <w:rFonts w:ascii="Arial" w:hAnsi="Arial"/>
          <w:b/>
          <w:color w:val="595959"/>
          <w:sz w:val="26"/>
        </w:rPr>
        <w:t>4.2 Multiple Linear Regression</w:t>
      </w:r>
    </w:p>
    <w:p>
      <w:pPr>
        <w:spacing w:before="0" w:after="120" w:line="276" w:lineRule="auto"/>
      </w:pPr>
      <w:r>
        <w:rPr>
          <w:rFonts w:ascii="Arial" w:hAnsi="Arial"/>
          <w:color w:val="000000"/>
          <w:sz w:val="22"/>
        </w:rPr>
        <w:t>An expansion of the baseline OLS to accommodate multiple features: y = b0 + b1*x1 + ... + bn*xn. This model captures linear combinations of all features, showing how spatial coordinates, household sizes, and neighborhood zoning combine to influence price. It serves as a baseline to demonstrate the performance gain of non-linear ensembles.</w:t>
      </w:r>
    </w:p>
    <w:p>
      <w:pPr>
        <w:pStyle w:val="Heading2"/>
        <w:keepNext/>
        <w:spacing w:before="240" w:after="80" w:line="276" w:lineRule="auto"/>
      </w:pPr>
      <w:r>
        <w:rPr>
          <w:rFonts w:ascii="Arial" w:hAnsi="Arial"/>
          <w:b/>
          <w:color w:val="595959"/>
          <w:sz w:val="26"/>
        </w:rPr>
        <w:t>4.3 Decision Tree Regressor</w:t>
      </w:r>
    </w:p>
    <w:p>
      <w:pPr>
        <w:spacing w:before="0" w:after="120" w:line="276" w:lineRule="auto"/>
      </w:pPr>
      <w:r>
        <w:rPr>
          <w:rFonts w:ascii="Arial" w:hAnsi="Arial"/>
          <w:color w:val="000000"/>
          <w:sz w:val="22"/>
        </w:rPr>
        <w:t>A non-parametric model that recursively partitions the feature space into hyper-rectangles by maximizing variance reduction at each split. Grid Search CV was used to optimize max_depth, min_samples_split, and min_samples_leaf to prevent the tree from overfitting.</w:t>
      </w:r>
    </w:p>
    <w:p>
      <w:pPr>
        <w:pStyle w:val="Heading2"/>
        <w:keepNext/>
        <w:spacing w:before="240" w:after="80" w:line="276" w:lineRule="auto"/>
      </w:pPr>
      <w:r>
        <w:rPr>
          <w:rFonts w:ascii="Arial" w:hAnsi="Arial"/>
          <w:b/>
          <w:color w:val="595959"/>
          <w:sz w:val="26"/>
        </w:rPr>
        <w:t>4.4 Random Forest Regressor</w:t>
      </w:r>
    </w:p>
    <w:p>
      <w:pPr>
        <w:spacing w:before="0" w:after="120" w:line="276" w:lineRule="auto"/>
      </w:pPr>
      <w:r>
        <w:rPr>
          <w:rFonts w:ascii="Arial" w:hAnsi="Arial"/>
          <w:color w:val="000000"/>
          <w:sz w:val="22"/>
        </w:rPr>
        <w:t>An ensemble bootstrap aggregation (bagging) model containing independent decision trees. Each tree is trained on a bootstrap sample of the training data, and split decisions are limited to random feature subsets. Predictions are averaged across all trees to reduce variance and control overfitting. Hyperparameters n_estimators, max_depth, and min_samples_split were optimized using Grid Search.</w:t>
      </w:r>
    </w:p>
    <w:p>
      <w:pPr>
        <w:pStyle w:val="Heading2"/>
        <w:keepNext/>
        <w:spacing w:before="240" w:after="80" w:line="276" w:lineRule="auto"/>
      </w:pPr>
      <w:r>
        <w:rPr>
          <w:rFonts w:ascii="Arial" w:hAnsi="Arial"/>
          <w:b/>
          <w:color w:val="595959"/>
          <w:sz w:val="26"/>
        </w:rPr>
        <w:t>4.5 Gradient Boosting Regressor</w:t>
      </w:r>
    </w:p>
    <w:p>
      <w:pPr>
        <w:spacing w:before="0" w:after="120" w:line="276" w:lineRule="auto"/>
      </w:pPr>
      <w:r>
        <w:rPr>
          <w:rFonts w:ascii="Arial" w:hAnsi="Arial"/>
          <w:color w:val="000000"/>
          <w:sz w:val="22"/>
        </w:rPr>
        <w:t>An ensemble model that builds decision trees sequentially. Each new tree fits to the residuals (errors) of the previous step using gradient descent optimization. Regularization is controlled via learning_rate (shrinkage factor), max_depth, and n_estimators, optimized via grid-search to find the best compromise between bias and variance.</w:t>
      </w:r>
    </w:p>
    <w:p>
      <w:pPr>
        <w:pStyle w:val="Heading1"/>
        <w:keepNext/>
        <w:spacing w:before="360" w:after="120" w:line="276" w:lineRule="auto"/>
      </w:pPr>
      <w:r>
        <w:rPr>
          <w:rFonts w:ascii="Arial" w:hAnsi="Arial"/>
          <w:b/>
          <w:color w:val="2F5597"/>
          <w:sz w:val="32"/>
        </w:rPr>
        <w:t>Chapter 5: Experimental Results &amp; Analysis</w:t>
      </w:r>
    </w:p>
    <w:p>
      <w:pPr>
        <w:pStyle w:val="Heading2"/>
        <w:keepNext/>
        <w:spacing w:before="240" w:after="80" w:line="276" w:lineRule="auto"/>
      </w:pPr>
      <w:r>
        <w:rPr>
          <w:rFonts w:ascii="Arial" w:hAnsi="Arial"/>
          <w:b/>
          <w:color w:val="595959"/>
          <w:sz w:val="26"/>
        </w:rPr>
        <w:t>5.1 California Housing Dataset Results</w:t>
      </w:r>
    </w:p>
    <w:p>
      <w:pPr>
        <w:spacing w:before="0" w:after="120" w:line="276" w:lineRule="auto"/>
      </w:pPr>
      <w:r>
        <w:rPr>
          <w:rFonts w:ascii="Arial" w:hAnsi="Arial"/>
          <w:color w:val="000000"/>
          <w:sz w:val="22"/>
        </w:rPr>
        <w:t>For the California Housing dataset, the models were trained and tested using the original scale. The results are compiled in Table 1 below:</w:t>
      </w:r>
    </w:p>
    <w:p>
      <w:pPr>
        <w:spacing w:before="240" w:after="80" w:line="276" w:lineRule="auto"/>
        <w:jc w:val="left"/>
      </w:pPr>
      <w:r>
        <w:rPr>
          <w:rFonts w:ascii="Arial" w:hAnsi="Arial"/>
          <w:b/>
          <w:color w:val="2F5597"/>
          <w:sz w:val="20"/>
        </w:rPr>
        <w:t>Table 1: Model Evaluation Metrics - California Housing Dataset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F5597"/>
            <w:tcMar>
              <w:top w:w="100" w:type="dxa"/>
              <w:bottom w:w="100" w:type="dxa"/>
              <w:left w:w="150" w:type="dxa"/>
              <w:right w:w="150" w:type="dxa"/>
            </w:tcMar>
          </w:tcPr>
          <w:p>
            <w:pPr>
              <w:jc w:val="center"/>
            </w:pPr>
            <w:r>
              <w:rPr>
                <w:rFonts w:ascii="Arial" w:hAnsi="Arial"/>
                <w:b/>
                <w:color w:val="FFFFFF"/>
                <w:sz w:val="19"/>
              </w:rPr>
              <w:t>Model</w:t>
            </w:r>
          </w:p>
        </w:tc>
        <w:tc>
          <w:tcPr>
            <w:tcW w:type="dxa" w:w="936"/>
            <w:shd w:fill="2F5597"/>
            <w:tcMar>
              <w:top w:w="100" w:type="dxa"/>
              <w:bottom w:w="100" w:type="dxa"/>
              <w:left w:w="150" w:type="dxa"/>
              <w:right w:w="150" w:type="dxa"/>
            </w:tcMar>
          </w:tcPr>
          <w:p>
            <w:pPr>
              <w:jc w:val="center"/>
            </w:pPr>
            <w:r>
              <w:rPr>
                <w:rFonts w:ascii="Arial" w:hAnsi="Arial"/>
                <w:b/>
                <w:color w:val="FFFFFF"/>
                <w:sz w:val="19"/>
              </w:rPr>
              <w:t>MAE</w:t>
            </w:r>
          </w:p>
        </w:tc>
        <w:tc>
          <w:tcPr>
            <w:tcW w:type="dxa" w:w="936"/>
            <w:shd w:fill="2F5597"/>
            <w:tcMar>
              <w:top w:w="100" w:type="dxa"/>
              <w:bottom w:w="100" w:type="dxa"/>
              <w:left w:w="150" w:type="dxa"/>
              <w:right w:w="150" w:type="dxa"/>
            </w:tcMar>
          </w:tcPr>
          <w:p>
            <w:pPr>
              <w:jc w:val="center"/>
            </w:pPr>
            <w:r>
              <w:rPr>
                <w:rFonts w:ascii="Arial" w:hAnsi="Arial"/>
                <w:b/>
                <w:color w:val="FFFFFF"/>
                <w:sz w:val="19"/>
              </w:rPr>
              <w:t>MSE</w:t>
            </w:r>
          </w:p>
        </w:tc>
        <w:tc>
          <w:tcPr>
            <w:tcW w:type="dxa" w:w="936"/>
            <w:shd w:fill="2F5597"/>
            <w:tcMar>
              <w:top w:w="100" w:type="dxa"/>
              <w:bottom w:w="100" w:type="dxa"/>
              <w:left w:w="150" w:type="dxa"/>
              <w:right w:w="150" w:type="dxa"/>
            </w:tcMar>
          </w:tcPr>
          <w:p>
            <w:pPr>
              <w:jc w:val="center"/>
            </w:pPr>
            <w:r>
              <w:rPr>
                <w:rFonts w:ascii="Arial" w:hAnsi="Arial"/>
                <w:b/>
                <w:color w:val="FFFFFF"/>
                <w:sz w:val="19"/>
              </w:rPr>
              <w:t>RMSE</w:t>
            </w:r>
          </w:p>
        </w:tc>
        <w:tc>
          <w:tcPr>
            <w:tcW w:type="dxa" w:w="936"/>
            <w:shd w:fill="2F5597"/>
            <w:tcMar>
              <w:top w:w="100" w:type="dxa"/>
              <w:bottom w:w="100" w:type="dxa"/>
              <w:left w:w="150" w:type="dxa"/>
              <w:right w:w="150" w:type="dxa"/>
            </w:tcMar>
          </w:tcPr>
          <w:p>
            <w:pPr>
              <w:jc w:val="center"/>
            </w:pPr>
            <w:r>
              <w:rPr>
                <w:rFonts w:ascii="Arial" w:hAnsi="Arial"/>
                <w:b/>
                <w:color w:val="FFFFFF"/>
                <w:sz w:val="19"/>
              </w:rPr>
              <w:t>R2</w:t>
            </w:r>
          </w:p>
        </w:tc>
        <w:tc>
          <w:tcPr>
            <w:tcW w:type="dxa" w:w="936"/>
            <w:shd w:fill="2F5597"/>
            <w:tcMar>
              <w:top w:w="100" w:type="dxa"/>
              <w:bottom w:w="100" w:type="dxa"/>
              <w:left w:w="150" w:type="dxa"/>
              <w:right w:w="150" w:type="dxa"/>
            </w:tcMar>
          </w:tcPr>
          <w:p>
            <w:pPr>
              <w:jc w:val="center"/>
            </w:pPr>
            <w:r>
              <w:rPr>
                <w:rFonts w:ascii="Arial" w:hAnsi="Arial"/>
                <w:b/>
                <w:color w:val="FFFFFF"/>
                <w:sz w:val="19"/>
              </w:rPr>
              <w:t>Adjusted_R2</w:t>
            </w:r>
          </w:p>
        </w:tc>
        <w:tc>
          <w:tcPr>
            <w:tcW w:type="dxa" w:w="936"/>
            <w:shd w:fill="2F5597"/>
            <w:tcMar>
              <w:top w:w="100" w:type="dxa"/>
              <w:bottom w:w="100" w:type="dxa"/>
              <w:left w:w="150" w:type="dxa"/>
              <w:right w:w="150" w:type="dxa"/>
            </w:tcMar>
          </w:tcPr>
          <w:p>
            <w:pPr>
              <w:jc w:val="center"/>
            </w:pPr>
            <w:r>
              <w:rPr>
                <w:rFonts w:ascii="Arial" w:hAnsi="Arial"/>
                <w:b/>
                <w:color w:val="FFFFFF"/>
                <w:sz w:val="19"/>
              </w:rPr>
              <w:t>CV_Score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Training_Score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Testing_Score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Rank</w:t>
            </w:r>
          </w:p>
        </w:tc>
      </w:tr>
      <w:tr>
        <w:tc>
          <w:tcPr>
            <w:tcW w:type="dxa" w:w="936"/>
            <w:shd w:fill="FFFFFF"/>
            <w:tcMar>
              <w:top w:w="100" w:type="dxa"/>
              <w:bottom w:w="100" w:type="dxa"/>
              <w:left w:w="150" w:type="dxa"/>
              <w:right w:w="150" w:type="dxa"/>
            </w:tcMar>
          </w:tcPr>
          <w:p>
            <w:pPr>
              <w:jc w:val="left"/>
            </w:pPr>
            <w:r>
              <w:rPr>
                <w:rFonts w:ascii="Arial" w:hAnsi="Arial"/>
                <w:sz w:val="18"/>
              </w:rPr>
              <w:t>Gradient Boosting Regressor</w:t>
            </w:r>
          </w:p>
        </w:tc>
        <w:tc>
          <w:tcPr>
            <w:tcW w:type="dxa" w:w="936"/>
            <w:shd w:fill="FFFFFF"/>
            <w:tcMar>
              <w:top w:w="100" w:type="dxa"/>
              <w:bottom w:w="100" w:type="dxa"/>
              <w:left w:w="150" w:type="dxa"/>
              <w:right w:w="150" w:type="dxa"/>
            </w:tcMar>
          </w:tcPr>
          <w:p>
            <w:pPr>
              <w:jc w:val="right"/>
            </w:pPr>
            <w:r>
              <w:rPr>
                <w:rFonts w:ascii="Arial" w:hAnsi="Arial"/>
                <w:sz w:val="18"/>
              </w:rPr>
              <w:t>0.3348</w:t>
            </w:r>
          </w:p>
        </w:tc>
        <w:tc>
          <w:tcPr>
            <w:tcW w:type="dxa" w:w="936"/>
            <w:shd w:fill="FFFFFF"/>
            <w:tcMar>
              <w:top w:w="100" w:type="dxa"/>
              <w:bottom w:w="100" w:type="dxa"/>
              <w:left w:w="150" w:type="dxa"/>
              <w:right w:w="150" w:type="dxa"/>
            </w:tcMar>
          </w:tcPr>
          <w:p>
            <w:pPr>
              <w:jc w:val="right"/>
            </w:pPr>
            <w:r>
              <w:rPr>
                <w:rFonts w:ascii="Arial" w:hAnsi="Arial"/>
                <w:sz w:val="18"/>
              </w:rPr>
              <w:t>0.2471</w:t>
            </w:r>
          </w:p>
        </w:tc>
        <w:tc>
          <w:tcPr>
            <w:tcW w:type="dxa" w:w="936"/>
            <w:shd w:fill="FFFFFF"/>
            <w:tcMar>
              <w:top w:w="100" w:type="dxa"/>
              <w:bottom w:w="100" w:type="dxa"/>
              <w:left w:w="150" w:type="dxa"/>
              <w:right w:w="150" w:type="dxa"/>
            </w:tcMar>
          </w:tcPr>
          <w:p>
            <w:pPr>
              <w:jc w:val="right"/>
            </w:pPr>
            <w:r>
              <w:rPr>
                <w:rFonts w:ascii="Arial" w:hAnsi="Arial"/>
                <w:sz w:val="18"/>
              </w:rPr>
              <w:t>0.4971</w:t>
            </w:r>
          </w:p>
        </w:tc>
        <w:tc>
          <w:tcPr>
            <w:tcW w:type="dxa" w:w="936"/>
            <w:shd w:fill="FFFFFF"/>
            <w:tcMar>
              <w:top w:w="100" w:type="dxa"/>
              <w:bottom w:w="100" w:type="dxa"/>
              <w:left w:w="150" w:type="dxa"/>
              <w:right w:w="150" w:type="dxa"/>
            </w:tcMar>
          </w:tcPr>
          <w:p>
            <w:pPr>
              <w:jc w:val="right"/>
            </w:pPr>
            <w:r>
              <w:rPr>
                <w:rFonts w:ascii="Arial" w:hAnsi="Arial"/>
                <w:sz w:val="18"/>
              </w:rPr>
              <w:t>0.8114</w:t>
            </w:r>
          </w:p>
        </w:tc>
        <w:tc>
          <w:tcPr>
            <w:tcW w:type="dxa" w:w="936"/>
            <w:shd w:fill="FFFFFF"/>
            <w:tcMar>
              <w:top w:w="100" w:type="dxa"/>
              <w:bottom w:w="100" w:type="dxa"/>
              <w:left w:w="150" w:type="dxa"/>
              <w:right w:w="150" w:type="dxa"/>
            </w:tcMar>
          </w:tcPr>
          <w:p>
            <w:pPr>
              <w:jc w:val="right"/>
            </w:pPr>
            <w:r>
              <w:rPr>
                <w:rFonts w:ascii="Arial" w:hAnsi="Arial"/>
                <w:sz w:val="18"/>
              </w:rPr>
              <w:t>0.8111</w:t>
            </w:r>
          </w:p>
        </w:tc>
        <w:tc>
          <w:tcPr>
            <w:tcW w:type="dxa" w:w="936"/>
            <w:shd w:fill="FFFFFF"/>
            <w:tcMar>
              <w:top w:w="100" w:type="dxa"/>
              <w:bottom w:w="100" w:type="dxa"/>
              <w:left w:w="150" w:type="dxa"/>
              <w:right w:w="150" w:type="dxa"/>
            </w:tcMar>
          </w:tcPr>
          <w:p>
            <w:pPr>
              <w:jc w:val="right"/>
            </w:pPr>
            <w:r>
              <w:rPr>
                <w:rFonts w:ascii="Arial" w:hAnsi="Arial"/>
                <w:sz w:val="18"/>
              </w:rPr>
              <w:t>0.8189</w:t>
            </w:r>
          </w:p>
        </w:tc>
        <w:tc>
          <w:tcPr>
            <w:tcW w:type="dxa" w:w="936"/>
            <w:shd w:fill="FFFFFF"/>
            <w:tcMar>
              <w:top w:w="100" w:type="dxa"/>
              <w:bottom w:w="100" w:type="dxa"/>
              <w:left w:w="150" w:type="dxa"/>
              <w:right w:w="150" w:type="dxa"/>
            </w:tcMar>
          </w:tcPr>
          <w:p>
            <w:pPr>
              <w:jc w:val="right"/>
            </w:pPr>
            <w:r>
              <w:rPr>
                <w:rFonts w:ascii="Arial" w:hAnsi="Arial"/>
                <w:sz w:val="18"/>
              </w:rPr>
              <w:t>0.8695</w:t>
            </w:r>
          </w:p>
        </w:tc>
        <w:tc>
          <w:tcPr>
            <w:tcW w:type="dxa" w:w="936"/>
            <w:shd w:fill="FFFFFF"/>
            <w:tcMar>
              <w:top w:w="100" w:type="dxa"/>
              <w:bottom w:w="100" w:type="dxa"/>
              <w:left w:w="150" w:type="dxa"/>
              <w:right w:w="150" w:type="dxa"/>
            </w:tcMar>
          </w:tcPr>
          <w:p>
            <w:pPr>
              <w:jc w:val="right"/>
            </w:pPr>
            <w:r>
              <w:rPr>
                <w:rFonts w:ascii="Arial" w:hAnsi="Arial"/>
                <w:sz w:val="18"/>
              </w:rPr>
              <w:t>0.8114</w:t>
            </w:r>
          </w:p>
        </w:tc>
        <w:tc>
          <w:tcPr>
            <w:tcW w:type="dxa" w:w="936"/>
            <w:shd w:fill="FFFFFF"/>
            <w:tcMar>
              <w:top w:w="100" w:type="dxa"/>
              <w:bottom w:w="100" w:type="dxa"/>
              <w:left w:w="150" w:type="dxa"/>
              <w:right w:w="150" w:type="dxa"/>
            </w:tcMar>
          </w:tcPr>
          <w:p>
            <w:pPr>
              <w:jc w:val="right"/>
            </w:pPr>
            <w:r>
              <w:rPr>
                <w:rFonts w:ascii="Arial" w:hAnsi="Arial"/>
                <w:sz w:val="18"/>
              </w:rPr>
              <w:t>1</w:t>
            </w:r>
          </w:p>
        </w:tc>
      </w:tr>
      <w:tr>
        <w:tc>
          <w:tcPr>
            <w:tcW w:type="dxa" w:w="936"/>
            <w:shd w:fill="F2F5F9"/>
            <w:tcMar>
              <w:top w:w="100" w:type="dxa"/>
              <w:bottom w:w="100" w:type="dxa"/>
              <w:left w:w="150" w:type="dxa"/>
              <w:right w:w="150" w:type="dxa"/>
            </w:tcMar>
          </w:tcPr>
          <w:p>
            <w:pPr>
              <w:jc w:val="left"/>
            </w:pPr>
            <w:r>
              <w:rPr>
                <w:rFonts w:ascii="Arial" w:hAnsi="Arial"/>
                <w:sz w:val="18"/>
              </w:rPr>
              <w:t>Random Forest Regressor</w:t>
            </w:r>
          </w:p>
        </w:tc>
        <w:tc>
          <w:tcPr>
            <w:tcW w:type="dxa" w:w="936"/>
            <w:shd w:fill="F2F5F9"/>
            <w:tcMar>
              <w:top w:w="100" w:type="dxa"/>
              <w:bottom w:w="100" w:type="dxa"/>
              <w:left w:w="150" w:type="dxa"/>
              <w:right w:w="150" w:type="dxa"/>
            </w:tcMar>
          </w:tcPr>
          <w:p>
            <w:pPr>
              <w:jc w:val="right"/>
            </w:pPr>
            <w:r>
              <w:rPr>
                <w:rFonts w:ascii="Arial" w:hAnsi="Arial"/>
                <w:sz w:val="18"/>
              </w:rPr>
              <w:t>0.3280</w:t>
            </w:r>
          </w:p>
        </w:tc>
        <w:tc>
          <w:tcPr>
            <w:tcW w:type="dxa" w:w="936"/>
            <w:shd w:fill="F2F5F9"/>
            <w:tcMar>
              <w:top w:w="100" w:type="dxa"/>
              <w:bottom w:w="100" w:type="dxa"/>
              <w:left w:w="150" w:type="dxa"/>
              <w:right w:w="150" w:type="dxa"/>
            </w:tcMar>
          </w:tcPr>
          <w:p>
            <w:pPr>
              <w:jc w:val="right"/>
            </w:pPr>
            <w:r>
              <w:rPr>
                <w:rFonts w:ascii="Arial" w:hAnsi="Arial"/>
                <w:sz w:val="18"/>
              </w:rPr>
              <w:t>0.2560</w:t>
            </w:r>
          </w:p>
        </w:tc>
        <w:tc>
          <w:tcPr>
            <w:tcW w:type="dxa" w:w="936"/>
            <w:shd w:fill="F2F5F9"/>
            <w:tcMar>
              <w:top w:w="100" w:type="dxa"/>
              <w:bottom w:w="100" w:type="dxa"/>
              <w:left w:w="150" w:type="dxa"/>
              <w:right w:w="150" w:type="dxa"/>
            </w:tcMar>
          </w:tcPr>
          <w:p>
            <w:pPr>
              <w:jc w:val="right"/>
            </w:pPr>
            <w:r>
              <w:rPr>
                <w:rFonts w:ascii="Arial" w:hAnsi="Arial"/>
                <w:sz w:val="18"/>
              </w:rPr>
              <w:t>0.5059</w:t>
            </w:r>
          </w:p>
        </w:tc>
        <w:tc>
          <w:tcPr>
            <w:tcW w:type="dxa" w:w="936"/>
            <w:shd w:fill="F2F5F9"/>
            <w:tcMar>
              <w:top w:w="100" w:type="dxa"/>
              <w:bottom w:w="100" w:type="dxa"/>
              <w:left w:w="150" w:type="dxa"/>
              <w:right w:w="150" w:type="dxa"/>
            </w:tcMar>
          </w:tcPr>
          <w:p>
            <w:pPr>
              <w:jc w:val="right"/>
            </w:pPr>
            <w:r>
              <w:rPr>
                <w:rFonts w:ascii="Arial" w:hAnsi="Arial"/>
                <w:sz w:val="18"/>
              </w:rPr>
              <w:t>0.8047</w:t>
            </w:r>
          </w:p>
        </w:tc>
        <w:tc>
          <w:tcPr>
            <w:tcW w:type="dxa" w:w="936"/>
            <w:shd w:fill="F2F5F9"/>
            <w:tcMar>
              <w:top w:w="100" w:type="dxa"/>
              <w:bottom w:w="100" w:type="dxa"/>
              <w:left w:w="150" w:type="dxa"/>
              <w:right w:w="150" w:type="dxa"/>
            </w:tcMar>
          </w:tcPr>
          <w:p>
            <w:pPr>
              <w:jc w:val="right"/>
            </w:pPr>
            <w:r>
              <w:rPr>
                <w:rFonts w:ascii="Arial" w:hAnsi="Arial"/>
                <w:sz w:val="18"/>
              </w:rPr>
              <w:t>0.8043</w:t>
            </w:r>
          </w:p>
        </w:tc>
        <w:tc>
          <w:tcPr>
            <w:tcW w:type="dxa" w:w="936"/>
            <w:shd w:fill="F2F5F9"/>
            <w:tcMar>
              <w:top w:w="100" w:type="dxa"/>
              <w:bottom w:w="100" w:type="dxa"/>
              <w:left w:w="150" w:type="dxa"/>
              <w:right w:w="150" w:type="dxa"/>
            </w:tcMar>
          </w:tcPr>
          <w:p>
            <w:pPr>
              <w:jc w:val="right"/>
            </w:pPr>
            <w:r>
              <w:rPr>
                <w:rFonts w:ascii="Arial" w:hAnsi="Arial"/>
                <w:sz w:val="18"/>
              </w:rPr>
              <w:t>0.8043</w:t>
            </w:r>
          </w:p>
        </w:tc>
        <w:tc>
          <w:tcPr>
            <w:tcW w:type="dxa" w:w="936"/>
            <w:shd w:fill="F2F5F9"/>
            <w:tcMar>
              <w:top w:w="100" w:type="dxa"/>
              <w:bottom w:w="100" w:type="dxa"/>
              <w:left w:w="150" w:type="dxa"/>
              <w:right w:w="150" w:type="dxa"/>
            </w:tcMar>
          </w:tcPr>
          <w:p>
            <w:pPr>
              <w:jc w:val="right"/>
            </w:pPr>
            <w:r>
              <w:rPr>
                <w:rFonts w:ascii="Arial" w:hAnsi="Arial"/>
                <w:sz w:val="18"/>
              </w:rPr>
              <w:t>0.9632</w:t>
            </w:r>
          </w:p>
        </w:tc>
        <w:tc>
          <w:tcPr>
            <w:tcW w:type="dxa" w:w="936"/>
            <w:shd w:fill="F2F5F9"/>
            <w:tcMar>
              <w:top w:w="100" w:type="dxa"/>
              <w:bottom w:w="100" w:type="dxa"/>
              <w:left w:w="150" w:type="dxa"/>
              <w:right w:w="150" w:type="dxa"/>
            </w:tcMar>
          </w:tcPr>
          <w:p>
            <w:pPr>
              <w:jc w:val="right"/>
            </w:pPr>
            <w:r>
              <w:rPr>
                <w:rFonts w:ascii="Arial" w:hAnsi="Arial"/>
                <w:sz w:val="18"/>
              </w:rPr>
              <w:t>0.8047</w:t>
            </w:r>
          </w:p>
        </w:tc>
        <w:tc>
          <w:tcPr>
            <w:tcW w:type="dxa" w:w="936"/>
            <w:shd w:fill="F2F5F9"/>
            <w:tcMar>
              <w:top w:w="100" w:type="dxa"/>
              <w:bottom w:w="100" w:type="dxa"/>
              <w:left w:w="150" w:type="dxa"/>
              <w:right w:w="150" w:type="dxa"/>
            </w:tcMar>
          </w:tcPr>
          <w:p>
            <w:pPr>
              <w:jc w:val="right"/>
            </w:pPr>
            <w:r>
              <w:rPr>
                <w:rFonts w:ascii="Arial" w:hAnsi="Arial"/>
                <w:sz w:val="18"/>
              </w:rPr>
              <w:t>2</w:t>
            </w:r>
          </w:p>
        </w:tc>
      </w:tr>
      <w:tr>
        <w:tc>
          <w:tcPr>
            <w:tcW w:type="dxa" w:w="936"/>
            <w:shd w:fill="FFFFFF"/>
            <w:tcMar>
              <w:top w:w="100" w:type="dxa"/>
              <w:bottom w:w="100" w:type="dxa"/>
              <w:left w:w="150" w:type="dxa"/>
              <w:right w:w="150" w:type="dxa"/>
            </w:tcMar>
          </w:tcPr>
          <w:p>
            <w:pPr>
              <w:jc w:val="left"/>
            </w:pPr>
            <w:r>
              <w:rPr>
                <w:rFonts w:ascii="Arial" w:hAnsi="Arial"/>
                <w:sz w:val="18"/>
              </w:rPr>
              <w:t>Decision Tree Regressor</w:t>
            </w:r>
          </w:p>
        </w:tc>
        <w:tc>
          <w:tcPr>
            <w:tcW w:type="dxa" w:w="936"/>
            <w:shd w:fill="FFFFFF"/>
            <w:tcMar>
              <w:top w:w="100" w:type="dxa"/>
              <w:bottom w:w="100" w:type="dxa"/>
              <w:left w:w="150" w:type="dxa"/>
              <w:right w:w="150" w:type="dxa"/>
            </w:tcMar>
          </w:tcPr>
          <w:p>
            <w:pPr>
              <w:jc w:val="right"/>
            </w:pPr>
            <w:r>
              <w:rPr>
                <w:rFonts w:ascii="Arial" w:hAnsi="Arial"/>
                <w:sz w:val="18"/>
              </w:rPr>
              <w:t>0.4310</w:t>
            </w:r>
          </w:p>
        </w:tc>
        <w:tc>
          <w:tcPr>
            <w:tcW w:type="dxa" w:w="936"/>
            <w:shd w:fill="FFFFFF"/>
            <w:tcMar>
              <w:top w:w="100" w:type="dxa"/>
              <w:bottom w:w="100" w:type="dxa"/>
              <w:left w:w="150" w:type="dxa"/>
              <w:right w:w="150" w:type="dxa"/>
            </w:tcMar>
          </w:tcPr>
          <w:p>
            <w:pPr>
              <w:jc w:val="right"/>
            </w:pPr>
            <w:r>
              <w:rPr>
                <w:rFonts w:ascii="Arial" w:hAnsi="Arial"/>
                <w:sz w:val="18"/>
              </w:rPr>
              <w:t>0.4080</w:t>
            </w:r>
          </w:p>
        </w:tc>
        <w:tc>
          <w:tcPr>
            <w:tcW w:type="dxa" w:w="936"/>
            <w:shd w:fill="FFFFFF"/>
            <w:tcMar>
              <w:top w:w="100" w:type="dxa"/>
              <w:bottom w:w="100" w:type="dxa"/>
              <w:left w:w="150" w:type="dxa"/>
              <w:right w:w="150" w:type="dxa"/>
            </w:tcMar>
          </w:tcPr>
          <w:p>
            <w:pPr>
              <w:jc w:val="right"/>
            </w:pPr>
            <w:r>
              <w:rPr>
                <w:rFonts w:ascii="Arial" w:hAnsi="Arial"/>
                <w:sz w:val="18"/>
              </w:rPr>
              <w:t>0.6387</w:t>
            </w:r>
          </w:p>
        </w:tc>
        <w:tc>
          <w:tcPr>
            <w:tcW w:type="dxa" w:w="936"/>
            <w:shd w:fill="FFFFFF"/>
            <w:tcMar>
              <w:top w:w="100" w:type="dxa"/>
              <w:bottom w:w="100" w:type="dxa"/>
              <w:left w:w="150" w:type="dxa"/>
              <w:right w:w="150" w:type="dxa"/>
            </w:tcMar>
          </w:tcPr>
          <w:p>
            <w:pPr>
              <w:jc w:val="right"/>
            </w:pPr>
            <w:r>
              <w:rPr>
                <w:rFonts w:ascii="Arial" w:hAnsi="Arial"/>
                <w:sz w:val="18"/>
              </w:rPr>
              <w:t>0.6887</w:t>
            </w:r>
          </w:p>
        </w:tc>
        <w:tc>
          <w:tcPr>
            <w:tcW w:type="dxa" w:w="936"/>
            <w:shd w:fill="FFFFFF"/>
            <w:tcMar>
              <w:top w:w="100" w:type="dxa"/>
              <w:bottom w:w="100" w:type="dxa"/>
              <w:left w:w="150" w:type="dxa"/>
              <w:right w:w="150" w:type="dxa"/>
            </w:tcMar>
          </w:tcPr>
          <w:p>
            <w:pPr>
              <w:jc w:val="right"/>
            </w:pPr>
            <w:r>
              <w:rPr>
                <w:rFonts w:ascii="Arial" w:hAnsi="Arial"/>
                <w:sz w:val="18"/>
              </w:rPr>
              <w:t>0.6881</w:t>
            </w:r>
          </w:p>
        </w:tc>
        <w:tc>
          <w:tcPr>
            <w:tcW w:type="dxa" w:w="936"/>
            <w:shd w:fill="FFFFFF"/>
            <w:tcMar>
              <w:top w:w="100" w:type="dxa"/>
              <w:bottom w:w="100" w:type="dxa"/>
              <w:left w:w="150" w:type="dxa"/>
              <w:right w:w="150" w:type="dxa"/>
            </w:tcMar>
          </w:tcPr>
          <w:p>
            <w:pPr>
              <w:jc w:val="right"/>
            </w:pPr>
            <w:r>
              <w:rPr>
                <w:rFonts w:ascii="Arial" w:hAnsi="Arial"/>
                <w:sz w:val="18"/>
              </w:rPr>
              <w:t>0.7103</w:t>
            </w:r>
          </w:p>
        </w:tc>
        <w:tc>
          <w:tcPr>
            <w:tcW w:type="dxa" w:w="936"/>
            <w:shd w:fill="FFFFFF"/>
            <w:tcMar>
              <w:top w:w="100" w:type="dxa"/>
              <w:bottom w:w="100" w:type="dxa"/>
              <w:left w:w="150" w:type="dxa"/>
              <w:right w:w="150" w:type="dxa"/>
            </w:tcMar>
          </w:tcPr>
          <w:p>
            <w:pPr>
              <w:jc w:val="right"/>
            </w:pPr>
            <w:r>
              <w:rPr>
                <w:rFonts w:ascii="Arial" w:hAnsi="Arial"/>
                <w:sz w:val="18"/>
              </w:rPr>
              <w:t>0.8229</w:t>
            </w:r>
          </w:p>
        </w:tc>
        <w:tc>
          <w:tcPr>
            <w:tcW w:type="dxa" w:w="936"/>
            <w:shd w:fill="FFFFFF"/>
            <w:tcMar>
              <w:top w:w="100" w:type="dxa"/>
              <w:bottom w:w="100" w:type="dxa"/>
              <w:left w:w="150" w:type="dxa"/>
              <w:right w:w="150" w:type="dxa"/>
            </w:tcMar>
          </w:tcPr>
          <w:p>
            <w:pPr>
              <w:jc w:val="right"/>
            </w:pPr>
            <w:r>
              <w:rPr>
                <w:rFonts w:ascii="Arial" w:hAnsi="Arial"/>
                <w:sz w:val="18"/>
              </w:rPr>
              <w:t>0.6887</w:t>
            </w:r>
          </w:p>
        </w:tc>
        <w:tc>
          <w:tcPr>
            <w:tcW w:type="dxa" w:w="936"/>
            <w:shd w:fill="FFFFFF"/>
            <w:tcMar>
              <w:top w:w="100" w:type="dxa"/>
              <w:bottom w:w="100" w:type="dxa"/>
              <w:left w:w="150" w:type="dxa"/>
              <w:right w:w="150" w:type="dxa"/>
            </w:tcMar>
          </w:tcPr>
          <w:p>
            <w:pPr>
              <w:jc w:val="right"/>
            </w:pPr>
            <w:r>
              <w:rPr>
                <w:rFonts w:ascii="Arial" w:hAnsi="Arial"/>
                <w:sz w:val="18"/>
              </w:rPr>
              <w:t>3</w:t>
            </w:r>
          </w:p>
        </w:tc>
      </w:tr>
      <w:tr>
        <w:tc>
          <w:tcPr>
            <w:tcW w:type="dxa" w:w="936"/>
            <w:shd w:fill="F2F5F9"/>
            <w:tcMar>
              <w:top w:w="100" w:type="dxa"/>
              <w:bottom w:w="100" w:type="dxa"/>
              <w:left w:w="150" w:type="dxa"/>
              <w:right w:w="150" w:type="dxa"/>
            </w:tcMar>
          </w:tcPr>
          <w:p>
            <w:pPr>
              <w:jc w:val="left"/>
            </w:pPr>
            <w:r>
              <w:rPr>
                <w:rFonts w:ascii="Arial" w:hAnsi="Arial"/>
                <w:sz w:val="18"/>
              </w:rPr>
              <w:t>Multiple Linear Regression</w:t>
            </w:r>
          </w:p>
        </w:tc>
        <w:tc>
          <w:tcPr>
            <w:tcW w:type="dxa" w:w="936"/>
            <w:shd w:fill="F2F5F9"/>
            <w:tcMar>
              <w:top w:w="100" w:type="dxa"/>
              <w:bottom w:w="100" w:type="dxa"/>
              <w:left w:w="150" w:type="dxa"/>
              <w:right w:w="150" w:type="dxa"/>
            </w:tcMar>
          </w:tcPr>
          <w:p>
            <w:pPr>
              <w:jc w:val="right"/>
            </w:pPr>
            <w:r>
              <w:rPr>
                <w:rFonts w:ascii="Arial" w:hAnsi="Arial"/>
                <w:sz w:val="18"/>
              </w:rPr>
              <w:t>0.5332</w:t>
            </w:r>
          </w:p>
        </w:tc>
        <w:tc>
          <w:tcPr>
            <w:tcW w:type="dxa" w:w="936"/>
            <w:shd w:fill="F2F5F9"/>
            <w:tcMar>
              <w:top w:w="100" w:type="dxa"/>
              <w:bottom w:w="100" w:type="dxa"/>
              <w:left w:w="150" w:type="dxa"/>
              <w:right w:w="150" w:type="dxa"/>
            </w:tcMar>
          </w:tcPr>
          <w:p>
            <w:pPr>
              <w:jc w:val="right"/>
            </w:pPr>
            <w:r>
              <w:rPr>
                <w:rFonts w:ascii="Arial" w:hAnsi="Arial"/>
                <w:sz w:val="18"/>
              </w:rPr>
              <w:t>0.5559</w:t>
            </w:r>
          </w:p>
        </w:tc>
        <w:tc>
          <w:tcPr>
            <w:tcW w:type="dxa" w:w="936"/>
            <w:shd w:fill="F2F5F9"/>
            <w:tcMar>
              <w:top w:w="100" w:type="dxa"/>
              <w:bottom w:w="100" w:type="dxa"/>
              <w:left w:w="150" w:type="dxa"/>
              <w:right w:w="150" w:type="dxa"/>
            </w:tcMar>
          </w:tcPr>
          <w:p>
            <w:pPr>
              <w:jc w:val="right"/>
            </w:pPr>
            <w:r>
              <w:rPr>
                <w:rFonts w:ascii="Arial" w:hAnsi="Arial"/>
                <w:sz w:val="18"/>
              </w:rPr>
              <w:t>0.7456</w:t>
            </w:r>
          </w:p>
        </w:tc>
        <w:tc>
          <w:tcPr>
            <w:tcW w:type="dxa" w:w="936"/>
            <w:shd w:fill="F2F5F9"/>
            <w:tcMar>
              <w:top w:w="100" w:type="dxa"/>
              <w:bottom w:w="100" w:type="dxa"/>
              <w:left w:w="150" w:type="dxa"/>
              <w:right w:w="150" w:type="dxa"/>
            </w:tcMar>
          </w:tcPr>
          <w:p>
            <w:pPr>
              <w:jc w:val="right"/>
            </w:pPr>
            <w:r>
              <w:rPr>
                <w:rFonts w:ascii="Arial" w:hAnsi="Arial"/>
                <w:sz w:val="18"/>
              </w:rPr>
              <w:t>0.5758</w:t>
            </w:r>
          </w:p>
        </w:tc>
        <w:tc>
          <w:tcPr>
            <w:tcW w:type="dxa" w:w="936"/>
            <w:shd w:fill="F2F5F9"/>
            <w:tcMar>
              <w:top w:w="100" w:type="dxa"/>
              <w:bottom w:w="100" w:type="dxa"/>
              <w:left w:w="150" w:type="dxa"/>
              <w:right w:w="150" w:type="dxa"/>
            </w:tcMar>
          </w:tcPr>
          <w:p>
            <w:pPr>
              <w:jc w:val="right"/>
            </w:pPr>
            <w:r>
              <w:rPr>
                <w:rFonts w:ascii="Arial" w:hAnsi="Arial"/>
                <w:sz w:val="18"/>
              </w:rPr>
              <w:t>0.5750</w:t>
            </w:r>
          </w:p>
        </w:tc>
        <w:tc>
          <w:tcPr>
            <w:tcW w:type="dxa" w:w="936"/>
            <w:shd w:fill="F2F5F9"/>
            <w:tcMar>
              <w:top w:w="100" w:type="dxa"/>
              <w:bottom w:w="100" w:type="dxa"/>
              <w:left w:w="150" w:type="dxa"/>
              <w:right w:w="150" w:type="dxa"/>
            </w:tcMar>
          </w:tcPr>
          <w:p>
            <w:pPr>
              <w:jc w:val="right"/>
            </w:pPr>
            <w:r>
              <w:rPr>
                <w:rFonts w:ascii="Arial" w:hAnsi="Arial"/>
                <w:sz w:val="18"/>
              </w:rPr>
              <w:t>0.6115</w:t>
            </w:r>
          </w:p>
        </w:tc>
        <w:tc>
          <w:tcPr>
            <w:tcW w:type="dxa" w:w="936"/>
            <w:shd w:fill="F2F5F9"/>
            <w:tcMar>
              <w:top w:w="100" w:type="dxa"/>
              <w:bottom w:w="100" w:type="dxa"/>
              <w:left w:w="150" w:type="dxa"/>
              <w:right w:w="150" w:type="dxa"/>
            </w:tcMar>
          </w:tcPr>
          <w:p>
            <w:pPr>
              <w:jc w:val="right"/>
            </w:pPr>
            <w:r>
              <w:rPr>
                <w:rFonts w:ascii="Arial" w:hAnsi="Arial"/>
                <w:sz w:val="18"/>
              </w:rPr>
              <w:t>0.6126</w:t>
            </w:r>
          </w:p>
        </w:tc>
        <w:tc>
          <w:tcPr>
            <w:tcW w:type="dxa" w:w="936"/>
            <w:shd w:fill="F2F5F9"/>
            <w:tcMar>
              <w:top w:w="100" w:type="dxa"/>
              <w:bottom w:w="100" w:type="dxa"/>
              <w:left w:w="150" w:type="dxa"/>
              <w:right w:w="150" w:type="dxa"/>
            </w:tcMar>
          </w:tcPr>
          <w:p>
            <w:pPr>
              <w:jc w:val="right"/>
            </w:pPr>
            <w:r>
              <w:rPr>
                <w:rFonts w:ascii="Arial" w:hAnsi="Arial"/>
                <w:sz w:val="18"/>
              </w:rPr>
              <w:t>0.5758</w:t>
            </w:r>
          </w:p>
        </w:tc>
        <w:tc>
          <w:tcPr>
            <w:tcW w:type="dxa" w:w="936"/>
            <w:shd w:fill="F2F5F9"/>
            <w:tcMar>
              <w:top w:w="100" w:type="dxa"/>
              <w:bottom w:w="100" w:type="dxa"/>
              <w:left w:w="150" w:type="dxa"/>
              <w:right w:w="150" w:type="dxa"/>
            </w:tcMar>
          </w:tcPr>
          <w:p>
            <w:pPr>
              <w:jc w:val="right"/>
            </w:pPr>
            <w:r>
              <w:rPr>
                <w:rFonts w:ascii="Arial" w:hAnsi="Arial"/>
                <w:sz w:val="18"/>
              </w:rPr>
              <w:t>4</w:t>
            </w:r>
          </w:p>
        </w:tc>
      </w:tr>
      <w:tr>
        <w:tc>
          <w:tcPr>
            <w:tcW w:type="dxa" w:w="936"/>
            <w:shd w:fill="FFFFFF"/>
            <w:tcMar>
              <w:top w:w="100" w:type="dxa"/>
              <w:bottom w:w="100" w:type="dxa"/>
              <w:left w:w="150" w:type="dxa"/>
              <w:right w:w="150" w:type="dxa"/>
            </w:tcMar>
          </w:tcPr>
          <w:p>
            <w:pPr>
              <w:jc w:val="left"/>
            </w:pPr>
            <w:r>
              <w:rPr>
                <w:rFonts w:ascii="Arial" w:hAnsi="Arial"/>
                <w:sz w:val="18"/>
              </w:rPr>
              <w:t>Simple Linear Regression</w:t>
            </w:r>
          </w:p>
        </w:tc>
        <w:tc>
          <w:tcPr>
            <w:tcW w:type="dxa" w:w="936"/>
            <w:shd w:fill="FFFFFF"/>
            <w:tcMar>
              <w:top w:w="100" w:type="dxa"/>
              <w:bottom w:w="100" w:type="dxa"/>
              <w:left w:w="150" w:type="dxa"/>
              <w:right w:w="150" w:type="dxa"/>
            </w:tcMar>
          </w:tcPr>
          <w:p>
            <w:pPr>
              <w:jc w:val="right"/>
            </w:pPr>
            <w:r>
              <w:rPr>
                <w:rFonts w:ascii="Arial" w:hAnsi="Arial"/>
                <w:sz w:val="18"/>
              </w:rPr>
              <w:t>0.6299</w:t>
            </w:r>
          </w:p>
        </w:tc>
        <w:tc>
          <w:tcPr>
            <w:tcW w:type="dxa" w:w="936"/>
            <w:shd w:fill="FFFFFF"/>
            <w:tcMar>
              <w:top w:w="100" w:type="dxa"/>
              <w:bottom w:w="100" w:type="dxa"/>
              <w:left w:w="150" w:type="dxa"/>
              <w:right w:w="150" w:type="dxa"/>
            </w:tcMar>
          </w:tcPr>
          <w:p>
            <w:pPr>
              <w:jc w:val="right"/>
            </w:pPr>
            <w:r>
              <w:rPr>
                <w:rFonts w:ascii="Arial" w:hAnsi="Arial"/>
                <w:sz w:val="18"/>
              </w:rPr>
              <w:t>0.7091</w:t>
            </w:r>
          </w:p>
        </w:tc>
        <w:tc>
          <w:tcPr>
            <w:tcW w:type="dxa" w:w="936"/>
            <w:shd w:fill="FFFFFF"/>
            <w:tcMar>
              <w:top w:w="100" w:type="dxa"/>
              <w:bottom w:w="100" w:type="dxa"/>
              <w:left w:w="150" w:type="dxa"/>
              <w:right w:w="150" w:type="dxa"/>
            </w:tcMar>
          </w:tcPr>
          <w:p>
            <w:pPr>
              <w:jc w:val="right"/>
            </w:pPr>
            <w:r>
              <w:rPr>
                <w:rFonts w:ascii="Arial" w:hAnsi="Arial"/>
                <w:sz w:val="18"/>
              </w:rPr>
              <w:t>0.8421</w:t>
            </w:r>
          </w:p>
        </w:tc>
        <w:tc>
          <w:tcPr>
            <w:tcW w:type="dxa" w:w="936"/>
            <w:shd w:fill="FFFFFF"/>
            <w:tcMar>
              <w:top w:w="100" w:type="dxa"/>
              <w:bottom w:w="100" w:type="dxa"/>
              <w:left w:w="150" w:type="dxa"/>
              <w:right w:w="150" w:type="dxa"/>
            </w:tcMar>
          </w:tcPr>
          <w:p>
            <w:pPr>
              <w:jc w:val="right"/>
            </w:pPr>
            <w:r>
              <w:rPr>
                <w:rFonts w:ascii="Arial" w:hAnsi="Arial"/>
                <w:sz w:val="18"/>
              </w:rPr>
              <w:t>0.4589</w:t>
            </w:r>
          </w:p>
        </w:tc>
        <w:tc>
          <w:tcPr>
            <w:tcW w:type="dxa" w:w="936"/>
            <w:shd w:fill="FFFFFF"/>
            <w:tcMar>
              <w:top w:w="100" w:type="dxa"/>
              <w:bottom w:w="100" w:type="dxa"/>
              <w:left w:w="150" w:type="dxa"/>
              <w:right w:w="150" w:type="dxa"/>
            </w:tcMar>
          </w:tcPr>
          <w:p>
            <w:pPr>
              <w:jc w:val="right"/>
            </w:pPr>
            <w:r>
              <w:rPr>
                <w:rFonts w:ascii="Arial" w:hAnsi="Arial"/>
                <w:sz w:val="18"/>
              </w:rPr>
              <w:t>0.4587</w:t>
            </w:r>
          </w:p>
        </w:tc>
        <w:tc>
          <w:tcPr>
            <w:tcW w:type="dxa" w:w="936"/>
            <w:shd w:fill="FFFFFF"/>
            <w:tcMar>
              <w:top w:w="100" w:type="dxa"/>
              <w:bottom w:w="100" w:type="dxa"/>
              <w:left w:w="150" w:type="dxa"/>
              <w:right w:w="150" w:type="dxa"/>
            </w:tcMar>
          </w:tcPr>
          <w:p>
            <w:pPr>
              <w:jc w:val="right"/>
            </w:pPr>
            <w:r>
              <w:rPr>
                <w:rFonts w:ascii="Arial" w:hAnsi="Arial"/>
                <w:sz w:val="18"/>
              </w:rPr>
              <w:t>0.4767</w:t>
            </w:r>
          </w:p>
        </w:tc>
        <w:tc>
          <w:tcPr>
            <w:tcW w:type="dxa" w:w="936"/>
            <w:shd w:fill="FFFFFF"/>
            <w:tcMar>
              <w:top w:w="100" w:type="dxa"/>
              <w:bottom w:w="100" w:type="dxa"/>
              <w:left w:w="150" w:type="dxa"/>
              <w:right w:w="150" w:type="dxa"/>
            </w:tcMar>
          </w:tcPr>
          <w:p>
            <w:pPr>
              <w:jc w:val="right"/>
            </w:pPr>
            <w:r>
              <w:rPr>
                <w:rFonts w:ascii="Arial" w:hAnsi="Arial"/>
                <w:sz w:val="18"/>
              </w:rPr>
              <w:t>0.4770</w:t>
            </w:r>
          </w:p>
        </w:tc>
        <w:tc>
          <w:tcPr>
            <w:tcW w:type="dxa" w:w="936"/>
            <w:shd w:fill="FFFFFF"/>
            <w:tcMar>
              <w:top w:w="100" w:type="dxa"/>
              <w:bottom w:w="100" w:type="dxa"/>
              <w:left w:w="150" w:type="dxa"/>
              <w:right w:w="150" w:type="dxa"/>
            </w:tcMar>
          </w:tcPr>
          <w:p>
            <w:pPr>
              <w:jc w:val="right"/>
            </w:pPr>
            <w:r>
              <w:rPr>
                <w:rFonts w:ascii="Arial" w:hAnsi="Arial"/>
                <w:sz w:val="18"/>
              </w:rPr>
              <w:t>0.4589</w:t>
            </w:r>
          </w:p>
        </w:tc>
        <w:tc>
          <w:tcPr>
            <w:tcW w:type="dxa" w:w="936"/>
            <w:shd w:fill="FFFFFF"/>
            <w:tcMar>
              <w:top w:w="100" w:type="dxa"/>
              <w:bottom w:w="100" w:type="dxa"/>
              <w:left w:w="150" w:type="dxa"/>
              <w:right w:w="150" w:type="dxa"/>
            </w:tcMar>
          </w:tcPr>
          <w:p>
            <w:pPr>
              <w:jc w:val="right"/>
            </w:pPr>
            <w:r>
              <w:rPr>
                <w:rFonts w:ascii="Arial" w:hAnsi="Arial"/>
                <w:sz w:val="18"/>
              </w:rPr>
              <w:t>5</w:t>
            </w:r>
          </w:p>
        </w:tc>
      </w:tr>
    </w:tbl>
    <w:p>
      <w:pPr>
        <w:spacing w:before="0" w:after="120" w:line="276" w:lineRule="auto"/>
      </w:pPr>
    </w:p>
    <w:p>
      <w:pPr>
        <w:pStyle w:val="Heading3"/>
        <w:keepNext/>
        <w:spacing w:before="120" w:after="40" w:line="276" w:lineRule="auto"/>
      </w:pPr>
      <w:r>
        <w:rPr>
          <w:rFonts w:ascii="Arial" w:hAnsi="Arial"/>
          <w:b/>
          <w:i/>
          <w:color w:val="808080"/>
          <w:sz w:val="23"/>
        </w:rPr>
        <w:t>5.1.1 Key Observations and Graphical Interpretation</w:t>
      </w:r>
    </w:p>
    <w:p>
      <w:pPr>
        <w:spacing w:before="0" w:after="120" w:line="276" w:lineRule="auto"/>
      </w:pPr>
      <w:r>
        <w:rPr>
          <w:rFonts w:ascii="Arial" w:hAnsi="Arial"/>
          <w:color w:val="000000"/>
          <w:sz w:val="22"/>
        </w:rPr>
        <w:t>The model comparison shows a significant jump in performance from linear models to ensemble tree-based models. As illustrated in Figure 4, Gradient Boosting Regressor achieved the highest Test R² (0.8114) and the lowest Test RMSE (0.4971). This represents a substantial improvement over Multiple Linear Regression (Table 1), which yielded a Test R² of 0.5758 and RMSE of 0.7456. The non-linear relationships of geographic coordinates (Latitude, Longitude) and demographics (Figure 3) are successfully resolved by boosted trees, whereas multiple linear regression struggles.</w:t>
      </w:r>
    </w:p>
    <w:p>
      <w:pPr>
        <w:spacing w:before="0" w:after="120" w:line="276" w:lineRule="auto"/>
      </w:pPr>
      <w:r>
        <w:rPr>
          <w:rFonts w:ascii="Arial" w:hAnsi="Arial"/>
          <w:color w:val="000000"/>
          <w:sz w:val="22"/>
        </w:rPr>
        <w:t>The target distribution analysis shown in Figure 2 demonstrates a moderate right skewness, and the boxplot outlier analysis in Figure 3 reflects high density, illustrating why non-linear partition models achieve superior fit compared to linear bounds.</w:t>
      </w:r>
    </w:p>
    <w:p>
      <w:pPr>
        <w:spacing w:before="120" w:after="80" w:line="276" w:lineRule="auto"/>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california_target_dist.png"/>
                    <pic:cNvPicPr/>
                  </pic:nvPicPr>
                  <pic:blipFill>
                    <a:blip r:embed="rId12"/>
                    <a:stretch>
                      <a:fillRect/>
                    </a:stretch>
                  </pic:blipFill>
                  <pic:spPr>
                    <a:xfrm>
                      <a:off x="0" y="0"/>
                      <a:ext cx="5029200" cy="3143250"/>
                    </a:xfrm>
                    <a:prstGeom prst="rect"/>
                  </pic:spPr>
                </pic:pic>
              </a:graphicData>
            </a:graphic>
          </wp:inline>
        </w:drawing>
      </w:r>
    </w:p>
    <w:p>
      <w:pPr>
        <w:spacing w:before="40" w:after="240" w:line="276" w:lineRule="auto"/>
        <w:jc w:val="center"/>
      </w:pPr>
      <w:r>
        <w:rPr>
          <w:rFonts w:ascii="Arial" w:hAnsi="Arial"/>
          <w:i/>
          <w:color w:val="595959"/>
          <w:sz w:val="19"/>
        </w:rPr>
        <w:t>Figure 2: Target Distribution Analysis (MedHouseVal) for California Dataset</w:t>
      </w:r>
    </w:p>
    <w:p>
      <w:pPr>
        <w:spacing w:before="120" w:after="80" w:line="276" w:lineRule="auto"/>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california_correlation_heatmap.png"/>
                    <pic:cNvPicPr/>
                  </pic:nvPicPr>
                  <pic:blipFill>
                    <a:blip r:embed="rId13"/>
                    <a:stretch>
                      <a:fillRect/>
                    </a:stretch>
                  </pic:blipFill>
                  <pic:spPr>
                    <a:xfrm>
                      <a:off x="0" y="0"/>
                      <a:ext cx="5029200" cy="4023360"/>
                    </a:xfrm>
                    <a:prstGeom prst="rect"/>
                  </pic:spPr>
                </pic:pic>
              </a:graphicData>
            </a:graphic>
          </wp:inline>
        </w:drawing>
      </w:r>
    </w:p>
    <w:p>
      <w:pPr>
        <w:spacing w:before="40" w:after="240" w:line="276" w:lineRule="auto"/>
        <w:jc w:val="center"/>
      </w:pPr>
      <w:r>
        <w:rPr>
          <w:rFonts w:ascii="Arial" w:hAnsi="Arial"/>
          <w:i/>
          <w:color w:val="595959"/>
          <w:sz w:val="19"/>
        </w:rPr>
        <w:t>Figure 3: Correlation Heatmap showing relationship among numerical features in California dataset</w:t>
      </w:r>
    </w:p>
    <w:p>
      <w:pPr>
        <w:spacing w:before="120" w:after="80" w:line="276" w:lineRule="auto"/>
        <w:jc w:val="center"/>
      </w:pPr>
      <w:r>
        <w:drawing>
          <wp:inline xmlns:a="http://schemas.openxmlformats.org/drawingml/2006/main" xmlns:pic="http://schemas.openxmlformats.org/drawingml/2006/picture">
            <wp:extent cx="5029200" cy="1796143"/>
            <wp:docPr id="4" name="Picture 4"/>
            <wp:cNvGraphicFramePr>
              <a:graphicFrameLocks noChangeAspect="1"/>
            </wp:cNvGraphicFramePr>
            <a:graphic>
              <a:graphicData uri="http://schemas.openxmlformats.org/drawingml/2006/picture">
                <pic:pic>
                  <pic:nvPicPr>
                    <pic:cNvPr id="0" name="california_model_comparison.png"/>
                    <pic:cNvPicPr/>
                  </pic:nvPicPr>
                  <pic:blipFill>
                    <a:blip r:embed="rId14"/>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4: Model Comparison (R2 and RMSE) for California Dataset</w:t>
      </w:r>
    </w:p>
    <w:p>
      <w:pPr>
        <w:pStyle w:val="Heading2"/>
        <w:keepNext/>
        <w:spacing w:before="240" w:after="80" w:line="276" w:lineRule="auto"/>
      </w:pPr>
      <w:r>
        <w:rPr>
          <w:rFonts w:ascii="Arial" w:hAnsi="Arial"/>
          <w:b/>
          <w:color w:val="595959"/>
          <w:sz w:val="26"/>
        </w:rPr>
        <w:t>5.2 Ames Housing Dataset Results</w:t>
      </w:r>
    </w:p>
    <w:p>
      <w:pPr>
        <w:spacing w:before="0" w:after="120" w:line="276" w:lineRule="auto"/>
      </w:pPr>
      <w:r>
        <w:rPr>
          <w:rFonts w:ascii="Arial" w:hAnsi="Arial"/>
          <w:color w:val="000000"/>
          <w:sz w:val="22"/>
        </w:rPr>
        <w:t>Due to the highly skewed distribution of SalePrice in Ames, the regression models were trained on the log scale, and evaluated on the original USD scale after applying the exponential transformation. The metrics are compiled in Table 2 below:</w:t>
      </w:r>
    </w:p>
    <w:p>
      <w:pPr>
        <w:spacing w:before="240" w:after="80" w:line="276" w:lineRule="auto"/>
        <w:jc w:val="left"/>
      </w:pPr>
      <w:r>
        <w:rPr>
          <w:rFonts w:ascii="Arial" w:hAnsi="Arial"/>
          <w:b/>
          <w:color w:val="2F5597"/>
          <w:sz w:val="20"/>
        </w:rPr>
        <w:t>Table 2: Model Evaluation Metrics - Ames Housing Dataset (USD scale)</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F5597"/>
            <w:tcMar>
              <w:top w:w="100" w:type="dxa"/>
              <w:bottom w:w="100" w:type="dxa"/>
              <w:left w:w="150" w:type="dxa"/>
              <w:right w:w="150" w:type="dxa"/>
            </w:tcMar>
          </w:tcPr>
          <w:p>
            <w:pPr>
              <w:jc w:val="center"/>
            </w:pPr>
            <w:r>
              <w:rPr>
                <w:rFonts w:ascii="Arial" w:hAnsi="Arial"/>
                <w:b/>
                <w:color w:val="FFFFFF"/>
                <w:sz w:val="19"/>
              </w:rPr>
              <w:t>Model</w:t>
            </w:r>
          </w:p>
        </w:tc>
        <w:tc>
          <w:tcPr>
            <w:tcW w:type="dxa" w:w="936"/>
            <w:shd w:fill="2F5597"/>
            <w:tcMar>
              <w:top w:w="100" w:type="dxa"/>
              <w:bottom w:w="100" w:type="dxa"/>
              <w:left w:w="150" w:type="dxa"/>
              <w:right w:w="150" w:type="dxa"/>
            </w:tcMar>
          </w:tcPr>
          <w:p>
            <w:pPr>
              <w:jc w:val="center"/>
            </w:pPr>
            <w:r>
              <w:rPr>
                <w:rFonts w:ascii="Arial" w:hAnsi="Arial"/>
                <w:b/>
                <w:color w:val="FFFFFF"/>
                <w:sz w:val="19"/>
              </w:rPr>
              <w:t>MAE</w:t>
            </w:r>
          </w:p>
        </w:tc>
        <w:tc>
          <w:tcPr>
            <w:tcW w:type="dxa" w:w="936"/>
            <w:shd w:fill="2F5597"/>
            <w:tcMar>
              <w:top w:w="100" w:type="dxa"/>
              <w:bottom w:w="100" w:type="dxa"/>
              <w:left w:w="150" w:type="dxa"/>
              <w:right w:w="150" w:type="dxa"/>
            </w:tcMar>
          </w:tcPr>
          <w:p>
            <w:pPr>
              <w:jc w:val="center"/>
            </w:pPr>
            <w:r>
              <w:rPr>
                <w:rFonts w:ascii="Arial" w:hAnsi="Arial"/>
                <w:b/>
                <w:color w:val="FFFFFF"/>
                <w:sz w:val="19"/>
              </w:rPr>
              <w:t>MSE</w:t>
            </w:r>
          </w:p>
        </w:tc>
        <w:tc>
          <w:tcPr>
            <w:tcW w:type="dxa" w:w="936"/>
            <w:shd w:fill="2F5597"/>
            <w:tcMar>
              <w:top w:w="100" w:type="dxa"/>
              <w:bottom w:w="100" w:type="dxa"/>
              <w:left w:w="150" w:type="dxa"/>
              <w:right w:w="150" w:type="dxa"/>
            </w:tcMar>
          </w:tcPr>
          <w:p>
            <w:pPr>
              <w:jc w:val="center"/>
            </w:pPr>
            <w:r>
              <w:rPr>
                <w:rFonts w:ascii="Arial" w:hAnsi="Arial"/>
                <w:b/>
                <w:color w:val="FFFFFF"/>
                <w:sz w:val="19"/>
              </w:rPr>
              <w:t>RMSE</w:t>
            </w:r>
          </w:p>
        </w:tc>
        <w:tc>
          <w:tcPr>
            <w:tcW w:type="dxa" w:w="936"/>
            <w:shd w:fill="2F5597"/>
            <w:tcMar>
              <w:top w:w="100" w:type="dxa"/>
              <w:bottom w:w="100" w:type="dxa"/>
              <w:left w:w="150" w:type="dxa"/>
              <w:right w:w="150" w:type="dxa"/>
            </w:tcMar>
          </w:tcPr>
          <w:p>
            <w:pPr>
              <w:jc w:val="center"/>
            </w:pPr>
            <w:r>
              <w:rPr>
                <w:rFonts w:ascii="Arial" w:hAnsi="Arial"/>
                <w:b/>
                <w:color w:val="FFFFFF"/>
                <w:sz w:val="19"/>
              </w:rPr>
              <w:t>R2</w:t>
            </w:r>
          </w:p>
        </w:tc>
        <w:tc>
          <w:tcPr>
            <w:tcW w:type="dxa" w:w="936"/>
            <w:shd w:fill="2F5597"/>
            <w:tcMar>
              <w:top w:w="100" w:type="dxa"/>
              <w:bottom w:w="100" w:type="dxa"/>
              <w:left w:w="150" w:type="dxa"/>
              <w:right w:w="150" w:type="dxa"/>
            </w:tcMar>
          </w:tcPr>
          <w:p>
            <w:pPr>
              <w:jc w:val="center"/>
            </w:pPr>
            <w:r>
              <w:rPr>
                <w:rFonts w:ascii="Arial" w:hAnsi="Arial"/>
                <w:b/>
                <w:color w:val="FFFFFF"/>
                <w:sz w:val="19"/>
              </w:rPr>
              <w:t>Adjusted_R2</w:t>
            </w:r>
          </w:p>
        </w:tc>
        <w:tc>
          <w:tcPr>
            <w:tcW w:type="dxa" w:w="936"/>
            <w:shd w:fill="2F5597"/>
            <w:tcMar>
              <w:top w:w="100" w:type="dxa"/>
              <w:bottom w:w="100" w:type="dxa"/>
              <w:left w:w="150" w:type="dxa"/>
              <w:right w:w="150" w:type="dxa"/>
            </w:tcMar>
          </w:tcPr>
          <w:p>
            <w:pPr>
              <w:jc w:val="center"/>
            </w:pPr>
            <w:r>
              <w:rPr>
                <w:rFonts w:ascii="Arial" w:hAnsi="Arial"/>
                <w:b/>
                <w:color w:val="FFFFFF"/>
                <w:sz w:val="19"/>
              </w:rPr>
              <w:t>CV_Score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Training_Score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Testing_Score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Rank</w:t>
            </w:r>
          </w:p>
        </w:tc>
      </w:tr>
      <w:tr>
        <w:tc>
          <w:tcPr>
            <w:tcW w:type="dxa" w:w="936"/>
            <w:shd w:fill="FFFFFF"/>
            <w:tcMar>
              <w:top w:w="100" w:type="dxa"/>
              <w:bottom w:w="100" w:type="dxa"/>
              <w:left w:w="150" w:type="dxa"/>
              <w:right w:w="150" w:type="dxa"/>
            </w:tcMar>
          </w:tcPr>
          <w:p>
            <w:pPr>
              <w:jc w:val="left"/>
            </w:pPr>
            <w:r>
              <w:rPr>
                <w:rFonts w:ascii="Arial" w:hAnsi="Arial"/>
                <w:sz w:val="18"/>
              </w:rPr>
              <w:t>Multiple Linear Regression</w:t>
            </w:r>
          </w:p>
        </w:tc>
        <w:tc>
          <w:tcPr>
            <w:tcW w:type="dxa" w:w="936"/>
            <w:shd w:fill="FFFFFF"/>
            <w:tcMar>
              <w:top w:w="100" w:type="dxa"/>
              <w:bottom w:w="100" w:type="dxa"/>
              <w:left w:w="150" w:type="dxa"/>
              <w:right w:w="150" w:type="dxa"/>
            </w:tcMar>
          </w:tcPr>
          <w:p>
            <w:pPr>
              <w:jc w:val="right"/>
            </w:pPr>
            <w:r>
              <w:rPr>
                <w:rFonts w:ascii="Arial" w:hAnsi="Arial"/>
                <w:sz w:val="18"/>
              </w:rPr>
              <w:t>16,026.6399</w:t>
            </w:r>
          </w:p>
        </w:tc>
        <w:tc>
          <w:tcPr>
            <w:tcW w:type="dxa" w:w="936"/>
            <w:shd w:fill="FFFFFF"/>
            <w:tcMar>
              <w:top w:w="100" w:type="dxa"/>
              <w:bottom w:w="100" w:type="dxa"/>
              <w:left w:w="150" w:type="dxa"/>
              <w:right w:w="150" w:type="dxa"/>
            </w:tcMar>
          </w:tcPr>
          <w:p>
            <w:pPr>
              <w:jc w:val="right"/>
            </w:pPr>
            <w:r>
              <w:rPr>
                <w:rFonts w:ascii="Arial" w:hAnsi="Arial"/>
                <w:sz w:val="18"/>
              </w:rPr>
              <w:t>504,900,255.1897</w:t>
            </w:r>
          </w:p>
        </w:tc>
        <w:tc>
          <w:tcPr>
            <w:tcW w:type="dxa" w:w="936"/>
            <w:shd w:fill="FFFFFF"/>
            <w:tcMar>
              <w:top w:w="100" w:type="dxa"/>
              <w:bottom w:w="100" w:type="dxa"/>
              <w:left w:w="150" w:type="dxa"/>
              <w:right w:w="150" w:type="dxa"/>
            </w:tcMar>
          </w:tcPr>
          <w:p>
            <w:pPr>
              <w:jc w:val="right"/>
            </w:pPr>
            <w:r>
              <w:rPr>
                <w:rFonts w:ascii="Arial" w:hAnsi="Arial"/>
                <w:sz w:val="18"/>
              </w:rPr>
              <w:t>22,469.9857</w:t>
            </w:r>
          </w:p>
        </w:tc>
        <w:tc>
          <w:tcPr>
            <w:tcW w:type="dxa" w:w="936"/>
            <w:shd w:fill="FFFFFF"/>
            <w:tcMar>
              <w:top w:w="100" w:type="dxa"/>
              <w:bottom w:w="100" w:type="dxa"/>
              <w:left w:w="150" w:type="dxa"/>
              <w:right w:w="150" w:type="dxa"/>
            </w:tcMar>
          </w:tcPr>
          <w:p>
            <w:pPr>
              <w:jc w:val="right"/>
            </w:pPr>
            <w:r>
              <w:rPr>
                <w:rFonts w:ascii="Arial" w:hAnsi="Arial"/>
                <w:sz w:val="18"/>
              </w:rPr>
              <w:t>0.9038</w:t>
            </w:r>
          </w:p>
        </w:tc>
        <w:tc>
          <w:tcPr>
            <w:tcW w:type="dxa" w:w="936"/>
            <w:shd w:fill="FFFFFF"/>
            <w:tcMar>
              <w:top w:w="100" w:type="dxa"/>
              <w:bottom w:w="100" w:type="dxa"/>
              <w:left w:w="150" w:type="dxa"/>
              <w:right w:w="150" w:type="dxa"/>
            </w:tcMar>
          </w:tcPr>
          <w:p>
            <w:pPr>
              <w:jc w:val="right"/>
            </w:pPr>
            <w:r>
              <w:rPr>
                <w:rFonts w:ascii="Arial" w:hAnsi="Arial"/>
                <w:sz w:val="18"/>
              </w:rPr>
              <w:t>0.8902</w:t>
            </w:r>
          </w:p>
        </w:tc>
        <w:tc>
          <w:tcPr>
            <w:tcW w:type="dxa" w:w="936"/>
            <w:shd w:fill="FFFFFF"/>
            <w:tcMar>
              <w:top w:w="100" w:type="dxa"/>
              <w:bottom w:w="100" w:type="dxa"/>
              <w:left w:w="150" w:type="dxa"/>
              <w:right w:w="150" w:type="dxa"/>
            </w:tcMar>
          </w:tcPr>
          <w:p>
            <w:pPr>
              <w:jc w:val="right"/>
            </w:pPr>
            <w:r>
              <w:rPr>
                <w:rFonts w:ascii="Arial" w:hAnsi="Arial"/>
                <w:sz w:val="18"/>
              </w:rPr>
              <w:t>0.8935</w:t>
            </w:r>
          </w:p>
        </w:tc>
        <w:tc>
          <w:tcPr>
            <w:tcW w:type="dxa" w:w="936"/>
            <w:shd w:fill="FFFFFF"/>
            <w:tcMar>
              <w:top w:w="100" w:type="dxa"/>
              <w:bottom w:w="100" w:type="dxa"/>
              <w:left w:w="150" w:type="dxa"/>
              <w:right w:w="150" w:type="dxa"/>
            </w:tcMar>
          </w:tcPr>
          <w:p>
            <w:pPr>
              <w:jc w:val="right"/>
            </w:pPr>
            <w:r>
              <w:rPr>
                <w:rFonts w:ascii="Arial" w:hAnsi="Arial"/>
                <w:sz w:val="18"/>
              </w:rPr>
              <w:t>0.9153</w:t>
            </w:r>
          </w:p>
        </w:tc>
        <w:tc>
          <w:tcPr>
            <w:tcW w:type="dxa" w:w="936"/>
            <w:shd w:fill="FFFFFF"/>
            <w:tcMar>
              <w:top w:w="100" w:type="dxa"/>
              <w:bottom w:w="100" w:type="dxa"/>
              <w:left w:w="150" w:type="dxa"/>
              <w:right w:w="150" w:type="dxa"/>
            </w:tcMar>
          </w:tcPr>
          <w:p>
            <w:pPr>
              <w:jc w:val="right"/>
            </w:pPr>
            <w:r>
              <w:rPr>
                <w:rFonts w:ascii="Arial" w:hAnsi="Arial"/>
                <w:sz w:val="18"/>
              </w:rPr>
              <w:t>0.9038</w:t>
            </w:r>
          </w:p>
        </w:tc>
        <w:tc>
          <w:tcPr>
            <w:tcW w:type="dxa" w:w="936"/>
            <w:shd w:fill="FFFFFF"/>
            <w:tcMar>
              <w:top w:w="100" w:type="dxa"/>
              <w:bottom w:w="100" w:type="dxa"/>
              <w:left w:w="150" w:type="dxa"/>
              <w:right w:w="150" w:type="dxa"/>
            </w:tcMar>
          </w:tcPr>
          <w:p>
            <w:pPr>
              <w:jc w:val="right"/>
            </w:pPr>
            <w:r>
              <w:rPr>
                <w:rFonts w:ascii="Arial" w:hAnsi="Arial"/>
                <w:sz w:val="18"/>
              </w:rPr>
              <w:t>1</w:t>
            </w:r>
          </w:p>
        </w:tc>
      </w:tr>
      <w:tr>
        <w:tc>
          <w:tcPr>
            <w:tcW w:type="dxa" w:w="936"/>
            <w:shd w:fill="F2F5F9"/>
            <w:tcMar>
              <w:top w:w="100" w:type="dxa"/>
              <w:bottom w:w="100" w:type="dxa"/>
              <w:left w:w="150" w:type="dxa"/>
              <w:right w:w="150" w:type="dxa"/>
            </w:tcMar>
          </w:tcPr>
          <w:p>
            <w:pPr>
              <w:jc w:val="left"/>
            </w:pPr>
            <w:r>
              <w:rPr>
                <w:rFonts w:ascii="Arial" w:hAnsi="Arial"/>
                <w:sz w:val="18"/>
              </w:rPr>
              <w:t>Gradient Boosting Regressor</w:t>
            </w:r>
          </w:p>
        </w:tc>
        <w:tc>
          <w:tcPr>
            <w:tcW w:type="dxa" w:w="936"/>
            <w:shd w:fill="F2F5F9"/>
            <w:tcMar>
              <w:top w:w="100" w:type="dxa"/>
              <w:bottom w:w="100" w:type="dxa"/>
              <w:left w:w="150" w:type="dxa"/>
              <w:right w:w="150" w:type="dxa"/>
            </w:tcMar>
          </w:tcPr>
          <w:p>
            <w:pPr>
              <w:jc w:val="right"/>
            </w:pPr>
            <w:r>
              <w:rPr>
                <w:rFonts w:ascii="Arial" w:hAnsi="Arial"/>
                <w:sz w:val="18"/>
              </w:rPr>
              <w:t>16,387.7360</w:t>
            </w:r>
          </w:p>
        </w:tc>
        <w:tc>
          <w:tcPr>
            <w:tcW w:type="dxa" w:w="936"/>
            <w:shd w:fill="F2F5F9"/>
            <w:tcMar>
              <w:top w:w="100" w:type="dxa"/>
              <w:bottom w:w="100" w:type="dxa"/>
              <w:left w:w="150" w:type="dxa"/>
              <w:right w:w="150" w:type="dxa"/>
            </w:tcMar>
          </w:tcPr>
          <w:p>
            <w:pPr>
              <w:jc w:val="right"/>
            </w:pPr>
            <w:r>
              <w:rPr>
                <w:rFonts w:ascii="Arial" w:hAnsi="Arial"/>
                <w:sz w:val="18"/>
              </w:rPr>
              <w:t>547,690,466.9787</w:t>
            </w:r>
          </w:p>
        </w:tc>
        <w:tc>
          <w:tcPr>
            <w:tcW w:type="dxa" w:w="936"/>
            <w:shd w:fill="F2F5F9"/>
            <w:tcMar>
              <w:top w:w="100" w:type="dxa"/>
              <w:bottom w:w="100" w:type="dxa"/>
              <w:left w:w="150" w:type="dxa"/>
              <w:right w:w="150" w:type="dxa"/>
            </w:tcMar>
          </w:tcPr>
          <w:p>
            <w:pPr>
              <w:jc w:val="right"/>
            </w:pPr>
            <w:r>
              <w:rPr>
                <w:rFonts w:ascii="Arial" w:hAnsi="Arial"/>
                <w:sz w:val="18"/>
              </w:rPr>
              <w:t>23,402.7876</w:t>
            </w:r>
          </w:p>
        </w:tc>
        <w:tc>
          <w:tcPr>
            <w:tcW w:type="dxa" w:w="936"/>
            <w:shd w:fill="F2F5F9"/>
            <w:tcMar>
              <w:top w:w="100" w:type="dxa"/>
              <w:bottom w:w="100" w:type="dxa"/>
              <w:left w:w="150" w:type="dxa"/>
              <w:right w:w="150" w:type="dxa"/>
            </w:tcMar>
          </w:tcPr>
          <w:p>
            <w:pPr>
              <w:jc w:val="right"/>
            </w:pPr>
            <w:r>
              <w:rPr>
                <w:rFonts w:ascii="Arial" w:hAnsi="Arial"/>
                <w:sz w:val="18"/>
              </w:rPr>
              <w:t>0.8956</w:t>
            </w:r>
          </w:p>
        </w:tc>
        <w:tc>
          <w:tcPr>
            <w:tcW w:type="dxa" w:w="936"/>
            <w:shd w:fill="F2F5F9"/>
            <w:tcMar>
              <w:top w:w="100" w:type="dxa"/>
              <w:bottom w:w="100" w:type="dxa"/>
              <w:left w:w="150" w:type="dxa"/>
              <w:right w:w="150" w:type="dxa"/>
            </w:tcMar>
          </w:tcPr>
          <w:p>
            <w:pPr>
              <w:jc w:val="right"/>
            </w:pPr>
            <w:r>
              <w:rPr>
                <w:rFonts w:ascii="Arial" w:hAnsi="Arial"/>
                <w:sz w:val="18"/>
              </w:rPr>
              <w:t>0.8809</w:t>
            </w:r>
          </w:p>
        </w:tc>
        <w:tc>
          <w:tcPr>
            <w:tcW w:type="dxa" w:w="936"/>
            <w:shd w:fill="F2F5F9"/>
            <w:tcMar>
              <w:top w:w="100" w:type="dxa"/>
              <w:bottom w:w="100" w:type="dxa"/>
              <w:left w:w="150" w:type="dxa"/>
              <w:right w:w="150" w:type="dxa"/>
            </w:tcMar>
          </w:tcPr>
          <w:p>
            <w:pPr>
              <w:jc w:val="right"/>
            </w:pPr>
            <w:r>
              <w:rPr>
                <w:rFonts w:ascii="Arial" w:hAnsi="Arial"/>
                <w:sz w:val="18"/>
              </w:rPr>
              <w:t>0.8934</w:t>
            </w:r>
          </w:p>
        </w:tc>
        <w:tc>
          <w:tcPr>
            <w:tcW w:type="dxa" w:w="936"/>
            <w:shd w:fill="F2F5F9"/>
            <w:tcMar>
              <w:top w:w="100" w:type="dxa"/>
              <w:bottom w:w="100" w:type="dxa"/>
              <w:left w:w="150" w:type="dxa"/>
              <w:right w:w="150" w:type="dxa"/>
            </w:tcMar>
          </w:tcPr>
          <w:p>
            <w:pPr>
              <w:jc w:val="right"/>
            </w:pPr>
            <w:r>
              <w:rPr>
                <w:rFonts w:ascii="Arial" w:hAnsi="Arial"/>
                <w:sz w:val="18"/>
              </w:rPr>
              <w:t>0.9620</w:t>
            </w:r>
          </w:p>
        </w:tc>
        <w:tc>
          <w:tcPr>
            <w:tcW w:type="dxa" w:w="936"/>
            <w:shd w:fill="F2F5F9"/>
            <w:tcMar>
              <w:top w:w="100" w:type="dxa"/>
              <w:bottom w:w="100" w:type="dxa"/>
              <w:left w:w="150" w:type="dxa"/>
              <w:right w:w="150" w:type="dxa"/>
            </w:tcMar>
          </w:tcPr>
          <w:p>
            <w:pPr>
              <w:jc w:val="right"/>
            </w:pPr>
            <w:r>
              <w:rPr>
                <w:rFonts w:ascii="Arial" w:hAnsi="Arial"/>
                <w:sz w:val="18"/>
              </w:rPr>
              <w:t>0.8956</w:t>
            </w:r>
          </w:p>
        </w:tc>
        <w:tc>
          <w:tcPr>
            <w:tcW w:type="dxa" w:w="936"/>
            <w:shd w:fill="F2F5F9"/>
            <w:tcMar>
              <w:top w:w="100" w:type="dxa"/>
              <w:bottom w:w="100" w:type="dxa"/>
              <w:left w:w="150" w:type="dxa"/>
              <w:right w:w="150" w:type="dxa"/>
            </w:tcMar>
          </w:tcPr>
          <w:p>
            <w:pPr>
              <w:jc w:val="right"/>
            </w:pPr>
            <w:r>
              <w:rPr>
                <w:rFonts w:ascii="Arial" w:hAnsi="Arial"/>
                <w:sz w:val="18"/>
              </w:rPr>
              <w:t>2</w:t>
            </w:r>
          </w:p>
        </w:tc>
      </w:tr>
      <w:tr>
        <w:tc>
          <w:tcPr>
            <w:tcW w:type="dxa" w:w="936"/>
            <w:shd w:fill="FFFFFF"/>
            <w:tcMar>
              <w:top w:w="100" w:type="dxa"/>
              <w:bottom w:w="100" w:type="dxa"/>
              <w:left w:w="150" w:type="dxa"/>
              <w:right w:w="150" w:type="dxa"/>
            </w:tcMar>
          </w:tcPr>
          <w:p>
            <w:pPr>
              <w:jc w:val="left"/>
            </w:pPr>
            <w:r>
              <w:rPr>
                <w:rFonts w:ascii="Arial" w:hAnsi="Arial"/>
                <w:sz w:val="18"/>
              </w:rPr>
              <w:t>Random Forest Regressor</w:t>
            </w:r>
          </w:p>
        </w:tc>
        <w:tc>
          <w:tcPr>
            <w:tcW w:type="dxa" w:w="936"/>
            <w:shd w:fill="FFFFFF"/>
            <w:tcMar>
              <w:top w:w="100" w:type="dxa"/>
              <w:bottom w:w="100" w:type="dxa"/>
              <w:left w:w="150" w:type="dxa"/>
              <w:right w:w="150" w:type="dxa"/>
            </w:tcMar>
          </w:tcPr>
          <w:p>
            <w:pPr>
              <w:jc w:val="right"/>
            </w:pPr>
            <w:r>
              <w:rPr>
                <w:rFonts w:ascii="Arial" w:hAnsi="Arial"/>
                <w:sz w:val="18"/>
              </w:rPr>
              <w:t>18,518.4143</w:t>
            </w:r>
          </w:p>
        </w:tc>
        <w:tc>
          <w:tcPr>
            <w:tcW w:type="dxa" w:w="936"/>
            <w:shd w:fill="FFFFFF"/>
            <w:tcMar>
              <w:top w:w="100" w:type="dxa"/>
              <w:bottom w:w="100" w:type="dxa"/>
              <w:left w:w="150" w:type="dxa"/>
              <w:right w:w="150" w:type="dxa"/>
            </w:tcMar>
          </w:tcPr>
          <w:p>
            <w:pPr>
              <w:jc w:val="right"/>
            </w:pPr>
            <w:r>
              <w:rPr>
                <w:rFonts w:ascii="Arial" w:hAnsi="Arial"/>
                <w:sz w:val="18"/>
              </w:rPr>
              <w:t>725,820,964.6462</w:t>
            </w:r>
          </w:p>
        </w:tc>
        <w:tc>
          <w:tcPr>
            <w:tcW w:type="dxa" w:w="936"/>
            <w:shd w:fill="FFFFFF"/>
            <w:tcMar>
              <w:top w:w="100" w:type="dxa"/>
              <w:bottom w:w="100" w:type="dxa"/>
              <w:left w:w="150" w:type="dxa"/>
              <w:right w:w="150" w:type="dxa"/>
            </w:tcMar>
          </w:tcPr>
          <w:p>
            <w:pPr>
              <w:jc w:val="right"/>
            </w:pPr>
            <w:r>
              <w:rPr>
                <w:rFonts w:ascii="Arial" w:hAnsi="Arial"/>
                <w:sz w:val="18"/>
              </w:rPr>
              <w:t>26,941.0647</w:t>
            </w:r>
          </w:p>
        </w:tc>
        <w:tc>
          <w:tcPr>
            <w:tcW w:type="dxa" w:w="936"/>
            <w:shd w:fill="FFFFFF"/>
            <w:tcMar>
              <w:top w:w="100" w:type="dxa"/>
              <w:bottom w:w="100" w:type="dxa"/>
              <w:left w:w="150" w:type="dxa"/>
              <w:right w:w="150" w:type="dxa"/>
            </w:tcMar>
          </w:tcPr>
          <w:p>
            <w:pPr>
              <w:jc w:val="right"/>
            </w:pPr>
            <w:r>
              <w:rPr>
                <w:rFonts w:ascii="Arial" w:hAnsi="Arial"/>
                <w:sz w:val="18"/>
              </w:rPr>
              <w:t>0.8617</w:t>
            </w:r>
          </w:p>
        </w:tc>
        <w:tc>
          <w:tcPr>
            <w:tcW w:type="dxa" w:w="936"/>
            <w:shd w:fill="FFFFFF"/>
            <w:tcMar>
              <w:top w:w="100" w:type="dxa"/>
              <w:bottom w:w="100" w:type="dxa"/>
              <w:left w:w="150" w:type="dxa"/>
              <w:right w:w="150" w:type="dxa"/>
            </w:tcMar>
          </w:tcPr>
          <w:p>
            <w:pPr>
              <w:jc w:val="right"/>
            </w:pPr>
            <w:r>
              <w:rPr>
                <w:rFonts w:ascii="Arial" w:hAnsi="Arial"/>
                <w:sz w:val="18"/>
              </w:rPr>
              <w:t>0.8422</w:t>
            </w:r>
          </w:p>
        </w:tc>
        <w:tc>
          <w:tcPr>
            <w:tcW w:type="dxa" w:w="936"/>
            <w:shd w:fill="FFFFFF"/>
            <w:tcMar>
              <w:top w:w="100" w:type="dxa"/>
              <w:bottom w:w="100" w:type="dxa"/>
              <w:left w:w="150" w:type="dxa"/>
              <w:right w:w="150" w:type="dxa"/>
            </w:tcMar>
          </w:tcPr>
          <w:p>
            <w:pPr>
              <w:jc w:val="right"/>
            </w:pPr>
            <w:r>
              <w:rPr>
                <w:rFonts w:ascii="Arial" w:hAnsi="Arial"/>
                <w:sz w:val="18"/>
              </w:rPr>
              <w:t>0.8696</w:t>
            </w:r>
          </w:p>
        </w:tc>
        <w:tc>
          <w:tcPr>
            <w:tcW w:type="dxa" w:w="936"/>
            <w:shd w:fill="FFFFFF"/>
            <w:tcMar>
              <w:top w:w="100" w:type="dxa"/>
              <w:bottom w:w="100" w:type="dxa"/>
              <w:left w:w="150" w:type="dxa"/>
              <w:right w:w="150" w:type="dxa"/>
            </w:tcMar>
          </w:tcPr>
          <w:p>
            <w:pPr>
              <w:jc w:val="right"/>
            </w:pPr>
            <w:r>
              <w:rPr>
                <w:rFonts w:ascii="Arial" w:hAnsi="Arial"/>
                <w:sz w:val="18"/>
              </w:rPr>
              <w:t>0.9765</w:t>
            </w:r>
          </w:p>
        </w:tc>
        <w:tc>
          <w:tcPr>
            <w:tcW w:type="dxa" w:w="936"/>
            <w:shd w:fill="FFFFFF"/>
            <w:tcMar>
              <w:top w:w="100" w:type="dxa"/>
              <w:bottom w:w="100" w:type="dxa"/>
              <w:left w:w="150" w:type="dxa"/>
              <w:right w:w="150" w:type="dxa"/>
            </w:tcMar>
          </w:tcPr>
          <w:p>
            <w:pPr>
              <w:jc w:val="right"/>
            </w:pPr>
            <w:r>
              <w:rPr>
                <w:rFonts w:ascii="Arial" w:hAnsi="Arial"/>
                <w:sz w:val="18"/>
              </w:rPr>
              <w:t>0.8617</w:t>
            </w:r>
          </w:p>
        </w:tc>
        <w:tc>
          <w:tcPr>
            <w:tcW w:type="dxa" w:w="936"/>
            <w:shd w:fill="FFFFFF"/>
            <w:tcMar>
              <w:top w:w="100" w:type="dxa"/>
              <w:bottom w:w="100" w:type="dxa"/>
              <w:left w:w="150" w:type="dxa"/>
              <w:right w:w="150" w:type="dxa"/>
            </w:tcMar>
          </w:tcPr>
          <w:p>
            <w:pPr>
              <w:jc w:val="right"/>
            </w:pPr>
            <w:r>
              <w:rPr>
                <w:rFonts w:ascii="Arial" w:hAnsi="Arial"/>
                <w:sz w:val="18"/>
              </w:rPr>
              <w:t>3</w:t>
            </w:r>
          </w:p>
        </w:tc>
      </w:tr>
      <w:tr>
        <w:tc>
          <w:tcPr>
            <w:tcW w:type="dxa" w:w="936"/>
            <w:shd w:fill="F2F5F9"/>
            <w:tcMar>
              <w:top w:w="100" w:type="dxa"/>
              <w:bottom w:w="100" w:type="dxa"/>
              <w:left w:w="150" w:type="dxa"/>
              <w:right w:w="150" w:type="dxa"/>
            </w:tcMar>
          </w:tcPr>
          <w:p>
            <w:pPr>
              <w:jc w:val="left"/>
            </w:pPr>
            <w:r>
              <w:rPr>
                <w:rFonts w:ascii="Arial" w:hAnsi="Arial"/>
                <w:sz w:val="18"/>
              </w:rPr>
              <w:t>Decision Tree Regressor</w:t>
            </w:r>
          </w:p>
        </w:tc>
        <w:tc>
          <w:tcPr>
            <w:tcW w:type="dxa" w:w="936"/>
            <w:shd w:fill="F2F5F9"/>
            <w:tcMar>
              <w:top w:w="100" w:type="dxa"/>
              <w:bottom w:w="100" w:type="dxa"/>
              <w:left w:w="150" w:type="dxa"/>
              <w:right w:w="150" w:type="dxa"/>
            </w:tcMar>
          </w:tcPr>
          <w:p>
            <w:pPr>
              <w:jc w:val="right"/>
            </w:pPr>
            <w:r>
              <w:rPr>
                <w:rFonts w:ascii="Arial" w:hAnsi="Arial"/>
                <w:sz w:val="18"/>
              </w:rPr>
              <w:t>25,964.6633</w:t>
            </w:r>
          </w:p>
        </w:tc>
        <w:tc>
          <w:tcPr>
            <w:tcW w:type="dxa" w:w="936"/>
            <w:shd w:fill="F2F5F9"/>
            <w:tcMar>
              <w:top w:w="100" w:type="dxa"/>
              <w:bottom w:w="100" w:type="dxa"/>
              <w:left w:w="150" w:type="dxa"/>
              <w:right w:w="150" w:type="dxa"/>
            </w:tcMar>
          </w:tcPr>
          <w:p>
            <w:pPr>
              <w:jc w:val="right"/>
            </w:pPr>
            <w:r>
              <w:rPr>
                <w:rFonts w:ascii="Arial" w:hAnsi="Arial"/>
                <w:sz w:val="18"/>
              </w:rPr>
              <w:t>1,352,198,745.0093</w:t>
            </w:r>
          </w:p>
        </w:tc>
        <w:tc>
          <w:tcPr>
            <w:tcW w:type="dxa" w:w="936"/>
            <w:shd w:fill="F2F5F9"/>
            <w:tcMar>
              <w:top w:w="100" w:type="dxa"/>
              <w:bottom w:w="100" w:type="dxa"/>
              <w:left w:w="150" w:type="dxa"/>
              <w:right w:w="150" w:type="dxa"/>
            </w:tcMar>
          </w:tcPr>
          <w:p>
            <w:pPr>
              <w:jc w:val="right"/>
            </w:pPr>
            <w:r>
              <w:rPr>
                <w:rFonts w:ascii="Arial" w:hAnsi="Arial"/>
                <w:sz w:val="18"/>
              </w:rPr>
              <w:t>36,772.2551</w:t>
            </w:r>
          </w:p>
        </w:tc>
        <w:tc>
          <w:tcPr>
            <w:tcW w:type="dxa" w:w="936"/>
            <w:shd w:fill="F2F5F9"/>
            <w:tcMar>
              <w:top w:w="100" w:type="dxa"/>
              <w:bottom w:w="100" w:type="dxa"/>
              <w:left w:w="150" w:type="dxa"/>
              <w:right w:w="150" w:type="dxa"/>
            </w:tcMar>
          </w:tcPr>
          <w:p>
            <w:pPr>
              <w:jc w:val="right"/>
            </w:pPr>
            <w:r>
              <w:rPr>
                <w:rFonts w:ascii="Arial" w:hAnsi="Arial"/>
                <w:sz w:val="18"/>
              </w:rPr>
              <w:t>0.7424</w:t>
            </w:r>
          </w:p>
        </w:tc>
        <w:tc>
          <w:tcPr>
            <w:tcW w:type="dxa" w:w="936"/>
            <w:shd w:fill="F2F5F9"/>
            <w:tcMar>
              <w:top w:w="100" w:type="dxa"/>
              <w:bottom w:w="100" w:type="dxa"/>
              <w:left w:w="150" w:type="dxa"/>
              <w:right w:w="150" w:type="dxa"/>
            </w:tcMar>
          </w:tcPr>
          <w:p>
            <w:pPr>
              <w:jc w:val="right"/>
            </w:pPr>
            <w:r>
              <w:rPr>
                <w:rFonts w:ascii="Arial" w:hAnsi="Arial"/>
                <w:sz w:val="18"/>
              </w:rPr>
              <w:t>0.7060</w:t>
            </w:r>
          </w:p>
        </w:tc>
        <w:tc>
          <w:tcPr>
            <w:tcW w:type="dxa" w:w="936"/>
            <w:shd w:fill="F2F5F9"/>
            <w:tcMar>
              <w:top w:w="100" w:type="dxa"/>
              <w:bottom w:w="100" w:type="dxa"/>
              <w:left w:w="150" w:type="dxa"/>
              <w:right w:w="150" w:type="dxa"/>
            </w:tcMar>
          </w:tcPr>
          <w:p>
            <w:pPr>
              <w:jc w:val="right"/>
            </w:pPr>
            <w:r>
              <w:rPr>
                <w:rFonts w:ascii="Arial" w:hAnsi="Arial"/>
                <w:sz w:val="18"/>
              </w:rPr>
              <w:t>0.7752</w:t>
            </w:r>
          </w:p>
        </w:tc>
        <w:tc>
          <w:tcPr>
            <w:tcW w:type="dxa" w:w="936"/>
            <w:shd w:fill="F2F5F9"/>
            <w:tcMar>
              <w:top w:w="100" w:type="dxa"/>
              <w:bottom w:w="100" w:type="dxa"/>
              <w:left w:w="150" w:type="dxa"/>
              <w:right w:w="150" w:type="dxa"/>
            </w:tcMar>
          </w:tcPr>
          <w:p>
            <w:pPr>
              <w:jc w:val="right"/>
            </w:pPr>
            <w:r>
              <w:rPr>
                <w:rFonts w:ascii="Arial" w:hAnsi="Arial"/>
                <w:sz w:val="18"/>
              </w:rPr>
              <w:t>0.8993</w:t>
            </w:r>
          </w:p>
        </w:tc>
        <w:tc>
          <w:tcPr>
            <w:tcW w:type="dxa" w:w="936"/>
            <w:shd w:fill="F2F5F9"/>
            <w:tcMar>
              <w:top w:w="100" w:type="dxa"/>
              <w:bottom w:w="100" w:type="dxa"/>
              <w:left w:w="150" w:type="dxa"/>
              <w:right w:w="150" w:type="dxa"/>
            </w:tcMar>
          </w:tcPr>
          <w:p>
            <w:pPr>
              <w:jc w:val="right"/>
            </w:pPr>
            <w:r>
              <w:rPr>
                <w:rFonts w:ascii="Arial" w:hAnsi="Arial"/>
                <w:sz w:val="18"/>
              </w:rPr>
              <w:t>0.7424</w:t>
            </w:r>
          </w:p>
        </w:tc>
        <w:tc>
          <w:tcPr>
            <w:tcW w:type="dxa" w:w="936"/>
            <w:shd w:fill="F2F5F9"/>
            <w:tcMar>
              <w:top w:w="100" w:type="dxa"/>
              <w:bottom w:w="100" w:type="dxa"/>
              <w:left w:w="150" w:type="dxa"/>
              <w:right w:w="150" w:type="dxa"/>
            </w:tcMar>
          </w:tcPr>
          <w:p>
            <w:pPr>
              <w:jc w:val="right"/>
            </w:pPr>
            <w:r>
              <w:rPr>
                <w:rFonts w:ascii="Arial" w:hAnsi="Arial"/>
                <w:sz w:val="18"/>
              </w:rPr>
              <w:t>4</w:t>
            </w:r>
          </w:p>
        </w:tc>
      </w:tr>
      <w:tr>
        <w:tc>
          <w:tcPr>
            <w:tcW w:type="dxa" w:w="936"/>
            <w:shd w:fill="FFFFFF"/>
            <w:tcMar>
              <w:top w:w="100" w:type="dxa"/>
              <w:bottom w:w="100" w:type="dxa"/>
              <w:left w:w="150" w:type="dxa"/>
              <w:right w:w="150" w:type="dxa"/>
            </w:tcMar>
          </w:tcPr>
          <w:p>
            <w:pPr>
              <w:jc w:val="left"/>
            </w:pPr>
            <w:r>
              <w:rPr>
                <w:rFonts w:ascii="Arial" w:hAnsi="Arial"/>
                <w:sz w:val="18"/>
              </w:rPr>
              <w:t>Simple Linear Regression</w:t>
            </w:r>
          </w:p>
        </w:tc>
        <w:tc>
          <w:tcPr>
            <w:tcW w:type="dxa" w:w="936"/>
            <w:shd w:fill="FFFFFF"/>
            <w:tcMar>
              <w:top w:w="100" w:type="dxa"/>
              <w:bottom w:w="100" w:type="dxa"/>
              <w:left w:w="150" w:type="dxa"/>
              <w:right w:w="150" w:type="dxa"/>
            </w:tcMar>
          </w:tcPr>
          <w:p>
            <w:pPr>
              <w:jc w:val="right"/>
            </w:pPr>
            <w:r>
              <w:rPr>
                <w:rFonts w:ascii="Arial" w:hAnsi="Arial"/>
                <w:sz w:val="18"/>
              </w:rPr>
              <w:t>40,137.3121</w:t>
            </w:r>
          </w:p>
        </w:tc>
        <w:tc>
          <w:tcPr>
            <w:tcW w:type="dxa" w:w="936"/>
            <w:shd w:fill="FFFFFF"/>
            <w:tcMar>
              <w:top w:w="100" w:type="dxa"/>
              <w:bottom w:w="100" w:type="dxa"/>
              <w:left w:w="150" w:type="dxa"/>
              <w:right w:w="150" w:type="dxa"/>
            </w:tcMar>
          </w:tcPr>
          <w:p>
            <w:pPr>
              <w:jc w:val="right"/>
            </w:pPr>
            <w:r>
              <w:rPr>
                <w:rFonts w:ascii="Arial" w:hAnsi="Arial"/>
                <w:sz w:val="18"/>
              </w:rPr>
              <w:t>3,404,754,725.6799</w:t>
            </w:r>
          </w:p>
        </w:tc>
        <w:tc>
          <w:tcPr>
            <w:tcW w:type="dxa" w:w="936"/>
            <w:shd w:fill="FFFFFF"/>
            <w:tcMar>
              <w:top w:w="100" w:type="dxa"/>
              <w:bottom w:w="100" w:type="dxa"/>
              <w:left w:w="150" w:type="dxa"/>
              <w:right w:w="150" w:type="dxa"/>
            </w:tcMar>
          </w:tcPr>
          <w:p>
            <w:pPr>
              <w:jc w:val="right"/>
            </w:pPr>
            <w:r>
              <w:rPr>
                <w:rFonts w:ascii="Arial" w:hAnsi="Arial"/>
                <w:sz w:val="18"/>
              </w:rPr>
              <w:t>58,350.2761</w:t>
            </w:r>
          </w:p>
        </w:tc>
        <w:tc>
          <w:tcPr>
            <w:tcW w:type="dxa" w:w="936"/>
            <w:shd w:fill="FFFFFF"/>
            <w:tcMar>
              <w:top w:w="100" w:type="dxa"/>
              <w:bottom w:w="100" w:type="dxa"/>
              <w:left w:w="150" w:type="dxa"/>
              <w:right w:w="150" w:type="dxa"/>
            </w:tcMar>
          </w:tcPr>
          <w:p>
            <w:pPr>
              <w:jc w:val="right"/>
            </w:pPr>
            <w:r>
              <w:rPr>
                <w:rFonts w:ascii="Arial" w:hAnsi="Arial"/>
                <w:sz w:val="18"/>
              </w:rPr>
              <w:t>0.3513</w:t>
            </w:r>
          </w:p>
        </w:tc>
        <w:tc>
          <w:tcPr>
            <w:tcW w:type="dxa" w:w="936"/>
            <w:shd w:fill="FFFFFF"/>
            <w:tcMar>
              <w:top w:w="100" w:type="dxa"/>
              <w:bottom w:w="100" w:type="dxa"/>
              <w:left w:w="150" w:type="dxa"/>
              <w:right w:w="150" w:type="dxa"/>
            </w:tcMar>
          </w:tcPr>
          <w:p>
            <w:pPr>
              <w:jc w:val="right"/>
            </w:pPr>
            <w:r>
              <w:rPr>
                <w:rFonts w:ascii="Arial" w:hAnsi="Arial"/>
                <w:sz w:val="18"/>
              </w:rPr>
              <w:t>0.3490</w:t>
            </w:r>
          </w:p>
        </w:tc>
        <w:tc>
          <w:tcPr>
            <w:tcW w:type="dxa" w:w="936"/>
            <w:shd w:fill="FFFFFF"/>
            <w:tcMar>
              <w:top w:w="100" w:type="dxa"/>
              <w:bottom w:w="100" w:type="dxa"/>
              <w:left w:w="150" w:type="dxa"/>
              <w:right w:w="150" w:type="dxa"/>
            </w:tcMar>
          </w:tcPr>
          <w:p>
            <w:pPr>
              <w:jc w:val="right"/>
            </w:pPr>
            <w:r>
              <w:rPr>
                <w:rFonts w:ascii="Arial" w:hAnsi="Arial"/>
                <w:sz w:val="18"/>
              </w:rPr>
              <w:t>0.5215</w:t>
            </w:r>
          </w:p>
        </w:tc>
        <w:tc>
          <w:tcPr>
            <w:tcW w:type="dxa" w:w="936"/>
            <w:shd w:fill="FFFFFF"/>
            <w:tcMar>
              <w:top w:w="100" w:type="dxa"/>
              <w:bottom w:w="100" w:type="dxa"/>
              <w:left w:w="150" w:type="dxa"/>
              <w:right w:w="150" w:type="dxa"/>
            </w:tcMar>
          </w:tcPr>
          <w:p>
            <w:pPr>
              <w:jc w:val="right"/>
            </w:pPr>
            <w:r>
              <w:rPr>
                <w:rFonts w:ascii="Arial" w:hAnsi="Arial"/>
                <w:sz w:val="18"/>
              </w:rPr>
              <w:t>0.5121</w:t>
            </w:r>
          </w:p>
        </w:tc>
        <w:tc>
          <w:tcPr>
            <w:tcW w:type="dxa" w:w="936"/>
            <w:shd w:fill="FFFFFF"/>
            <w:tcMar>
              <w:top w:w="100" w:type="dxa"/>
              <w:bottom w:w="100" w:type="dxa"/>
              <w:left w:w="150" w:type="dxa"/>
              <w:right w:w="150" w:type="dxa"/>
            </w:tcMar>
          </w:tcPr>
          <w:p>
            <w:pPr>
              <w:jc w:val="right"/>
            </w:pPr>
            <w:r>
              <w:rPr>
                <w:rFonts w:ascii="Arial" w:hAnsi="Arial"/>
                <w:sz w:val="18"/>
              </w:rPr>
              <w:t>0.3513</w:t>
            </w:r>
          </w:p>
        </w:tc>
        <w:tc>
          <w:tcPr>
            <w:tcW w:type="dxa" w:w="936"/>
            <w:shd w:fill="FFFFFF"/>
            <w:tcMar>
              <w:top w:w="100" w:type="dxa"/>
              <w:bottom w:w="100" w:type="dxa"/>
              <w:left w:w="150" w:type="dxa"/>
              <w:right w:w="150" w:type="dxa"/>
            </w:tcMar>
          </w:tcPr>
          <w:p>
            <w:pPr>
              <w:jc w:val="right"/>
            </w:pPr>
            <w:r>
              <w:rPr>
                <w:rFonts w:ascii="Arial" w:hAnsi="Arial"/>
                <w:sz w:val="18"/>
              </w:rPr>
              <w:t>5</w:t>
            </w:r>
          </w:p>
        </w:tc>
      </w:tr>
    </w:tbl>
    <w:p>
      <w:pPr>
        <w:spacing w:before="0" w:after="120" w:line="276" w:lineRule="auto"/>
      </w:pPr>
    </w:p>
    <w:p>
      <w:pPr>
        <w:pStyle w:val="Heading3"/>
        <w:keepNext/>
        <w:spacing w:before="120" w:after="40" w:line="276" w:lineRule="auto"/>
      </w:pPr>
      <w:r>
        <w:rPr>
          <w:rFonts w:ascii="Arial" w:hAnsi="Arial"/>
          <w:b/>
          <w:i/>
          <w:color w:val="808080"/>
          <w:sz w:val="23"/>
        </w:rPr>
        <w:t>5.2.1 Key Observations and Graphical Interpretation</w:t>
      </w:r>
    </w:p>
    <w:p>
      <w:pPr>
        <w:spacing w:before="0" w:after="120" w:line="276" w:lineRule="auto"/>
      </w:pPr>
      <w:r>
        <w:rPr>
          <w:rFonts w:ascii="Arial" w:hAnsi="Arial"/>
          <w:color w:val="000000"/>
          <w:sz w:val="22"/>
        </w:rPr>
        <w:t>The high dimensionality of Ames (80+ columns, expanding further after One-Hot Encoding) changes the model dynamics. Multiple Linear Regression achieved the best Test R² (0.9038) and an RMSE of $22,470 (Table 2), showing excellent fit. The log-transformation of target (shown in Figure 5) stabilized the residuals, preventing large-dollar properties from dominating the training gradients. Gradient Boosting Regressor achieved the second-best Test R² (0.8956) and an RMSE of $23,403. These results are compared visually in Figure 7.</w:t>
      </w:r>
    </w:p>
    <w:p>
      <w:pPr>
        <w:spacing w:before="0" w:after="120" w:line="276" w:lineRule="auto"/>
      </w:pPr>
      <w:r>
        <w:rPr>
          <w:rFonts w:ascii="Arial" w:hAnsi="Arial"/>
          <w:color w:val="000000"/>
          <w:sz w:val="22"/>
        </w:rPr>
        <w:t>The top numerical feature correlation map is illustrated in Figure 6, where structural indicators like overall quality (OverallQual) and living area (GrLivArea) display dominant positive correlations, serving as primary linear predictors.</w:t>
      </w:r>
    </w:p>
    <w:p>
      <w:pPr>
        <w:spacing w:before="120" w:after="80" w:line="276" w:lineRule="auto"/>
        <w:jc w:val="center"/>
      </w:pPr>
      <w:r>
        <w:drawing>
          <wp:inline xmlns:a="http://schemas.openxmlformats.org/drawingml/2006/main" xmlns:pic="http://schemas.openxmlformats.org/drawingml/2006/picture">
            <wp:extent cx="5029200" cy="1796143"/>
            <wp:docPr id="5" name="Picture 5"/>
            <wp:cNvGraphicFramePr>
              <a:graphicFrameLocks noChangeAspect="1"/>
            </wp:cNvGraphicFramePr>
            <a:graphic>
              <a:graphicData uri="http://schemas.openxmlformats.org/drawingml/2006/picture">
                <pic:pic>
                  <pic:nvPicPr>
                    <pic:cNvPr id="0" name="ames_target_dist.png"/>
                    <pic:cNvPicPr/>
                  </pic:nvPicPr>
                  <pic:blipFill>
                    <a:blip r:embed="rId15"/>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5: Target Distribution (Raw vs. Log-Transformed SalePrice) for Ames Dataset</w:t>
      </w:r>
    </w:p>
    <w:p>
      <w:pPr>
        <w:spacing w:before="120" w:after="80" w:line="276" w:lineRule="auto"/>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ames_correlation_heatmap.png"/>
                    <pic:cNvPicPr/>
                  </pic:nvPicPr>
                  <pic:blipFill>
                    <a:blip r:embed="rId16"/>
                    <a:stretch>
                      <a:fillRect/>
                    </a:stretch>
                  </pic:blipFill>
                  <pic:spPr>
                    <a:xfrm>
                      <a:off x="0" y="0"/>
                      <a:ext cx="5029200" cy="4023360"/>
                    </a:xfrm>
                    <a:prstGeom prst="rect"/>
                  </pic:spPr>
                </pic:pic>
              </a:graphicData>
            </a:graphic>
          </wp:inline>
        </w:drawing>
      </w:r>
    </w:p>
    <w:p>
      <w:pPr>
        <w:spacing w:before="40" w:after="240" w:line="276" w:lineRule="auto"/>
        <w:jc w:val="center"/>
      </w:pPr>
      <w:r>
        <w:rPr>
          <w:rFonts w:ascii="Arial" w:hAnsi="Arial"/>
          <w:i/>
          <w:color w:val="595959"/>
          <w:sz w:val="19"/>
        </w:rPr>
        <w:t>Figure 6: Correlation Heatmap of top numerical features in Ames housing dataset</w:t>
      </w:r>
    </w:p>
    <w:p>
      <w:pPr>
        <w:spacing w:before="120" w:after="80" w:line="276" w:lineRule="auto"/>
        <w:jc w:val="center"/>
      </w:pPr>
      <w:r>
        <w:drawing>
          <wp:inline xmlns:a="http://schemas.openxmlformats.org/drawingml/2006/main" xmlns:pic="http://schemas.openxmlformats.org/drawingml/2006/picture">
            <wp:extent cx="5029200" cy="1796143"/>
            <wp:docPr id="7" name="Picture 7"/>
            <wp:cNvGraphicFramePr>
              <a:graphicFrameLocks noChangeAspect="1"/>
            </wp:cNvGraphicFramePr>
            <a:graphic>
              <a:graphicData uri="http://schemas.openxmlformats.org/drawingml/2006/picture">
                <pic:pic>
                  <pic:nvPicPr>
                    <pic:cNvPr id="0" name="ames_model_comparison.png"/>
                    <pic:cNvPicPr/>
                  </pic:nvPicPr>
                  <pic:blipFill>
                    <a:blip r:embed="rId17"/>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7: Model Comparison (R2 and RMSE) for Ames Dataset</w:t>
      </w:r>
    </w:p>
    <w:p>
      <w:pPr>
        <w:pStyle w:val="Heading2"/>
        <w:keepNext/>
        <w:spacing w:before="240" w:after="80" w:line="276" w:lineRule="auto"/>
      </w:pPr>
      <w:r>
        <w:rPr>
          <w:rFonts w:ascii="Arial" w:hAnsi="Arial"/>
          <w:b/>
          <w:color w:val="595959"/>
          <w:sz w:val="26"/>
        </w:rPr>
        <w:t>5.3 UCI Real Estate Valuation Dataset Results</w:t>
      </w:r>
    </w:p>
    <w:p>
      <w:pPr>
        <w:spacing w:before="0" w:after="120" w:line="276" w:lineRule="auto"/>
      </w:pPr>
      <w:r>
        <w:rPr>
          <w:rFonts w:ascii="Arial" w:hAnsi="Arial"/>
          <w:color w:val="000000"/>
          <w:sz w:val="22"/>
        </w:rPr>
        <w:t>The UCI dataset is small (414 records) and numeric. The results are compiled in Table 3 below:</w:t>
      </w:r>
    </w:p>
    <w:p>
      <w:pPr>
        <w:spacing w:before="240" w:after="80" w:line="276" w:lineRule="auto"/>
        <w:jc w:val="left"/>
      </w:pPr>
      <w:r>
        <w:rPr>
          <w:rFonts w:ascii="Arial" w:hAnsi="Arial"/>
          <w:b/>
          <w:color w:val="2F5597"/>
          <w:sz w:val="20"/>
        </w:rPr>
        <w:t>Table 3: Model Evaluation Metrics - UCI Real Estate Valuation Dataset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2F5597"/>
            <w:tcMar>
              <w:top w:w="100" w:type="dxa"/>
              <w:bottom w:w="100" w:type="dxa"/>
              <w:left w:w="150" w:type="dxa"/>
              <w:right w:w="150" w:type="dxa"/>
            </w:tcMar>
          </w:tcPr>
          <w:p>
            <w:pPr>
              <w:jc w:val="center"/>
            </w:pPr>
            <w:r>
              <w:rPr>
                <w:rFonts w:ascii="Arial" w:hAnsi="Arial"/>
                <w:b/>
                <w:color w:val="FFFFFF"/>
                <w:sz w:val="19"/>
              </w:rPr>
              <w:t>Model</w:t>
            </w:r>
          </w:p>
        </w:tc>
        <w:tc>
          <w:tcPr>
            <w:tcW w:type="dxa" w:w="936"/>
            <w:shd w:fill="2F5597"/>
            <w:tcMar>
              <w:top w:w="100" w:type="dxa"/>
              <w:bottom w:w="100" w:type="dxa"/>
              <w:left w:w="150" w:type="dxa"/>
              <w:right w:w="150" w:type="dxa"/>
            </w:tcMar>
          </w:tcPr>
          <w:p>
            <w:pPr>
              <w:jc w:val="center"/>
            </w:pPr>
            <w:r>
              <w:rPr>
                <w:rFonts w:ascii="Arial" w:hAnsi="Arial"/>
                <w:b/>
                <w:color w:val="FFFFFF"/>
                <w:sz w:val="19"/>
              </w:rPr>
              <w:t>MAE</w:t>
            </w:r>
          </w:p>
        </w:tc>
        <w:tc>
          <w:tcPr>
            <w:tcW w:type="dxa" w:w="936"/>
            <w:shd w:fill="2F5597"/>
            <w:tcMar>
              <w:top w:w="100" w:type="dxa"/>
              <w:bottom w:w="100" w:type="dxa"/>
              <w:left w:w="150" w:type="dxa"/>
              <w:right w:w="150" w:type="dxa"/>
            </w:tcMar>
          </w:tcPr>
          <w:p>
            <w:pPr>
              <w:jc w:val="center"/>
            </w:pPr>
            <w:r>
              <w:rPr>
                <w:rFonts w:ascii="Arial" w:hAnsi="Arial"/>
                <w:b/>
                <w:color w:val="FFFFFF"/>
                <w:sz w:val="19"/>
              </w:rPr>
              <w:t>MSE</w:t>
            </w:r>
          </w:p>
        </w:tc>
        <w:tc>
          <w:tcPr>
            <w:tcW w:type="dxa" w:w="936"/>
            <w:shd w:fill="2F5597"/>
            <w:tcMar>
              <w:top w:w="100" w:type="dxa"/>
              <w:bottom w:w="100" w:type="dxa"/>
              <w:left w:w="150" w:type="dxa"/>
              <w:right w:w="150" w:type="dxa"/>
            </w:tcMar>
          </w:tcPr>
          <w:p>
            <w:pPr>
              <w:jc w:val="center"/>
            </w:pPr>
            <w:r>
              <w:rPr>
                <w:rFonts w:ascii="Arial" w:hAnsi="Arial"/>
                <w:b/>
                <w:color w:val="FFFFFF"/>
                <w:sz w:val="19"/>
              </w:rPr>
              <w:t>RMSE</w:t>
            </w:r>
          </w:p>
        </w:tc>
        <w:tc>
          <w:tcPr>
            <w:tcW w:type="dxa" w:w="936"/>
            <w:shd w:fill="2F5597"/>
            <w:tcMar>
              <w:top w:w="100" w:type="dxa"/>
              <w:bottom w:w="100" w:type="dxa"/>
              <w:left w:w="150" w:type="dxa"/>
              <w:right w:w="150" w:type="dxa"/>
            </w:tcMar>
          </w:tcPr>
          <w:p>
            <w:pPr>
              <w:jc w:val="center"/>
            </w:pPr>
            <w:r>
              <w:rPr>
                <w:rFonts w:ascii="Arial" w:hAnsi="Arial"/>
                <w:b/>
                <w:color w:val="FFFFFF"/>
                <w:sz w:val="19"/>
              </w:rPr>
              <w:t>R2</w:t>
            </w:r>
          </w:p>
        </w:tc>
        <w:tc>
          <w:tcPr>
            <w:tcW w:type="dxa" w:w="936"/>
            <w:shd w:fill="2F5597"/>
            <w:tcMar>
              <w:top w:w="100" w:type="dxa"/>
              <w:bottom w:w="100" w:type="dxa"/>
              <w:left w:w="150" w:type="dxa"/>
              <w:right w:w="150" w:type="dxa"/>
            </w:tcMar>
          </w:tcPr>
          <w:p>
            <w:pPr>
              <w:jc w:val="center"/>
            </w:pPr>
            <w:r>
              <w:rPr>
                <w:rFonts w:ascii="Arial" w:hAnsi="Arial"/>
                <w:b/>
                <w:color w:val="FFFFFF"/>
                <w:sz w:val="19"/>
              </w:rPr>
              <w:t>Adjusted_R2</w:t>
            </w:r>
          </w:p>
        </w:tc>
        <w:tc>
          <w:tcPr>
            <w:tcW w:type="dxa" w:w="936"/>
            <w:shd w:fill="2F5597"/>
            <w:tcMar>
              <w:top w:w="100" w:type="dxa"/>
              <w:bottom w:w="100" w:type="dxa"/>
              <w:left w:w="150" w:type="dxa"/>
              <w:right w:w="150" w:type="dxa"/>
            </w:tcMar>
          </w:tcPr>
          <w:p>
            <w:pPr>
              <w:jc w:val="center"/>
            </w:pPr>
            <w:r>
              <w:rPr>
                <w:rFonts w:ascii="Arial" w:hAnsi="Arial"/>
                <w:b/>
                <w:color w:val="FFFFFF"/>
                <w:sz w:val="19"/>
              </w:rPr>
              <w:t>CV_Score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Training_Score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Testing_Score</w:t>
            </w:r>
          </w:p>
        </w:tc>
        <w:tc>
          <w:tcPr>
            <w:tcW w:type="dxa" w:w="936"/>
            <w:shd w:fill="2F5597"/>
            <w:tcMar>
              <w:top w:w="100" w:type="dxa"/>
              <w:bottom w:w="100" w:type="dxa"/>
              <w:left w:w="150" w:type="dxa"/>
              <w:right w:w="150" w:type="dxa"/>
            </w:tcMar>
          </w:tcPr>
          <w:p>
            <w:pPr>
              <w:jc w:val="center"/>
            </w:pPr>
            <w:r>
              <w:rPr>
                <w:rFonts w:ascii="Arial" w:hAnsi="Arial"/>
                <w:b/>
                <w:color w:val="FFFFFF"/>
                <w:sz w:val="19"/>
              </w:rPr>
              <w:t>Rank</w:t>
            </w:r>
          </w:p>
        </w:tc>
      </w:tr>
      <w:tr>
        <w:tc>
          <w:tcPr>
            <w:tcW w:type="dxa" w:w="936"/>
            <w:shd w:fill="FFFFFF"/>
            <w:tcMar>
              <w:top w:w="100" w:type="dxa"/>
              <w:bottom w:w="100" w:type="dxa"/>
              <w:left w:w="150" w:type="dxa"/>
              <w:right w:w="150" w:type="dxa"/>
            </w:tcMar>
          </w:tcPr>
          <w:p>
            <w:pPr>
              <w:jc w:val="left"/>
            </w:pPr>
            <w:r>
              <w:rPr>
                <w:rFonts w:ascii="Arial" w:hAnsi="Arial"/>
                <w:sz w:val="18"/>
              </w:rPr>
              <w:t>Random Forest Regressor</w:t>
            </w:r>
          </w:p>
        </w:tc>
        <w:tc>
          <w:tcPr>
            <w:tcW w:type="dxa" w:w="936"/>
            <w:shd w:fill="FFFFFF"/>
            <w:tcMar>
              <w:top w:w="100" w:type="dxa"/>
              <w:bottom w:w="100" w:type="dxa"/>
              <w:left w:w="150" w:type="dxa"/>
              <w:right w:w="150" w:type="dxa"/>
            </w:tcMar>
          </w:tcPr>
          <w:p>
            <w:pPr>
              <w:jc w:val="right"/>
            </w:pPr>
            <w:r>
              <w:rPr>
                <w:rFonts w:ascii="Arial" w:hAnsi="Arial"/>
                <w:sz w:val="18"/>
              </w:rPr>
              <w:t>3.9036</w:t>
            </w:r>
          </w:p>
        </w:tc>
        <w:tc>
          <w:tcPr>
            <w:tcW w:type="dxa" w:w="936"/>
            <w:shd w:fill="FFFFFF"/>
            <w:tcMar>
              <w:top w:w="100" w:type="dxa"/>
              <w:bottom w:w="100" w:type="dxa"/>
              <w:left w:w="150" w:type="dxa"/>
              <w:right w:w="150" w:type="dxa"/>
            </w:tcMar>
          </w:tcPr>
          <w:p>
            <w:pPr>
              <w:jc w:val="right"/>
            </w:pPr>
            <w:r>
              <w:rPr>
                <w:rFonts w:ascii="Arial" w:hAnsi="Arial"/>
                <w:sz w:val="18"/>
              </w:rPr>
              <w:t>32.0135</w:t>
            </w:r>
          </w:p>
        </w:tc>
        <w:tc>
          <w:tcPr>
            <w:tcW w:type="dxa" w:w="936"/>
            <w:shd w:fill="FFFFFF"/>
            <w:tcMar>
              <w:top w:w="100" w:type="dxa"/>
              <w:bottom w:w="100" w:type="dxa"/>
              <w:left w:w="150" w:type="dxa"/>
              <w:right w:w="150" w:type="dxa"/>
            </w:tcMar>
          </w:tcPr>
          <w:p>
            <w:pPr>
              <w:jc w:val="right"/>
            </w:pPr>
            <w:r>
              <w:rPr>
                <w:rFonts w:ascii="Arial" w:hAnsi="Arial"/>
                <w:sz w:val="18"/>
              </w:rPr>
              <w:t>5.6580</w:t>
            </w:r>
          </w:p>
        </w:tc>
        <w:tc>
          <w:tcPr>
            <w:tcW w:type="dxa" w:w="936"/>
            <w:shd w:fill="FFFFFF"/>
            <w:tcMar>
              <w:top w:w="100" w:type="dxa"/>
              <w:bottom w:w="100" w:type="dxa"/>
              <w:left w:w="150" w:type="dxa"/>
              <w:right w:w="150" w:type="dxa"/>
            </w:tcMar>
          </w:tcPr>
          <w:p>
            <w:pPr>
              <w:jc w:val="right"/>
            </w:pPr>
            <w:r>
              <w:rPr>
                <w:rFonts w:ascii="Arial" w:hAnsi="Arial"/>
                <w:sz w:val="18"/>
              </w:rPr>
              <w:t>0.8092</w:t>
            </w:r>
          </w:p>
        </w:tc>
        <w:tc>
          <w:tcPr>
            <w:tcW w:type="dxa" w:w="936"/>
            <w:shd w:fill="FFFFFF"/>
            <w:tcMar>
              <w:top w:w="100" w:type="dxa"/>
              <w:bottom w:w="100" w:type="dxa"/>
              <w:left w:w="150" w:type="dxa"/>
              <w:right w:w="150" w:type="dxa"/>
            </w:tcMar>
          </w:tcPr>
          <w:p>
            <w:pPr>
              <w:jc w:val="right"/>
            </w:pPr>
            <w:r>
              <w:rPr>
                <w:rFonts w:ascii="Arial" w:hAnsi="Arial"/>
                <w:sz w:val="18"/>
              </w:rPr>
              <w:t>0.7941</w:t>
            </w:r>
          </w:p>
        </w:tc>
        <w:tc>
          <w:tcPr>
            <w:tcW w:type="dxa" w:w="936"/>
            <w:shd w:fill="FFFFFF"/>
            <w:tcMar>
              <w:top w:w="100" w:type="dxa"/>
              <w:bottom w:w="100" w:type="dxa"/>
              <w:left w:w="150" w:type="dxa"/>
              <w:right w:w="150" w:type="dxa"/>
            </w:tcMar>
          </w:tcPr>
          <w:p>
            <w:pPr>
              <w:jc w:val="right"/>
            </w:pPr>
            <w:r>
              <w:rPr>
                <w:rFonts w:ascii="Arial" w:hAnsi="Arial"/>
                <w:sz w:val="18"/>
              </w:rPr>
              <w:t>0.6521</w:t>
            </w:r>
          </w:p>
        </w:tc>
        <w:tc>
          <w:tcPr>
            <w:tcW w:type="dxa" w:w="936"/>
            <w:shd w:fill="FFFFFF"/>
            <w:tcMar>
              <w:top w:w="100" w:type="dxa"/>
              <w:bottom w:w="100" w:type="dxa"/>
              <w:left w:w="150" w:type="dxa"/>
              <w:right w:w="150" w:type="dxa"/>
            </w:tcMar>
          </w:tcPr>
          <w:p>
            <w:pPr>
              <w:jc w:val="right"/>
            </w:pPr>
            <w:r>
              <w:rPr>
                <w:rFonts w:ascii="Arial" w:hAnsi="Arial"/>
                <w:sz w:val="18"/>
              </w:rPr>
              <w:t>0.9152</w:t>
            </w:r>
          </w:p>
        </w:tc>
        <w:tc>
          <w:tcPr>
            <w:tcW w:type="dxa" w:w="936"/>
            <w:shd w:fill="FFFFFF"/>
            <w:tcMar>
              <w:top w:w="100" w:type="dxa"/>
              <w:bottom w:w="100" w:type="dxa"/>
              <w:left w:w="150" w:type="dxa"/>
              <w:right w:w="150" w:type="dxa"/>
            </w:tcMar>
          </w:tcPr>
          <w:p>
            <w:pPr>
              <w:jc w:val="right"/>
            </w:pPr>
            <w:r>
              <w:rPr>
                <w:rFonts w:ascii="Arial" w:hAnsi="Arial"/>
                <w:sz w:val="18"/>
              </w:rPr>
              <w:t>0.8092</w:t>
            </w:r>
          </w:p>
        </w:tc>
        <w:tc>
          <w:tcPr>
            <w:tcW w:type="dxa" w:w="936"/>
            <w:shd w:fill="FFFFFF"/>
            <w:tcMar>
              <w:top w:w="100" w:type="dxa"/>
              <w:bottom w:w="100" w:type="dxa"/>
              <w:left w:w="150" w:type="dxa"/>
              <w:right w:w="150" w:type="dxa"/>
            </w:tcMar>
          </w:tcPr>
          <w:p>
            <w:pPr>
              <w:jc w:val="right"/>
            </w:pPr>
            <w:r>
              <w:rPr>
                <w:rFonts w:ascii="Arial" w:hAnsi="Arial"/>
                <w:sz w:val="18"/>
              </w:rPr>
              <w:t>1</w:t>
            </w:r>
          </w:p>
        </w:tc>
      </w:tr>
      <w:tr>
        <w:tc>
          <w:tcPr>
            <w:tcW w:type="dxa" w:w="936"/>
            <w:shd w:fill="F2F5F9"/>
            <w:tcMar>
              <w:top w:w="100" w:type="dxa"/>
              <w:bottom w:w="100" w:type="dxa"/>
              <w:left w:w="150" w:type="dxa"/>
              <w:right w:w="150" w:type="dxa"/>
            </w:tcMar>
          </w:tcPr>
          <w:p>
            <w:pPr>
              <w:jc w:val="left"/>
            </w:pPr>
            <w:r>
              <w:rPr>
                <w:rFonts w:ascii="Arial" w:hAnsi="Arial"/>
                <w:sz w:val="18"/>
              </w:rPr>
              <w:t>Gradient Boosting Regressor</w:t>
            </w:r>
          </w:p>
        </w:tc>
        <w:tc>
          <w:tcPr>
            <w:tcW w:type="dxa" w:w="936"/>
            <w:shd w:fill="F2F5F9"/>
            <w:tcMar>
              <w:top w:w="100" w:type="dxa"/>
              <w:bottom w:w="100" w:type="dxa"/>
              <w:left w:w="150" w:type="dxa"/>
              <w:right w:w="150" w:type="dxa"/>
            </w:tcMar>
          </w:tcPr>
          <w:p>
            <w:pPr>
              <w:jc w:val="right"/>
            </w:pPr>
            <w:r>
              <w:rPr>
                <w:rFonts w:ascii="Arial" w:hAnsi="Arial"/>
                <w:sz w:val="18"/>
              </w:rPr>
              <w:t>3.9693</w:t>
            </w:r>
          </w:p>
        </w:tc>
        <w:tc>
          <w:tcPr>
            <w:tcW w:type="dxa" w:w="936"/>
            <w:shd w:fill="F2F5F9"/>
            <w:tcMar>
              <w:top w:w="100" w:type="dxa"/>
              <w:bottom w:w="100" w:type="dxa"/>
              <w:left w:w="150" w:type="dxa"/>
              <w:right w:w="150" w:type="dxa"/>
            </w:tcMar>
          </w:tcPr>
          <w:p>
            <w:pPr>
              <w:jc w:val="right"/>
            </w:pPr>
            <w:r>
              <w:rPr>
                <w:rFonts w:ascii="Arial" w:hAnsi="Arial"/>
                <w:sz w:val="18"/>
              </w:rPr>
              <w:t>36.4142</w:t>
            </w:r>
          </w:p>
        </w:tc>
        <w:tc>
          <w:tcPr>
            <w:tcW w:type="dxa" w:w="936"/>
            <w:shd w:fill="F2F5F9"/>
            <w:tcMar>
              <w:top w:w="100" w:type="dxa"/>
              <w:bottom w:w="100" w:type="dxa"/>
              <w:left w:w="150" w:type="dxa"/>
              <w:right w:w="150" w:type="dxa"/>
            </w:tcMar>
          </w:tcPr>
          <w:p>
            <w:pPr>
              <w:jc w:val="right"/>
            </w:pPr>
            <w:r>
              <w:rPr>
                <w:rFonts w:ascii="Arial" w:hAnsi="Arial"/>
                <w:sz w:val="18"/>
              </w:rPr>
              <w:t>6.0344</w:t>
            </w:r>
          </w:p>
        </w:tc>
        <w:tc>
          <w:tcPr>
            <w:tcW w:type="dxa" w:w="936"/>
            <w:shd w:fill="F2F5F9"/>
            <w:tcMar>
              <w:top w:w="100" w:type="dxa"/>
              <w:bottom w:w="100" w:type="dxa"/>
              <w:left w:w="150" w:type="dxa"/>
              <w:right w:w="150" w:type="dxa"/>
            </w:tcMar>
          </w:tcPr>
          <w:p>
            <w:pPr>
              <w:jc w:val="right"/>
            </w:pPr>
            <w:r>
              <w:rPr>
                <w:rFonts w:ascii="Arial" w:hAnsi="Arial"/>
                <w:sz w:val="18"/>
              </w:rPr>
              <w:t>0.7829</w:t>
            </w:r>
          </w:p>
        </w:tc>
        <w:tc>
          <w:tcPr>
            <w:tcW w:type="dxa" w:w="936"/>
            <w:shd w:fill="F2F5F9"/>
            <w:tcMar>
              <w:top w:w="100" w:type="dxa"/>
              <w:bottom w:w="100" w:type="dxa"/>
              <w:left w:w="150" w:type="dxa"/>
              <w:right w:w="150" w:type="dxa"/>
            </w:tcMar>
          </w:tcPr>
          <w:p>
            <w:pPr>
              <w:jc w:val="right"/>
            </w:pPr>
            <w:r>
              <w:rPr>
                <w:rFonts w:ascii="Arial" w:hAnsi="Arial"/>
                <w:sz w:val="18"/>
              </w:rPr>
              <w:t>0.7658</w:t>
            </w:r>
          </w:p>
        </w:tc>
        <w:tc>
          <w:tcPr>
            <w:tcW w:type="dxa" w:w="936"/>
            <w:shd w:fill="F2F5F9"/>
            <w:tcMar>
              <w:top w:w="100" w:type="dxa"/>
              <w:bottom w:w="100" w:type="dxa"/>
              <w:left w:w="150" w:type="dxa"/>
              <w:right w:w="150" w:type="dxa"/>
            </w:tcMar>
          </w:tcPr>
          <w:p>
            <w:pPr>
              <w:jc w:val="right"/>
            </w:pPr>
            <w:r>
              <w:rPr>
                <w:rFonts w:ascii="Arial" w:hAnsi="Arial"/>
                <w:sz w:val="18"/>
              </w:rPr>
              <w:t>0.6452</w:t>
            </w:r>
          </w:p>
        </w:tc>
        <w:tc>
          <w:tcPr>
            <w:tcW w:type="dxa" w:w="936"/>
            <w:shd w:fill="F2F5F9"/>
            <w:tcMar>
              <w:top w:w="100" w:type="dxa"/>
              <w:bottom w:w="100" w:type="dxa"/>
              <w:left w:w="150" w:type="dxa"/>
              <w:right w:w="150" w:type="dxa"/>
            </w:tcMar>
          </w:tcPr>
          <w:p>
            <w:pPr>
              <w:jc w:val="right"/>
            </w:pPr>
            <w:r>
              <w:rPr>
                <w:rFonts w:ascii="Arial" w:hAnsi="Arial"/>
                <w:sz w:val="18"/>
              </w:rPr>
              <w:t>0.9300</w:t>
            </w:r>
          </w:p>
        </w:tc>
        <w:tc>
          <w:tcPr>
            <w:tcW w:type="dxa" w:w="936"/>
            <w:shd w:fill="F2F5F9"/>
            <w:tcMar>
              <w:top w:w="100" w:type="dxa"/>
              <w:bottom w:w="100" w:type="dxa"/>
              <w:left w:w="150" w:type="dxa"/>
              <w:right w:w="150" w:type="dxa"/>
            </w:tcMar>
          </w:tcPr>
          <w:p>
            <w:pPr>
              <w:jc w:val="right"/>
            </w:pPr>
            <w:r>
              <w:rPr>
                <w:rFonts w:ascii="Arial" w:hAnsi="Arial"/>
                <w:sz w:val="18"/>
              </w:rPr>
              <w:t>0.7829</w:t>
            </w:r>
          </w:p>
        </w:tc>
        <w:tc>
          <w:tcPr>
            <w:tcW w:type="dxa" w:w="936"/>
            <w:shd w:fill="F2F5F9"/>
            <w:tcMar>
              <w:top w:w="100" w:type="dxa"/>
              <w:bottom w:w="100" w:type="dxa"/>
              <w:left w:w="150" w:type="dxa"/>
              <w:right w:w="150" w:type="dxa"/>
            </w:tcMar>
          </w:tcPr>
          <w:p>
            <w:pPr>
              <w:jc w:val="right"/>
            </w:pPr>
            <w:r>
              <w:rPr>
                <w:rFonts w:ascii="Arial" w:hAnsi="Arial"/>
                <w:sz w:val="18"/>
              </w:rPr>
              <w:t>2</w:t>
            </w:r>
          </w:p>
        </w:tc>
      </w:tr>
      <w:tr>
        <w:tc>
          <w:tcPr>
            <w:tcW w:type="dxa" w:w="936"/>
            <w:shd w:fill="FFFFFF"/>
            <w:tcMar>
              <w:top w:w="100" w:type="dxa"/>
              <w:bottom w:w="100" w:type="dxa"/>
              <w:left w:w="150" w:type="dxa"/>
              <w:right w:w="150" w:type="dxa"/>
            </w:tcMar>
          </w:tcPr>
          <w:p>
            <w:pPr>
              <w:jc w:val="left"/>
            </w:pPr>
            <w:r>
              <w:rPr>
                <w:rFonts w:ascii="Arial" w:hAnsi="Arial"/>
                <w:sz w:val="18"/>
              </w:rPr>
              <w:t>Decision Tree Regressor</w:t>
            </w:r>
          </w:p>
        </w:tc>
        <w:tc>
          <w:tcPr>
            <w:tcW w:type="dxa" w:w="936"/>
            <w:shd w:fill="FFFFFF"/>
            <w:tcMar>
              <w:top w:w="100" w:type="dxa"/>
              <w:bottom w:w="100" w:type="dxa"/>
              <w:left w:w="150" w:type="dxa"/>
              <w:right w:w="150" w:type="dxa"/>
            </w:tcMar>
          </w:tcPr>
          <w:p>
            <w:pPr>
              <w:jc w:val="right"/>
            </w:pPr>
            <w:r>
              <w:rPr>
                <w:rFonts w:ascii="Arial" w:hAnsi="Arial"/>
                <w:sz w:val="18"/>
              </w:rPr>
              <w:t>4.4956</w:t>
            </w:r>
          </w:p>
        </w:tc>
        <w:tc>
          <w:tcPr>
            <w:tcW w:type="dxa" w:w="936"/>
            <w:shd w:fill="FFFFFF"/>
            <w:tcMar>
              <w:top w:w="100" w:type="dxa"/>
              <w:bottom w:w="100" w:type="dxa"/>
              <w:left w:w="150" w:type="dxa"/>
              <w:right w:w="150" w:type="dxa"/>
            </w:tcMar>
          </w:tcPr>
          <w:p>
            <w:pPr>
              <w:jc w:val="right"/>
            </w:pPr>
            <w:r>
              <w:rPr>
                <w:rFonts w:ascii="Arial" w:hAnsi="Arial"/>
                <w:sz w:val="18"/>
              </w:rPr>
              <w:t>42.4036</w:t>
            </w:r>
          </w:p>
        </w:tc>
        <w:tc>
          <w:tcPr>
            <w:tcW w:type="dxa" w:w="936"/>
            <w:shd w:fill="FFFFFF"/>
            <w:tcMar>
              <w:top w:w="100" w:type="dxa"/>
              <w:bottom w:w="100" w:type="dxa"/>
              <w:left w:w="150" w:type="dxa"/>
              <w:right w:w="150" w:type="dxa"/>
            </w:tcMar>
          </w:tcPr>
          <w:p>
            <w:pPr>
              <w:jc w:val="right"/>
            </w:pPr>
            <w:r>
              <w:rPr>
                <w:rFonts w:ascii="Arial" w:hAnsi="Arial"/>
                <w:sz w:val="18"/>
              </w:rPr>
              <w:t>6.5118</w:t>
            </w:r>
          </w:p>
        </w:tc>
        <w:tc>
          <w:tcPr>
            <w:tcW w:type="dxa" w:w="936"/>
            <w:shd w:fill="FFFFFF"/>
            <w:tcMar>
              <w:top w:w="100" w:type="dxa"/>
              <w:bottom w:w="100" w:type="dxa"/>
              <w:left w:w="150" w:type="dxa"/>
              <w:right w:w="150" w:type="dxa"/>
            </w:tcMar>
          </w:tcPr>
          <w:p>
            <w:pPr>
              <w:jc w:val="right"/>
            </w:pPr>
            <w:r>
              <w:rPr>
                <w:rFonts w:ascii="Arial" w:hAnsi="Arial"/>
                <w:sz w:val="18"/>
              </w:rPr>
              <w:t>0.7472</w:t>
            </w:r>
          </w:p>
        </w:tc>
        <w:tc>
          <w:tcPr>
            <w:tcW w:type="dxa" w:w="936"/>
            <w:shd w:fill="FFFFFF"/>
            <w:tcMar>
              <w:top w:w="100" w:type="dxa"/>
              <w:bottom w:w="100" w:type="dxa"/>
              <w:left w:w="150" w:type="dxa"/>
              <w:right w:w="150" w:type="dxa"/>
            </w:tcMar>
          </w:tcPr>
          <w:p>
            <w:pPr>
              <w:jc w:val="right"/>
            </w:pPr>
            <w:r>
              <w:rPr>
                <w:rFonts w:ascii="Arial" w:hAnsi="Arial"/>
                <w:sz w:val="18"/>
              </w:rPr>
              <w:t>0.7273</w:t>
            </w:r>
          </w:p>
        </w:tc>
        <w:tc>
          <w:tcPr>
            <w:tcW w:type="dxa" w:w="936"/>
            <w:shd w:fill="FFFFFF"/>
            <w:tcMar>
              <w:top w:w="100" w:type="dxa"/>
              <w:bottom w:w="100" w:type="dxa"/>
              <w:left w:w="150" w:type="dxa"/>
              <w:right w:w="150" w:type="dxa"/>
            </w:tcMar>
          </w:tcPr>
          <w:p>
            <w:pPr>
              <w:jc w:val="right"/>
            </w:pPr>
            <w:r>
              <w:rPr>
                <w:rFonts w:ascii="Arial" w:hAnsi="Arial"/>
                <w:sz w:val="18"/>
              </w:rPr>
              <w:t>0.5846</w:t>
            </w:r>
          </w:p>
        </w:tc>
        <w:tc>
          <w:tcPr>
            <w:tcW w:type="dxa" w:w="936"/>
            <w:shd w:fill="FFFFFF"/>
            <w:tcMar>
              <w:top w:w="100" w:type="dxa"/>
              <w:bottom w:w="100" w:type="dxa"/>
              <w:left w:w="150" w:type="dxa"/>
              <w:right w:w="150" w:type="dxa"/>
            </w:tcMar>
          </w:tcPr>
          <w:p>
            <w:pPr>
              <w:jc w:val="right"/>
            </w:pPr>
            <w:r>
              <w:rPr>
                <w:rFonts w:ascii="Arial" w:hAnsi="Arial"/>
                <w:sz w:val="18"/>
              </w:rPr>
              <w:t>0.8176</w:t>
            </w:r>
          </w:p>
        </w:tc>
        <w:tc>
          <w:tcPr>
            <w:tcW w:type="dxa" w:w="936"/>
            <w:shd w:fill="FFFFFF"/>
            <w:tcMar>
              <w:top w:w="100" w:type="dxa"/>
              <w:bottom w:w="100" w:type="dxa"/>
              <w:left w:w="150" w:type="dxa"/>
              <w:right w:w="150" w:type="dxa"/>
            </w:tcMar>
          </w:tcPr>
          <w:p>
            <w:pPr>
              <w:jc w:val="right"/>
            </w:pPr>
            <w:r>
              <w:rPr>
                <w:rFonts w:ascii="Arial" w:hAnsi="Arial"/>
                <w:sz w:val="18"/>
              </w:rPr>
              <w:t>0.7472</w:t>
            </w:r>
          </w:p>
        </w:tc>
        <w:tc>
          <w:tcPr>
            <w:tcW w:type="dxa" w:w="936"/>
            <w:shd w:fill="FFFFFF"/>
            <w:tcMar>
              <w:top w:w="100" w:type="dxa"/>
              <w:bottom w:w="100" w:type="dxa"/>
              <w:left w:w="150" w:type="dxa"/>
              <w:right w:w="150" w:type="dxa"/>
            </w:tcMar>
          </w:tcPr>
          <w:p>
            <w:pPr>
              <w:jc w:val="right"/>
            </w:pPr>
            <w:r>
              <w:rPr>
                <w:rFonts w:ascii="Arial" w:hAnsi="Arial"/>
                <w:sz w:val="18"/>
              </w:rPr>
              <w:t>3</w:t>
            </w:r>
          </w:p>
        </w:tc>
      </w:tr>
      <w:tr>
        <w:tc>
          <w:tcPr>
            <w:tcW w:type="dxa" w:w="936"/>
            <w:shd w:fill="F2F5F9"/>
            <w:tcMar>
              <w:top w:w="100" w:type="dxa"/>
              <w:bottom w:w="100" w:type="dxa"/>
              <w:left w:w="150" w:type="dxa"/>
              <w:right w:w="150" w:type="dxa"/>
            </w:tcMar>
          </w:tcPr>
          <w:p>
            <w:pPr>
              <w:jc w:val="left"/>
            </w:pPr>
            <w:r>
              <w:rPr>
                <w:rFonts w:ascii="Arial" w:hAnsi="Arial"/>
                <w:sz w:val="18"/>
              </w:rPr>
              <w:t>Multiple Linear Regression</w:t>
            </w:r>
          </w:p>
        </w:tc>
        <w:tc>
          <w:tcPr>
            <w:tcW w:type="dxa" w:w="936"/>
            <w:shd w:fill="F2F5F9"/>
            <w:tcMar>
              <w:top w:w="100" w:type="dxa"/>
              <w:bottom w:w="100" w:type="dxa"/>
              <w:left w:w="150" w:type="dxa"/>
              <w:right w:w="150" w:type="dxa"/>
            </w:tcMar>
          </w:tcPr>
          <w:p>
            <w:pPr>
              <w:jc w:val="right"/>
            </w:pPr>
            <w:r>
              <w:rPr>
                <w:rFonts w:ascii="Arial" w:hAnsi="Arial"/>
                <w:sz w:val="18"/>
              </w:rPr>
              <w:t>5.3052</w:t>
            </w:r>
          </w:p>
        </w:tc>
        <w:tc>
          <w:tcPr>
            <w:tcW w:type="dxa" w:w="936"/>
            <w:shd w:fill="F2F5F9"/>
            <w:tcMar>
              <w:top w:w="100" w:type="dxa"/>
              <w:bottom w:w="100" w:type="dxa"/>
              <w:left w:w="150" w:type="dxa"/>
              <w:right w:w="150" w:type="dxa"/>
            </w:tcMar>
          </w:tcPr>
          <w:p>
            <w:pPr>
              <w:jc w:val="right"/>
            </w:pPr>
            <w:r>
              <w:rPr>
                <w:rFonts w:ascii="Arial" w:hAnsi="Arial"/>
                <w:sz w:val="18"/>
              </w:rPr>
              <w:t>53.5023</w:t>
            </w:r>
          </w:p>
        </w:tc>
        <w:tc>
          <w:tcPr>
            <w:tcW w:type="dxa" w:w="936"/>
            <w:shd w:fill="F2F5F9"/>
            <w:tcMar>
              <w:top w:w="100" w:type="dxa"/>
              <w:bottom w:w="100" w:type="dxa"/>
              <w:left w:w="150" w:type="dxa"/>
              <w:right w:w="150" w:type="dxa"/>
            </w:tcMar>
          </w:tcPr>
          <w:p>
            <w:pPr>
              <w:jc w:val="right"/>
            </w:pPr>
            <w:r>
              <w:rPr>
                <w:rFonts w:ascii="Arial" w:hAnsi="Arial"/>
                <w:sz w:val="18"/>
              </w:rPr>
              <w:t>7.3145</w:t>
            </w:r>
          </w:p>
        </w:tc>
        <w:tc>
          <w:tcPr>
            <w:tcW w:type="dxa" w:w="936"/>
            <w:shd w:fill="F2F5F9"/>
            <w:tcMar>
              <w:top w:w="100" w:type="dxa"/>
              <w:bottom w:w="100" w:type="dxa"/>
              <w:left w:w="150" w:type="dxa"/>
              <w:right w:w="150" w:type="dxa"/>
            </w:tcMar>
          </w:tcPr>
          <w:p>
            <w:pPr>
              <w:jc w:val="right"/>
            </w:pPr>
            <w:r>
              <w:rPr>
                <w:rFonts w:ascii="Arial" w:hAnsi="Arial"/>
                <w:sz w:val="18"/>
              </w:rPr>
              <w:t>0.6811</w:t>
            </w:r>
          </w:p>
        </w:tc>
        <w:tc>
          <w:tcPr>
            <w:tcW w:type="dxa" w:w="936"/>
            <w:shd w:fill="F2F5F9"/>
            <w:tcMar>
              <w:top w:w="100" w:type="dxa"/>
              <w:bottom w:w="100" w:type="dxa"/>
              <w:left w:w="150" w:type="dxa"/>
              <w:right w:w="150" w:type="dxa"/>
            </w:tcMar>
          </w:tcPr>
          <w:p>
            <w:pPr>
              <w:jc w:val="right"/>
            </w:pPr>
            <w:r>
              <w:rPr>
                <w:rFonts w:ascii="Arial" w:hAnsi="Arial"/>
                <w:sz w:val="18"/>
              </w:rPr>
              <w:t>0.6559</w:t>
            </w:r>
          </w:p>
        </w:tc>
        <w:tc>
          <w:tcPr>
            <w:tcW w:type="dxa" w:w="936"/>
            <w:shd w:fill="F2F5F9"/>
            <w:tcMar>
              <w:top w:w="100" w:type="dxa"/>
              <w:bottom w:w="100" w:type="dxa"/>
              <w:left w:w="150" w:type="dxa"/>
              <w:right w:w="150" w:type="dxa"/>
            </w:tcMar>
          </w:tcPr>
          <w:p>
            <w:pPr>
              <w:jc w:val="right"/>
            </w:pPr>
            <w:r>
              <w:rPr>
                <w:rFonts w:ascii="Arial" w:hAnsi="Arial"/>
                <w:sz w:val="18"/>
              </w:rPr>
              <w:t>0.5396</w:t>
            </w:r>
          </w:p>
        </w:tc>
        <w:tc>
          <w:tcPr>
            <w:tcW w:type="dxa" w:w="936"/>
            <w:shd w:fill="F2F5F9"/>
            <w:tcMar>
              <w:top w:w="100" w:type="dxa"/>
              <w:bottom w:w="100" w:type="dxa"/>
              <w:left w:w="150" w:type="dxa"/>
              <w:right w:w="150" w:type="dxa"/>
            </w:tcMar>
          </w:tcPr>
          <w:p>
            <w:pPr>
              <w:jc w:val="right"/>
            </w:pPr>
            <w:r>
              <w:rPr>
                <w:rFonts w:ascii="Arial" w:hAnsi="Arial"/>
                <w:sz w:val="18"/>
              </w:rPr>
              <w:t>0.5581</w:t>
            </w:r>
          </w:p>
        </w:tc>
        <w:tc>
          <w:tcPr>
            <w:tcW w:type="dxa" w:w="936"/>
            <w:shd w:fill="F2F5F9"/>
            <w:tcMar>
              <w:top w:w="100" w:type="dxa"/>
              <w:bottom w:w="100" w:type="dxa"/>
              <w:left w:w="150" w:type="dxa"/>
              <w:right w:w="150" w:type="dxa"/>
            </w:tcMar>
          </w:tcPr>
          <w:p>
            <w:pPr>
              <w:jc w:val="right"/>
            </w:pPr>
            <w:r>
              <w:rPr>
                <w:rFonts w:ascii="Arial" w:hAnsi="Arial"/>
                <w:sz w:val="18"/>
              </w:rPr>
              <w:t>0.6811</w:t>
            </w:r>
          </w:p>
        </w:tc>
        <w:tc>
          <w:tcPr>
            <w:tcW w:type="dxa" w:w="936"/>
            <w:shd w:fill="F2F5F9"/>
            <w:tcMar>
              <w:top w:w="100" w:type="dxa"/>
              <w:bottom w:w="100" w:type="dxa"/>
              <w:left w:w="150" w:type="dxa"/>
              <w:right w:w="150" w:type="dxa"/>
            </w:tcMar>
          </w:tcPr>
          <w:p>
            <w:pPr>
              <w:jc w:val="right"/>
            </w:pPr>
            <w:r>
              <w:rPr>
                <w:rFonts w:ascii="Arial" w:hAnsi="Arial"/>
                <w:sz w:val="18"/>
              </w:rPr>
              <w:t>4</w:t>
            </w:r>
          </w:p>
        </w:tc>
      </w:tr>
      <w:tr>
        <w:tc>
          <w:tcPr>
            <w:tcW w:type="dxa" w:w="936"/>
            <w:shd w:fill="FFFFFF"/>
            <w:tcMar>
              <w:top w:w="100" w:type="dxa"/>
              <w:bottom w:w="100" w:type="dxa"/>
              <w:left w:w="150" w:type="dxa"/>
              <w:right w:w="150" w:type="dxa"/>
            </w:tcMar>
          </w:tcPr>
          <w:p>
            <w:pPr>
              <w:jc w:val="left"/>
            </w:pPr>
            <w:r>
              <w:rPr>
                <w:rFonts w:ascii="Arial" w:hAnsi="Arial"/>
                <w:sz w:val="18"/>
              </w:rPr>
              <w:t>Simple Linear Regression</w:t>
            </w:r>
          </w:p>
        </w:tc>
        <w:tc>
          <w:tcPr>
            <w:tcW w:type="dxa" w:w="936"/>
            <w:shd w:fill="FFFFFF"/>
            <w:tcMar>
              <w:top w:w="100" w:type="dxa"/>
              <w:bottom w:w="100" w:type="dxa"/>
              <w:left w:w="150" w:type="dxa"/>
              <w:right w:w="150" w:type="dxa"/>
            </w:tcMar>
          </w:tcPr>
          <w:p>
            <w:pPr>
              <w:jc w:val="right"/>
            </w:pPr>
            <w:r>
              <w:rPr>
                <w:rFonts w:ascii="Arial" w:hAnsi="Arial"/>
                <w:sz w:val="18"/>
              </w:rPr>
              <w:t>6.9210</w:t>
            </w:r>
          </w:p>
        </w:tc>
        <w:tc>
          <w:tcPr>
            <w:tcW w:type="dxa" w:w="936"/>
            <w:shd w:fill="FFFFFF"/>
            <w:tcMar>
              <w:top w:w="100" w:type="dxa"/>
              <w:bottom w:w="100" w:type="dxa"/>
              <w:left w:w="150" w:type="dxa"/>
              <w:right w:w="150" w:type="dxa"/>
            </w:tcMar>
          </w:tcPr>
          <w:p>
            <w:pPr>
              <w:jc w:val="right"/>
            </w:pPr>
            <w:r>
              <w:rPr>
                <w:rFonts w:ascii="Arial" w:hAnsi="Arial"/>
                <w:sz w:val="18"/>
              </w:rPr>
              <w:t>77.3440</w:t>
            </w:r>
          </w:p>
        </w:tc>
        <w:tc>
          <w:tcPr>
            <w:tcW w:type="dxa" w:w="936"/>
            <w:shd w:fill="FFFFFF"/>
            <w:tcMar>
              <w:top w:w="100" w:type="dxa"/>
              <w:bottom w:w="100" w:type="dxa"/>
              <w:left w:w="150" w:type="dxa"/>
              <w:right w:w="150" w:type="dxa"/>
            </w:tcMar>
          </w:tcPr>
          <w:p>
            <w:pPr>
              <w:jc w:val="right"/>
            </w:pPr>
            <w:r>
              <w:rPr>
                <w:rFonts w:ascii="Arial" w:hAnsi="Arial"/>
                <w:sz w:val="18"/>
              </w:rPr>
              <w:t>8.7945</w:t>
            </w:r>
          </w:p>
        </w:tc>
        <w:tc>
          <w:tcPr>
            <w:tcW w:type="dxa" w:w="936"/>
            <w:shd w:fill="FFFFFF"/>
            <w:tcMar>
              <w:top w:w="100" w:type="dxa"/>
              <w:bottom w:w="100" w:type="dxa"/>
              <w:left w:w="150" w:type="dxa"/>
              <w:right w:w="150" w:type="dxa"/>
            </w:tcMar>
          </w:tcPr>
          <w:p>
            <w:pPr>
              <w:jc w:val="right"/>
            </w:pPr>
            <w:r>
              <w:rPr>
                <w:rFonts w:ascii="Arial" w:hAnsi="Arial"/>
                <w:sz w:val="18"/>
              </w:rPr>
              <w:t>0.5390</w:t>
            </w:r>
          </w:p>
        </w:tc>
        <w:tc>
          <w:tcPr>
            <w:tcW w:type="dxa" w:w="936"/>
            <w:shd w:fill="FFFFFF"/>
            <w:tcMar>
              <w:top w:w="100" w:type="dxa"/>
              <w:bottom w:w="100" w:type="dxa"/>
              <w:left w:w="150" w:type="dxa"/>
              <w:right w:w="150" w:type="dxa"/>
            </w:tcMar>
          </w:tcPr>
          <w:p>
            <w:pPr>
              <w:jc w:val="right"/>
            </w:pPr>
            <w:r>
              <w:rPr>
                <w:rFonts w:ascii="Arial" w:hAnsi="Arial"/>
                <w:sz w:val="18"/>
              </w:rPr>
              <w:t>0.5333</w:t>
            </w:r>
          </w:p>
        </w:tc>
        <w:tc>
          <w:tcPr>
            <w:tcW w:type="dxa" w:w="936"/>
            <w:shd w:fill="FFFFFF"/>
            <w:tcMar>
              <w:top w:w="100" w:type="dxa"/>
              <w:bottom w:w="100" w:type="dxa"/>
              <w:left w:w="150" w:type="dxa"/>
              <w:right w:w="150" w:type="dxa"/>
            </w:tcMar>
          </w:tcPr>
          <w:p>
            <w:pPr>
              <w:jc w:val="right"/>
            </w:pPr>
            <w:r>
              <w:rPr>
                <w:rFonts w:ascii="Arial" w:hAnsi="Arial"/>
                <w:sz w:val="18"/>
              </w:rPr>
              <w:t>0.4202</w:t>
            </w:r>
          </w:p>
        </w:tc>
        <w:tc>
          <w:tcPr>
            <w:tcW w:type="dxa" w:w="936"/>
            <w:shd w:fill="FFFFFF"/>
            <w:tcMar>
              <w:top w:w="100" w:type="dxa"/>
              <w:bottom w:w="100" w:type="dxa"/>
              <w:left w:w="150" w:type="dxa"/>
              <w:right w:w="150" w:type="dxa"/>
            </w:tcMar>
          </w:tcPr>
          <w:p>
            <w:pPr>
              <w:jc w:val="right"/>
            </w:pPr>
            <w:r>
              <w:rPr>
                <w:rFonts w:ascii="Arial" w:hAnsi="Arial"/>
                <w:sz w:val="18"/>
              </w:rPr>
              <w:t>0.4317</w:t>
            </w:r>
          </w:p>
        </w:tc>
        <w:tc>
          <w:tcPr>
            <w:tcW w:type="dxa" w:w="936"/>
            <w:shd w:fill="FFFFFF"/>
            <w:tcMar>
              <w:top w:w="100" w:type="dxa"/>
              <w:bottom w:w="100" w:type="dxa"/>
              <w:left w:w="150" w:type="dxa"/>
              <w:right w:w="150" w:type="dxa"/>
            </w:tcMar>
          </w:tcPr>
          <w:p>
            <w:pPr>
              <w:jc w:val="right"/>
            </w:pPr>
            <w:r>
              <w:rPr>
                <w:rFonts w:ascii="Arial" w:hAnsi="Arial"/>
                <w:sz w:val="18"/>
              </w:rPr>
              <w:t>0.5390</w:t>
            </w:r>
          </w:p>
        </w:tc>
        <w:tc>
          <w:tcPr>
            <w:tcW w:type="dxa" w:w="936"/>
            <w:shd w:fill="FFFFFF"/>
            <w:tcMar>
              <w:top w:w="100" w:type="dxa"/>
              <w:bottom w:w="100" w:type="dxa"/>
              <w:left w:w="150" w:type="dxa"/>
              <w:right w:w="150" w:type="dxa"/>
            </w:tcMar>
          </w:tcPr>
          <w:p>
            <w:pPr>
              <w:jc w:val="right"/>
            </w:pPr>
            <w:r>
              <w:rPr>
                <w:rFonts w:ascii="Arial" w:hAnsi="Arial"/>
                <w:sz w:val="18"/>
              </w:rPr>
              <w:t>5</w:t>
            </w:r>
          </w:p>
        </w:tc>
      </w:tr>
    </w:tbl>
    <w:p>
      <w:pPr>
        <w:spacing w:before="0" w:after="120" w:line="276" w:lineRule="auto"/>
      </w:pPr>
    </w:p>
    <w:p>
      <w:pPr>
        <w:pStyle w:val="Heading3"/>
        <w:keepNext/>
        <w:spacing w:before="120" w:after="40" w:line="276" w:lineRule="auto"/>
      </w:pPr>
      <w:r>
        <w:rPr>
          <w:rFonts w:ascii="Arial" w:hAnsi="Arial"/>
          <w:b/>
          <w:i/>
          <w:color w:val="808080"/>
          <w:sz w:val="23"/>
        </w:rPr>
        <w:t>5.3.1 Key Observations and Graphical Interpretation</w:t>
      </w:r>
    </w:p>
    <w:p>
      <w:pPr>
        <w:spacing w:before="0" w:after="120" w:line="276" w:lineRule="auto"/>
      </w:pPr>
      <w:r>
        <w:rPr>
          <w:rFonts w:ascii="Arial" w:hAnsi="Arial"/>
          <w:color w:val="000000"/>
          <w:sz w:val="22"/>
        </w:rPr>
        <w:t>The model comparison in Table 3 and Figure 10 shows that the Random Forest Regressor yielded the highest Test R² (0.8092) closely followed by Gradient Boosting (0.7829). Multiple Linear Regression achieved 0.6811. Simple Linear Regression on 'distance to nearest MRT station' (Figure 9) achieved a Test R² of 0.5390. This confirms that physical proximity to transit is a very strong driver of real estate values in Taiwan's urban landscape, explaining more than half of the price variance on its own. Target distribution and correlations are visualized in Figure 8 and Figure 9.</w:t>
      </w:r>
    </w:p>
    <w:p>
      <w:pPr>
        <w:spacing w:before="120" w:after="80" w:line="276" w:lineRule="auto"/>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uci_target_dist.png"/>
                    <pic:cNvPicPr/>
                  </pic:nvPicPr>
                  <pic:blipFill>
                    <a:blip r:embed="rId18"/>
                    <a:stretch>
                      <a:fillRect/>
                    </a:stretch>
                  </pic:blipFill>
                  <pic:spPr>
                    <a:xfrm>
                      <a:off x="0" y="0"/>
                      <a:ext cx="5029200" cy="3143250"/>
                    </a:xfrm>
                    <a:prstGeom prst="rect"/>
                  </pic:spPr>
                </pic:pic>
              </a:graphicData>
            </a:graphic>
          </wp:inline>
        </w:drawing>
      </w:r>
    </w:p>
    <w:p>
      <w:pPr>
        <w:spacing w:before="40" w:after="240" w:line="276" w:lineRule="auto"/>
        <w:jc w:val="center"/>
      </w:pPr>
      <w:r>
        <w:rPr>
          <w:rFonts w:ascii="Arial" w:hAnsi="Arial"/>
          <w:i/>
          <w:color w:val="595959"/>
          <w:sz w:val="19"/>
        </w:rPr>
        <w:t>Figure 8: Target Distribution (Y house price of unit area) for UCI Dataset</w:t>
      </w:r>
    </w:p>
    <w:p>
      <w:pPr>
        <w:spacing w:before="120" w:after="80" w:line="276" w:lineRule="auto"/>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uci_correlation_heatmap.png"/>
                    <pic:cNvPicPr/>
                  </pic:nvPicPr>
                  <pic:blipFill>
                    <a:blip r:embed="rId19"/>
                    <a:stretch>
                      <a:fillRect/>
                    </a:stretch>
                  </pic:blipFill>
                  <pic:spPr>
                    <a:xfrm>
                      <a:off x="0" y="0"/>
                      <a:ext cx="5029200" cy="4023360"/>
                    </a:xfrm>
                    <a:prstGeom prst="rect"/>
                  </pic:spPr>
                </pic:pic>
              </a:graphicData>
            </a:graphic>
          </wp:inline>
        </w:drawing>
      </w:r>
    </w:p>
    <w:p>
      <w:pPr>
        <w:spacing w:before="40" w:after="240" w:line="276" w:lineRule="auto"/>
        <w:jc w:val="center"/>
      </w:pPr>
      <w:r>
        <w:rPr>
          <w:rFonts w:ascii="Arial" w:hAnsi="Arial"/>
          <w:i/>
          <w:color w:val="595959"/>
          <w:sz w:val="19"/>
        </w:rPr>
        <w:t>Figure 9: Correlation Heatmap showing spatial and physical correlations in UCI dataset</w:t>
      </w:r>
    </w:p>
    <w:p>
      <w:pPr>
        <w:spacing w:before="120" w:after="80" w:line="276" w:lineRule="auto"/>
        <w:jc w:val="center"/>
      </w:pPr>
      <w:r>
        <w:drawing>
          <wp:inline xmlns:a="http://schemas.openxmlformats.org/drawingml/2006/main" xmlns:pic="http://schemas.openxmlformats.org/drawingml/2006/picture">
            <wp:extent cx="5029200" cy="1796143"/>
            <wp:docPr id="10" name="Picture 10"/>
            <wp:cNvGraphicFramePr>
              <a:graphicFrameLocks noChangeAspect="1"/>
            </wp:cNvGraphicFramePr>
            <a:graphic>
              <a:graphicData uri="http://schemas.openxmlformats.org/drawingml/2006/picture">
                <pic:pic>
                  <pic:nvPicPr>
                    <pic:cNvPr id="0" name="uci_model_comparison.png"/>
                    <pic:cNvPicPr/>
                  </pic:nvPicPr>
                  <pic:blipFill>
                    <a:blip r:embed="rId20"/>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10: Model Comparison (R2 and RMSE) for UCI Dataset</w:t>
      </w:r>
    </w:p>
    <w:p>
      <w:pPr>
        <w:pStyle w:val="Heading1"/>
        <w:keepNext/>
        <w:spacing w:before="360" w:after="120" w:line="276" w:lineRule="auto"/>
      </w:pPr>
      <w:r>
        <w:rPr>
          <w:rFonts w:ascii="Arial" w:hAnsi="Arial"/>
          <w:b/>
          <w:color w:val="2F5597"/>
          <w:sz w:val="32"/>
        </w:rPr>
        <w:t>Chapter 6: Residual Analysis &amp; Model Assumptions</w:t>
      </w:r>
    </w:p>
    <w:p>
      <w:pPr>
        <w:spacing w:before="0" w:after="120" w:line="276" w:lineRule="auto"/>
      </w:pPr>
      <w:r>
        <w:rPr>
          <w:rFonts w:ascii="Arial" w:hAnsi="Arial"/>
          <w:color w:val="000000"/>
          <w:sz w:val="22"/>
        </w:rPr>
        <w:t>Residual analysis is critical to verify the statistical assumptions of regression models (linearity, homoscedasticity, independence, and normality of error terms):</w:t>
      </w:r>
    </w:p>
    <w:p>
      <w:pPr>
        <w:pStyle w:val="Heading2"/>
        <w:keepNext/>
        <w:spacing w:before="240" w:after="80" w:line="276" w:lineRule="auto"/>
      </w:pPr>
      <w:r>
        <w:rPr>
          <w:rFonts w:ascii="Arial" w:hAnsi="Arial"/>
          <w:b/>
          <w:color w:val="595959"/>
          <w:sz w:val="26"/>
        </w:rPr>
        <w:t>6.1 Homoscedasticity vs Heteroscedasticity</w:t>
      </w:r>
    </w:p>
    <w:p>
      <w:pPr>
        <w:spacing w:before="0" w:after="120" w:line="276" w:lineRule="auto"/>
      </w:pPr>
      <w:r>
        <w:rPr>
          <w:rFonts w:ascii="Arial" w:hAnsi="Arial"/>
          <w:color w:val="000000"/>
          <w:sz w:val="22"/>
        </w:rPr>
        <w:t>Linear Regression models assume homoscedasticity (constant variance of residuals across all levels of predicted values). When we look at the Multiple Linear Regression residuals for California, we observe moderate heteroscedasticity; as the predicted value increases, the spread of residuals expands. This indicates a non-linear interaction that a linear model cannot capture. In contrast, tree ensembles like Random Forest and Gradient Boosting show a tight, uniform cluster of residuals around zero, confirming their ability to capture complex relationships. This uniform variance is illustrated in Figure 11 for Gradient Boosting on the California dataset, and in Figure 13 for Random Forest on the UCI dataset.</w:t>
      </w:r>
    </w:p>
    <w:p>
      <w:pPr>
        <w:pStyle w:val="Heading2"/>
        <w:keepNext/>
        <w:spacing w:before="240" w:after="80" w:line="276" w:lineRule="auto"/>
      </w:pPr>
      <w:r>
        <w:rPr>
          <w:rFonts w:ascii="Arial" w:hAnsi="Arial"/>
          <w:b/>
          <w:color w:val="595959"/>
          <w:sz w:val="26"/>
        </w:rPr>
        <w:t>6.2 Normality of Residuals</w:t>
      </w:r>
    </w:p>
    <w:p>
      <w:pPr>
        <w:spacing w:before="0" w:after="120" w:line="276" w:lineRule="auto"/>
      </w:pPr>
      <w:r>
        <w:rPr>
          <w:rFonts w:ascii="Arial" w:hAnsi="Arial"/>
          <w:color w:val="000000"/>
          <w:sz w:val="22"/>
        </w:rPr>
        <w:t>For the Ames dataset, the raw distribution of SalePrice was highly right-skewed, which led to a heavily skewed distribution of residuals during initial testing. Implementing the log1p transform on the target normalized the residual distribution. The resulting histogram (Figure 12) displays a near-perfect bell curve centered at zero, satisfying the assumption of normality of errors. For California and UCI, the residual distributions are also centered around zero, though California displays minor tails due to the ceiling effect (house values capped at 5.0 in the raw dataset).</w:t>
      </w:r>
    </w:p>
    <w:p>
      <w:pPr>
        <w:spacing w:before="120" w:after="80" w:line="276" w:lineRule="auto"/>
        <w:jc w:val="center"/>
      </w:pPr>
      <w:r>
        <w:drawing>
          <wp:inline xmlns:a="http://schemas.openxmlformats.org/drawingml/2006/main" xmlns:pic="http://schemas.openxmlformats.org/drawingml/2006/picture">
            <wp:extent cx="5029200" cy="1796143"/>
            <wp:docPr id="11" name="Picture 11"/>
            <wp:cNvGraphicFramePr>
              <a:graphicFrameLocks noChangeAspect="1"/>
            </wp:cNvGraphicFramePr>
            <a:graphic>
              <a:graphicData uri="http://schemas.openxmlformats.org/drawingml/2006/picture">
                <pic:pic>
                  <pic:nvPicPr>
                    <pic:cNvPr id="0" name="california_gradient_boosting_regressor_residuals.png"/>
                    <pic:cNvPicPr/>
                  </pic:nvPicPr>
                  <pic:blipFill>
                    <a:blip r:embed="rId21"/>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11: Residual Analysis (Scatter &amp; Histogram) for Gradient Boosting on California Dataset</w:t>
      </w:r>
    </w:p>
    <w:p>
      <w:pPr>
        <w:spacing w:before="120" w:after="80" w:line="276" w:lineRule="auto"/>
        <w:jc w:val="center"/>
      </w:pPr>
      <w:r>
        <w:drawing>
          <wp:inline xmlns:a="http://schemas.openxmlformats.org/drawingml/2006/main" xmlns:pic="http://schemas.openxmlformats.org/drawingml/2006/picture">
            <wp:extent cx="5029200" cy="1796143"/>
            <wp:docPr id="12" name="Picture 12"/>
            <wp:cNvGraphicFramePr>
              <a:graphicFrameLocks noChangeAspect="1"/>
            </wp:cNvGraphicFramePr>
            <a:graphic>
              <a:graphicData uri="http://schemas.openxmlformats.org/drawingml/2006/picture">
                <pic:pic>
                  <pic:nvPicPr>
                    <pic:cNvPr id="0" name="ames_gradient_boosting_regressor_residuals.png"/>
                    <pic:cNvPicPr/>
                  </pic:nvPicPr>
                  <pic:blipFill>
                    <a:blip r:embed="rId22"/>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12: Residual Analysis for Gradient Boosting on Ames Dataset (Log-Transformed scale)</w:t>
      </w:r>
    </w:p>
    <w:p>
      <w:pPr>
        <w:spacing w:before="120" w:after="80" w:line="276" w:lineRule="auto"/>
        <w:jc w:val="center"/>
      </w:pPr>
      <w:r>
        <w:drawing>
          <wp:inline xmlns:a="http://schemas.openxmlformats.org/drawingml/2006/main" xmlns:pic="http://schemas.openxmlformats.org/drawingml/2006/picture">
            <wp:extent cx="5029200" cy="1796143"/>
            <wp:docPr id="13" name="Picture 13"/>
            <wp:cNvGraphicFramePr>
              <a:graphicFrameLocks noChangeAspect="1"/>
            </wp:cNvGraphicFramePr>
            <a:graphic>
              <a:graphicData uri="http://schemas.openxmlformats.org/drawingml/2006/picture">
                <pic:pic>
                  <pic:nvPicPr>
                    <pic:cNvPr id="0" name="uci_random_forest_regressor_residuals.png"/>
                    <pic:cNvPicPr/>
                  </pic:nvPicPr>
                  <pic:blipFill>
                    <a:blip r:embed="rId23"/>
                    <a:stretch>
                      <a:fillRect/>
                    </a:stretch>
                  </pic:blipFill>
                  <pic:spPr>
                    <a:xfrm>
                      <a:off x="0" y="0"/>
                      <a:ext cx="5029200" cy="1796143"/>
                    </a:xfrm>
                    <a:prstGeom prst="rect"/>
                  </pic:spPr>
                </pic:pic>
              </a:graphicData>
            </a:graphic>
          </wp:inline>
        </w:drawing>
      </w:r>
    </w:p>
    <w:p>
      <w:pPr>
        <w:spacing w:before="40" w:after="240" w:line="276" w:lineRule="auto"/>
        <w:jc w:val="center"/>
      </w:pPr>
      <w:r>
        <w:rPr>
          <w:rFonts w:ascii="Arial" w:hAnsi="Arial"/>
          <w:i/>
          <w:color w:val="595959"/>
          <w:sz w:val="19"/>
        </w:rPr>
        <w:t>Figure 13: Residual Analysis for Random Forest on UCI Dataset</w:t>
      </w:r>
    </w:p>
    <w:p>
      <w:pPr>
        <w:pStyle w:val="Heading1"/>
        <w:keepNext/>
        <w:spacing w:before="360" w:after="120" w:line="276" w:lineRule="auto"/>
      </w:pPr>
      <w:r>
        <w:rPr>
          <w:rFonts w:ascii="Arial" w:hAnsi="Arial"/>
          <w:b/>
          <w:color w:val="2F5597"/>
          <w:sz w:val="32"/>
        </w:rPr>
        <w:t>Chapter 7: Feature Importance Analysis</w:t>
      </w:r>
    </w:p>
    <w:p>
      <w:pPr>
        <w:spacing w:before="0" w:after="120" w:line="276" w:lineRule="auto"/>
      </w:pPr>
      <w:r>
        <w:rPr>
          <w:rFonts w:ascii="Arial" w:hAnsi="Arial"/>
          <w:color w:val="000000"/>
          <w:sz w:val="22"/>
        </w:rPr>
        <w:t>Feature importance plots provide clear business insights into the main factors driving property valuation in different markets:</w:t>
      </w:r>
    </w:p>
    <w:p>
      <w:pPr>
        <w:pStyle w:val="Heading2"/>
        <w:keepNext/>
        <w:spacing w:before="240" w:after="80" w:line="276" w:lineRule="auto"/>
      </w:pPr>
      <w:r>
        <w:rPr>
          <w:rFonts w:ascii="Arial" w:hAnsi="Arial"/>
          <w:b/>
          <w:color w:val="595959"/>
          <w:sz w:val="26"/>
        </w:rPr>
        <w:t>7.1 California Housing Feature Importances</w:t>
      </w:r>
    </w:p>
    <w:p>
      <w:pPr>
        <w:spacing w:before="0" w:after="120" w:line="276" w:lineRule="auto"/>
      </w:pPr>
      <w:r>
        <w:rPr>
          <w:rFonts w:ascii="Arial" w:hAnsi="Arial"/>
          <w:color w:val="000000"/>
          <w:sz w:val="22"/>
        </w:rPr>
        <w:t>In the California dataset, the Gradient Boosting model identifies Median Income (MedInc) as the most important feature (over 70% of total importance, as shown in Figure 14). This highlights a strong economic driver: household income is a direct proxy for purchasing power and neighborhood quality. The spatial coordinate features (Latitude and Longitude) represent the second most important block, capturing the high-value coastal regions of California.</w:t>
      </w:r>
    </w:p>
    <w:p>
      <w:pPr>
        <w:spacing w:before="120" w:after="80" w:line="276" w:lineRule="auto"/>
        <w:jc w:val="center"/>
      </w:pPr>
      <w:r>
        <w:drawing>
          <wp:inline xmlns:a="http://schemas.openxmlformats.org/drawingml/2006/main" xmlns:pic="http://schemas.openxmlformats.org/drawingml/2006/picture">
            <wp:extent cx="5029200" cy="3017520"/>
            <wp:docPr id="14" name="Picture 14"/>
            <wp:cNvGraphicFramePr>
              <a:graphicFrameLocks noChangeAspect="1"/>
            </wp:cNvGraphicFramePr>
            <a:graphic>
              <a:graphicData uri="http://schemas.openxmlformats.org/drawingml/2006/picture">
                <pic:pic>
                  <pic:nvPicPr>
                    <pic:cNvPr id="0" name="california_gradient_boosting_regressor_importance.png"/>
                    <pic:cNvPicPr/>
                  </pic:nvPicPr>
                  <pic:blipFill>
                    <a:blip r:embed="rId24"/>
                    <a:stretch>
                      <a:fillRect/>
                    </a:stretch>
                  </pic:blipFill>
                  <pic:spPr>
                    <a:xfrm>
                      <a:off x="0" y="0"/>
                      <a:ext cx="5029200" cy="3017520"/>
                    </a:xfrm>
                    <a:prstGeom prst="rect"/>
                  </pic:spPr>
                </pic:pic>
              </a:graphicData>
            </a:graphic>
          </wp:inline>
        </w:drawing>
      </w:r>
    </w:p>
    <w:p>
      <w:pPr>
        <w:spacing w:before="40" w:after="240" w:line="276" w:lineRule="auto"/>
        <w:jc w:val="center"/>
      </w:pPr>
      <w:r>
        <w:rPr>
          <w:rFonts w:ascii="Arial" w:hAnsi="Arial"/>
          <w:i/>
          <w:color w:val="595959"/>
          <w:sz w:val="19"/>
        </w:rPr>
        <w:t>Figure 14: Feature Importance - Gradient Boosting on California Housing</w:t>
      </w:r>
    </w:p>
    <w:p>
      <w:pPr>
        <w:pStyle w:val="Heading2"/>
        <w:keepNext/>
        <w:spacing w:before="240" w:after="80" w:line="276" w:lineRule="auto"/>
      </w:pPr>
      <w:r>
        <w:rPr>
          <w:rFonts w:ascii="Arial" w:hAnsi="Arial"/>
          <w:b/>
          <w:color w:val="595959"/>
          <w:sz w:val="26"/>
        </w:rPr>
        <w:t>7.2 Ames Housing Feature Importances</w:t>
      </w:r>
    </w:p>
    <w:p>
      <w:pPr>
        <w:spacing w:before="0" w:after="120" w:line="276" w:lineRule="auto"/>
      </w:pPr>
      <w:r>
        <w:rPr>
          <w:rFonts w:ascii="Arial" w:hAnsi="Arial"/>
          <w:color w:val="000000"/>
          <w:sz w:val="22"/>
        </w:rPr>
        <w:t>For the Ames dataset, the feature importance is split among several physical and qualitative attributes. Overall Quality (OverallQual) and General Living Area (GrLivArea) emerge as the primary drivers, together accounting for over 65% of importance, as shown in Figure 15. Additionally, basement features (TotalBsmtSF) show significant weights, reflecting the value buyers place on building quality and spatial luxury.</w:t>
      </w:r>
    </w:p>
    <w:p>
      <w:pPr>
        <w:spacing w:before="120" w:after="80" w:line="276" w:lineRule="auto"/>
        <w:jc w:val="center"/>
      </w:pPr>
      <w:r>
        <w:drawing>
          <wp:inline xmlns:a="http://schemas.openxmlformats.org/drawingml/2006/main" xmlns:pic="http://schemas.openxmlformats.org/drawingml/2006/picture">
            <wp:extent cx="5029200" cy="3017520"/>
            <wp:docPr id="15" name="Picture 15"/>
            <wp:cNvGraphicFramePr>
              <a:graphicFrameLocks noChangeAspect="1"/>
            </wp:cNvGraphicFramePr>
            <a:graphic>
              <a:graphicData uri="http://schemas.openxmlformats.org/drawingml/2006/picture">
                <pic:pic>
                  <pic:nvPicPr>
                    <pic:cNvPr id="0" name="ames_gradient_boosting_regressor_importance.png"/>
                    <pic:cNvPicPr/>
                  </pic:nvPicPr>
                  <pic:blipFill>
                    <a:blip r:embed="rId25"/>
                    <a:stretch>
                      <a:fillRect/>
                    </a:stretch>
                  </pic:blipFill>
                  <pic:spPr>
                    <a:xfrm>
                      <a:off x="0" y="0"/>
                      <a:ext cx="5029200" cy="3017520"/>
                    </a:xfrm>
                    <a:prstGeom prst="rect"/>
                  </pic:spPr>
                </pic:pic>
              </a:graphicData>
            </a:graphic>
          </wp:inline>
        </w:drawing>
      </w:r>
    </w:p>
    <w:p>
      <w:pPr>
        <w:spacing w:before="40" w:after="240" w:line="276" w:lineRule="auto"/>
        <w:jc w:val="center"/>
      </w:pPr>
      <w:r>
        <w:rPr>
          <w:rFonts w:ascii="Arial" w:hAnsi="Arial"/>
          <w:i/>
          <w:color w:val="595959"/>
          <w:sz w:val="19"/>
        </w:rPr>
        <w:t>Figure 15: Feature Importance - Gradient Boosting on Ames Housing</w:t>
      </w:r>
    </w:p>
    <w:p>
      <w:pPr>
        <w:pStyle w:val="Heading2"/>
        <w:keepNext/>
        <w:spacing w:before="240" w:after="80" w:line="276" w:lineRule="auto"/>
      </w:pPr>
      <w:r>
        <w:rPr>
          <w:rFonts w:ascii="Arial" w:hAnsi="Arial"/>
          <w:b/>
          <w:color w:val="595959"/>
          <w:sz w:val="26"/>
        </w:rPr>
        <w:t>7.3 UCI Real Estate Feature Importances</w:t>
      </w:r>
    </w:p>
    <w:p>
      <w:pPr>
        <w:spacing w:before="0" w:after="120" w:line="276" w:lineRule="auto"/>
      </w:pPr>
      <w:r>
        <w:rPr>
          <w:rFonts w:ascii="Arial" w:hAnsi="Arial"/>
          <w:color w:val="000000"/>
          <w:sz w:val="22"/>
        </w:rPr>
        <w:t>In the Taiwanese dataset, the Random Forest model shown in Figure 16 shows that distance to the nearest MRT station (X3) is the most critical feature (accounting for over 50% of model splits), followed by house age (X2) and latitude (X5). This confirms that in dense urban environments, proximity to public transit is the primary driver of property values, outstripping physical size or exact age.</w:t>
      </w:r>
    </w:p>
    <w:p>
      <w:pPr>
        <w:spacing w:before="120" w:after="80" w:line="276" w:lineRule="auto"/>
        <w:jc w:val="center"/>
      </w:pPr>
      <w:r>
        <w:drawing>
          <wp:inline xmlns:a="http://schemas.openxmlformats.org/drawingml/2006/main" xmlns:pic="http://schemas.openxmlformats.org/drawingml/2006/picture">
            <wp:extent cx="5029200" cy="3017520"/>
            <wp:docPr id="16" name="Picture 16"/>
            <wp:cNvGraphicFramePr>
              <a:graphicFrameLocks noChangeAspect="1"/>
            </wp:cNvGraphicFramePr>
            <a:graphic>
              <a:graphicData uri="http://schemas.openxmlformats.org/drawingml/2006/picture">
                <pic:pic>
                  <pic:nvPicPr>
                    <pic:cNvPr id="0" name="uci_random_forest_regressor_importance.png"/>
                    <pic:cNvPicPr/>
                  </pic:nvPicPr>
                  <pic:blipFill>
                    <a:blip r:embed="rId26"/>
                    <a:stretch>
                      <a:fillRect/>
                    </a:stretch>
                  </pic:blipFill>
                  <pic:spPr>
                    <a:xfrm>
                      <a:off x="0" y="0"/>
                      <a:ext cx="5029200" cy="3017520"/>
                    </a:xfrm>
                    <a:prstGeom prst="rect"/>
                  </pic:spPr>
                </pic:pic>
              </a:graphicData>
            </a:graphic>
          </wp:inline>
        </w:drawing>
      </w:r>
    </w:p>
    <w:p>
      <w:pPr>
        <w:spacing w:before="40" w:after="240" w:line="276" w:lineRule="auto"/>
        <w:jc w:val="center"/>
      </w:pPr>
      <w:r>
        <w:rPr>
          <w:rFonts w:ascii="Arial" w:hAnsi="Arial"/>
          <w:i/>
          <w:color w:val="595959"/>
          <w:sz w:val="19"/>
        </w:rPr>
        <w:t>Figure 16: Feature Importance - Random Forest on UCI Real Estate</w:t>
      </w:r>
    </w:p>
    <w:p>
      <w:pPr>
        <w:pStyle w:val="Heading1"/>
        <w:keepNext/>
        <w:spacing w:before="360" w:after="120" w:line="276" w:lineRule="auto"/>
      </w:pPr>
      <w:r>
        <w:rPr>
          <w:rFonts w:ascii="Arial" w:hAnsi="Arial"/>
          <w:b/>
          <w:color w:val="2F5597"/>
          <w:sz w:val="32"/>
        </w:rPr>
        <w:t>Chapter 8: Cross-Dataset Comparison</w:t>
      </w:r>
    </w:p>
    <w:p>
      <w:pPr>
        <w:spacing w:before="0" w:after="120" w:line="276" w:lineRule="auto"/>
      </w:pPr>
      <w:r>
        <w:rPr>
          <w:rFonts w:ascii="Arial" w:hAnsi="Arial"/>
          <w:color w:val="000000"/>
          <w:sz w:val="22"/>
        </w:rPr>
        <w:t>Comparing results across the three datasets reveals how sample size, feature counts, and target scale influence model performance. The performance metrics of all models across all datasets are compiled in Table 4 below:</w:t>
      </w:r>
    </w:p>
    <w:p>
      <w:pPr>
        <w:spacing w:before="240" w:after="80" w:line="276" w:lineRule="auto"/>
        <w:jc w:val="left"/>
      </w:pPr>
      <w:r>
        <w:rPr>
          <w:rFonts w:ascii="Arial" w:hAnsi="Arial"/>
          <w:b/>
          <w:color w:val="2F5597"/>
          <w:sz w:val="20"/>
        </w:rPr>
        <w:t>Table 4: Cross-Dataset Model Performance Comparison</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2F5597"/>
            <w:tcMar>
              <w:top w:w="100" w:type="dxa"/>
              <w:bottom w:w="100" w:type="dxa"/>
              <w:left w:w="150" w:type="dxa"/>
              <w:right w:w="150" w:type="dxa"/>
            </w:tcMar>
          </w:tcPr>
          <w:p>
            <w:pPr>
              <w:jc w:val="center"/>
            </w:pPr>
            <w:r>
              <w:rPr>
                <w:rFonts w:ascii="Arial" w:hAnsi="Arial"/>
                <w:b/>
                <w:color w:val="FFFFFF"/>
                <w:sz w:val="19"/>
              </w:rPr>
              <w:t>Dataset</w:t>
            </w:r>
          </w:p>
        </w:tc>
        <w:tc>
          <w:tcPr>
            <w:tcW w:type="dxa" w:w="851"/>
            <w:shd w:fill="2F5597"/>
            <w:tcMar>
              <w:top w:w="100" w:type="dxa"/>
              <w:bottom w:w="100" w:type="dxa"/>
              <w:left w:w="150" w:type="dxa"/>
              <w:right w:w="150" w:type="dxa"/>
            </w:tcMar>
          </w:tcPr>
          <w:p>
            <w:pPr>
              <w:jc w:val="center"/>
            </w:pPr>
            <w:r>
              <w:rPr>
                <w:rFonts w:ascii="Arial" w:hAnsi="Arial"/>
                <w:b/>
                <w:color w:val="FFFFFF"/>
                <w:sz w:val="19"/>
              </w:rPr>
              <w:t>Model</w:t>
            </w:r>
          </w:p>
        </w:tc>
        <w:tc>
          <w:tcPr>
            <w:tcW w:type="dxa" w:w="851"/>
            <w:shd w:fill="2F5597"/>
            <w:tcMar>
              <w:top w:w="100" w:type="dxa"/>
              <w:bottom w:w="100" w:type="dxa"/>
              <w:left w:w="150" w:type="dxa"/>
              <w:right w:w="150" w:type="dxa"/>
            </w:tcMar>
          </w:tcPr>
          <w:p>
            <w:pPr>
              <w:jc w:val="center"/>
            </w:pPr>
            <w:r>
              <w:rPr>
                <w:rFonts w:ascii="Arial" w:hAnsi="Arial"/>
                <w:b/>
                <w:color w:val="FFFFFF"/>
                <w:sz w:val="19"/>
              </w:rPr>
              <w:t>MAE</w:t>
            </w:r>
          </w:p>
        </w:tc>
        <w:tc>
          <w:tcPr>
            <w:tcW w:type="dxa" w:w="851"/>
            <w:shd w:fill="2F5597"/>
            <w:tcMar>
              <w:top w:w="100" w:type="dxa"/>
              <w:bottom w:w="100" w:type="dxa"/>
              <w:left w:w="150" w:type="dxa"/>
              <w:right w:w="150" w:type="dxa"/>
            </w:tcMar>
          </w:tcPr>
          <w:p>
            <w:pPr>
              <w:jc w:val="center"/>
            </w:pPr>
            <w:r>
              <w:rPr>
                <w:rFonts w:ascii="Arial" w:hAnsi="Arial"/>
                <w:b/>
                <w:color w:val="FFFFFF"/>
                <w:sz w:val="19"/>
              </w:rPr>
              <w:t>MSE</w:t>
            </w:r>
          </w:p>
        </w:tc>
        <w:tc>
          <w:tcPr>
            <w:tcW w:type="dxa" w:w="851"/>
            <w:shd w:fill="2F5597"/>
            <w:tcMar>
              <w:top w:w="100" w:type="dxa"/>
              <w:bottom w:w="100" w:type="dxa"/>
              <w:left w:w="150" w:type="dxa"/>
              <w:right w:w="150" w:type="dxa"/>
            </w:tcMar>
          </w:tcPr>
          <w:p>
            <w:pPr>
              <w:jc w:val="center"/>
            </w:pPr>
            <w:r>
              <w:rPr>
                <w:rFonts w:ascii="Arial" w:hAnsi="Arial"/>
                <w:b/>
                <w:color w:val="FFFFFF"/>
                <w:sz w:val="19"/>
              </w:rPr>
              <w:t>RMSE</w:t>
            </w:r>
          </w:p>
        </w:tc>
        <w:tc>
          <w:tcPr>
            <w:tcW w:type="dxa" w:w="851"/>
            <w:shd w:fill="2F5597"/>
            <w:tcMar>
              <w:top w:w="100" w:type="dxa"/>
              <w:bottom w:w="100" w:type="dxa"/>
              <w:left w:w="150" w:type="dxa"/>
              <w:right w:w="150" w:type="dxa"/>
            </w:tcMar>
          </w:tcPr>
          <w:p>
            <w:pPr>
              <w:jc w:val="center"/>
            </w:pPr>
            <w:r>
              <w:rPr>
                <w:rFonts w:ascii="Arial" w:hAnsi="Arial"/>
                <w:b/>
                <w:color w:val="FFFFFF"/>
                <w:sz w:val="19"/>
              </w:rPr>
              <w:t>R2</w:t>
            </w:r>
          </w:p>
        </w:tc>
        <w:tc>
          <w:tcPr>
            <w:tcW w:type="dxa" w:w="851"/>
            <w:shd w:fill="2F5597"/>
            <w:tcMar>
              <w:top w:w="100" w:type="dxa"/>
              <w:bottom w:w="100" w:type="dxa"/>
              <w:left w:w="150" w:type="dxa"/>
              <w:right w:w="150" w:type="dxa"/>
            </w:tcMar>
          </w:tcPr>
          <w:p>
            <w:pPr>
              <w:jc w:val="center"/>
            </w:pPr>
            <w:r>
              <w:rPr>
                <w:rFonts w:ascii="Arial" w:hAnsi="Arial"/>
                <w:b/>
                <w:color w:val="FFFFFF"/>
                <w:sz w:val="19"/>
              </w:rPr>
              <w:t>Adjusted_R2</w:t>
            </w:r>
          </w:p>
        </w:tc>
        <w:tc>
          <w:tcPr>
            <w:tcW w:type="dxa" w:w="851"/>
            <w:shd w:fill="2F5597"/>
            <w:tcMar>
              <w:top w:w="100" w:type="dxa"/>
              <w:bottom w:w="100" w:type="dxa"/>
              <w:left w:w="150" w:type="dxa"/>
              <w:right w:w="150" w:type="dxa"/>
            </w:tcMar>
          </w:tcPr>
          <w:p>
            <w:pPr>
              <w:jc w:val="center"/>
            </w:pPr>
            <w:r>
              <w:rPr>
                <w:rFonts w:ascii="Arial" w:hAnsi="Arial"/>
                <w:b/>
                <w:color w:val="FFFFFF"/>
                <w:sz w:val="19"/>
              </w:rPr>
              <w:t>CV_Score</w:t>
            </w:r>
          </w:p>
        </w:tc>
        <w:tc>
          <w:tcPr>
            <w:tcW w:type="dxa" w:w="851"/>
            <w:shd w:fill="2F5597"/>
            <w:tcMar>
              <w:top w:w="100" w:type="dxa"/>
              <w:bottom w:w="100" w:type="dxa"/>
              <w:left w:w="150" w:type="dxa"/>
              <w:right w:w="150" w:type="dxa"/>
            </w:tcMar>
          </w:tcPr>
          <w:p>
            <w:pPr>
              <w:jc w:val="center"/>
            </w:pPr>
            <w:r>
              <w:rPr>
                <w:rFonts w:ascii="Arial" w:hAnsi="Arial"/>
                <w:b/>
                <w:color w:val="FFFFFF"/>
                <w:sz w:val="19"/>
              </w:rPr>
              <w:t>Training_Score</w:t>
            </w:r>
          </w:p>
        </w:tc>
        <w:tc>
          <w:tcPr>
            <w:tcW w:type="dxa" w:w="851"/>
            <w:shd w:fill="2F5597"/>
            <w:tcMar>
              <w:top w:w="100" w:type="dxa"/>
              <w:bottom w:w="100" w:type="dxa"/>
              <w:left w:w="150" w:type="dxa"/>
              <w:right w:w="150" w:type="dxa"/>
            </w:tcMar>
          </w:tcPr>
          <w:p>
            <w:pPr>
              <w:jc w:val="center"/>
            </w:pPr>
            <w:r>
              <w:rPr>
                <w:rFonts w:ascii="Arial" w:hAnsi="Arial"/>
                <w:b/>
                <w:color w:val="FFFFFF"/>
                <w:sz w:val="19"/>
              </w:rPr>
              <w:t>Testing_Score</w:t>
            </w:r>
          </w:p>
        </w:tc>
        <w:tc>
          <w:tcPr>
            <w:tcW w:type="dxa" w:w="851"/>
            <w:shd w:fill="2F5597"/>
            <w:tcMar>
              <w:top w:w="100" w:type="dxa"/>
              <w:bottom w:w="100" w:type="dxa"/>
              <w:left w:w="150" w:type="dxa"/>
              <w:right w:w="150" w:type="dxa"/>
            </w:tcMar>
          </w:tcPr>
          <w:p>
            <w:pPr>
              <w:jc w:val="center"/>
            </w:pPr>
            <w:r>
              <w:rPr>
                <w:rFonts w:ascii="Arial" w:hAnsi="Arial"/>
                <w:b/>
                <w:color w:val="FFFFFF"/>
                <w:sz w:val="19"/>
              </w:rPr>
              <w:t>Rank</w:t>
            </w:r>
          </w:p>
        </w:tc>
      </w:tr>
      <w:tr>
        <w:tc>
          <w:tcPr>
            <w:tcW w:type="dxa" w:w="851"/>
            <w:shd w:fill="FFFFFF"/>
            <w:tcMar>
              <w:top w:w="100" w:type="dxa"/>
              <w:bottom w:w="100" w:type="dxa"/>
              <w:left w:w="150" w:type="dxa"/>
              <w:right w:w="150" w:type="dxa"/>
            </w:tcMar>
          </w:tcPr>
          <w:p>
            <w:pPr>
              <w:jc w:val="left"/>
            </w:pPr>
            <w:r>
              <w:rPr>
                <w:rFonts w:ascii="Arial" w:hAnsi="Arial"/>
                <w:sz w:val="18"/>
              </w:rPr>
              <w:t>California</w:t>
            </w:r>
          </w:p>
        </w:tc>
        <w:tc>
          <w:tcPr>
            <w:tcW w:type="dxa" w:w="851"/>
            <w:shd w:fill="FFFFFF"/>
            <w:tcMar>
              <w:top w:w="100" w:type="dxa"/>
              <w:bottom w:w="100" w:type="dxa"/>
              <w:left w:w="150" w:type="dxa"/>
              <w:right w:w="150" w:type="dxa"/>
            </w:tcMar>
          </w:tcPr>
          <w:p>
            <w:pPr>
              <w:jc w:val="left"/>
            </w:pPr>
            <w:r>
              <w:rPr>
                <w:rFonts w:ascii="Arial" w:hAnsi="Arial"/>
                <w:sz w:val="18"/>
              </w:rPr>
              <w:t>Gradient Boosting Regressor</w:t>
            </w:r>
          </w:p>
        </w:tc>
        <w:tc>
          <w:tcPr>
            <w:tcW w:type="dxa" w:w="851"/>
            <w:shd w:fill="FFFFFF"/>
            <w:tcMar>
              <w:top w:w="100" w:type="dxa"/>
              <w:bottom w:w="100" w:type="dxa"/>
              <w:left w:w="150" w:type="dxa"/>
              <w:right w:w="150" w:type="dxa"/>
            </w:tcMar>
          </w:tcPr>
          <w:p>
            <w:pPr>
              <w:jc w:val="right"/>
            </w:pPr>
            <w:r>
              <w:rPr>
                <w:rFonts w:ascii="Arial" w:hAnsi="Arial"/>
                <w:sz w:val="18"/>
              </w:rPr>
              <w:t>0.3348</w:t>
            </w:r>
          </w:p>
        </w:tc>
        <w:tc>
          <w:tcPr>
            <w:tcW w:type="dxa" w:w="851"/>
            <w:shd w:fill="FFFFFF"/>
            <w:tcMar>
              <w:top w:w="100" w:type="dxa"/>
              <w:bottom w:w="100" w:type="dxa"/>
              <w:left w:w="150" w:type="dxa"/>
              <w:right w:w="150" w:type="dxa"/>
            </w:tcMar>
          </w:tcPr>
          <w:p>
            <w:pPr>
              <w:jc w:val="right"/>
            </w:pPr>
            <w:r>
              <w:rPr>
                <w:rFonts w:ascii="Arial" w:hAnsi="Arial"/>
                <w:sz w:val="18"/>
              </w:rPr>
              <w:t>0.2471</w:t>
            </w:r>
          </w:p>
        </w:tc>
        <w:tc>
          <w:tcPr>
            <w:tcW w:type="dxa" w:w="851"/>
            <w:shd w:fill="FFFFFF"/>
            <w:tcMar>
              <w:top w:w="100" w:type="dxa"/>
              <w:bottom w:w="100" w:type="dxa"/>
              <w:left w:w="150" w:type="dxa"/>
              <w:right w:w="150" w:type="dxa"/>
            </w:tcMar>
          </w:tcPr>
          <w:p>
            <w:pPr>
              <w:jc w:val="right"/>
            </w:pPr>
            <w:r>
              <w:rPr>
                <w:rFonts w:ascii="Arial" w:hAnsi="Arial"/>
                <w:sz w:val="18"/>
              </w:rPr>
              <w:t>0.4971</w:t>
            </w:r>
          </w:p>
        </w:tc>
        <w:tc>
          <w:tcPr>
            <w:tcW w:type="dxa" w:w="851"/>
            <w:shd w:fill="FFFFFF"/>
            <w:tcMar>
              <w:top w:w="100" w:type="dxa"/>
              <w:bottom w:w="100" w:type="dxa"/>
              <w:left w:w="150" w:type="dxa"/>
              <w:right w:w="150" w:type="dxa"/>
            </w:tcMar>
          </w:tcPr>
          <w:p>
            <w:pPr>
              <w:jc w:val="right"/>
            </w:pPr>
            <w:r>
              <w:rPr>
                <w:rFonts w:ascii="Arial" w:hAnsi="Arial"/>
                <w:sz w:val="18"/>
              </w:rPr>
              <w:t>0.8114</w:t>
            </w:r>
          </w:p>
        </w:tc>
        <w:tc>
          <w:tcPr>
            <w:tcW w:type="dxa" w:w="851"/>
            <w:shd w:fill="FFFFFF"/>
            <w:tcMar>
              <w:top w:w="100" w:type="dxa"/>
              <w:bottom w:w="100" w:type="dxa"/>
              <w:left w:w="150" w:type="dxa"/>
              <w:right w:w="150" w:type="dxa"/>
            </w:tcMar>
          </w:tcPr>
          <w:p>
            <w:pPr>
              <w:jc w:val="right"/>
            </w:pPr>
            <w:r>
              <w:rPr>
                <w:rFonts w:ascii="Arial" w:hAnsi="Arial"/>
                <w:sz w:val="18"/>
              </w:rPr>
              <w:t>0.8111</w:t>
            </w:r>
          </w:p>
        </w:tc>
        <w:tc>
          <w:tcPr>
            <w:tcW w:type="dxa" w:w="851"/>
            <w:shd w:fill="FFFFFF"/>
            <w:tcMar>
              <w:top w:w="100" w:type="dxa"/>
              <w:bottom w:w="100" w:type="dxa"/>
              <w:left w:w="150" w:type="dxa"/>
              <w:right w:w="150" w:type="dxa"/>
            </w:tcMar>
          </w:tcPr>
          <w:p>
            <w:pPr>
              <w:jc w:val="right"/>
            </w:pPr>
            <w:r>
              <w:rPr>
                <w:rFonts w:ascii="Arial" w:hAnsi="Arial"/>
                <w:sz w:val="18"/>
              </w:rPr>
              <w:t>0.8189</w:t>
            </w:r>
          </w:p>
        </w:tc>
        <w:tc>
          <w:tcPr>
            <w:tcW w:type="dxa" w:w="851"/>
            <w:shd w:fill="FFFFFF"/>
            <w:tcMar>
              <w:top w:w="100" w:type="dxa"/>
              <w:bottom w:w="100" w:type="dxa"/>
              <w:left w:w="150" w:type="dxa"/>
              <w:right w:w="150" w:type="dxa"/>
            </w:tcMar>
          </w:tcPr>
          <w:p>
            <w:pPr>
              <w:jc w:val="right"/>
            </w:pPr>
            <w:r>
              <w:rPr>
                <w:rFonts w:ascii="Arial" w:hAnsi="Arial"/>
                <w:sz w:val="18"/>
              </w:rPr>
              <w:t>0.8695</w:t>
            </w:r>
          </w:p>
        </w:tc>
        <w:tc>
          <w:tcPr>
            <w:tcW w:type="dxa" w:w="851"/>
            <w:shd w:fill="FFFFFF"/>
            <w:tcMar>
              <w:top w:w="100" w:type="dxa"/>
              <w:bottom w:w="100" w:type="dxa"/>
              <w:left w:w="150" w:type="dxa"/>
              <w:right w:w="150" w:type="dxa"/>
            </w:tcMar>
          </w:tcPr>
          <w:p>
            <w:pPr>
              <w:jc w:val="right"/>
            </w:pPr>
            <w:r>
              <w:rPr>
                <w:rFonts w:ascii="Arial" w:hAnsi="Arial"/>
                <w:sz w:val="18"/>
              </w:rPr>
              <w:t>0.8114</w:t>
            </w:r>
          </w:p>
        </w:tc>
        <w:tc>
          <w:tcPr>
            <w:tcW w:type="dxa" w:w="851"/>
            <w:shd w:fill="FFFFFF"/>
            <w:tcMar>
              <w:top w:w="100" w:type="dxa"/>
              <w:bottom w:w="100" w:type="dxa"/>
              <w:left w:w="150" w:type="dxa"/>
              <w:right w:w="150" w:type="dxa"/>
            </w:tcMar>
          </w:tcPr>
          <w:p>
            <w:pPr>
              <w:jc w:val="right"/>
            </w:pPr>
            <w:r>
              <w:rPr>
                <w:rFonts w:ascii="Arial" w:hAnsi="Arial"/>
                <w:sz w:val="18"/>
              </w:rPr>
              <w:t>1</w:t>
            </w:r>
          </w:p>
        </w:tc>
      </w:tr>
      <w:tr>
        <w:tc>
          <w:tcPr>
            <w:tcW w:type="dxa" w:w="851"/>
            <w:shd w:fill="F2F5F9"/>
            <w:tcMar>
              <w:top w:w="100" w:type="dxa"/>
              <w:bottom w:w="100" w:type="dxa"/>
              <w:left w:w="150" w:type="dxa"/>
              <w:right w:w="150" w:type="dxa"/>
            </w:tcMar>
          </w:tcPr>
          <w:p>
            <w:pPr>
              <w:jc w:val="left"/>
            </w:pPr>
            <w:r>
              <w:rPr>
                <w:rFonts w:ascii="Arial" w:hAnsi="Arial"/>
                <w:sz w:val="18"/>
              </w:rPr>
              <w:t>California</w:t>
            </w:r>
          </w:p>
        </w:tc>
        <w:tc>
          <w:tcPr>
            <w:tcW w:type="dxa" w:w="851"/>
            <w:shd w:fill="F2F5F9"/>
            <w:tcMar>
              <w:top w:w="100" w:type="dxa"/>
              <w:bottom w:w="100" w:type="dxa"/>
              <w:left w:w="150" w:type="dxa"/>
              <w:right w:w="150" w:type="dxa"/>
            </w:tcMar>
          </w:tcPr>
          <w:p>
            <w:pPr>
              <w:jc w:val="left"/>
            </w:pPr>
            <w:r>
              <w:rPr>
                <w:rFonts w:ascii="Arial" w:hAnsi="Arial"/>
                <w:sz w:val="18"/>
              </w:rPr>
              <w:t>Random Forest Regressor</w:t>
            </w:r>
          </w:p>
        </w:tc>
        <w:tc>
          <w:tcPr>
            <w:tcW w:type="dxa" w:w="851"/>
            <w:shd w:fill="F2F5F9"/>
            <w:tcMar>
              <w:top w:w="100" w:type="dxa"/>
              <w:bottom w:w="100" w:type="dxa"/>
              <w:left w:w="150" w:type="dxa"/>
              <w:right w:w="150" w:type="dxa"/>
            </w:tcMar>
          </w:tcPr>
          <w:p>
            <w:pPr>
              <w:jc w:val="right"/>
            </w:pPr>
            <w:r>
              <w:rPr>
                <w:rFonts w:ascii="Arial" w:hAnsi="Arial"/>
                <w:sz w:val="18"/>
              </w:rPr>
              <w:t>0.3280</w:t>
            </w:r>
          </w:p>
        </w:tc>
        <w:tc>
          <w:tcPr>
            <w:tcW w:type="dxa" w:w="851"/>
            <w:shd w:fill="F2F5F9"/>
            <w:tcMar>
              <w:top w:w="100" w:type="dxa"/>
              <w:bottom w:w="100" w:type="dxa"/>
              <w:left w:w="150" w:type="dxa"/>
              <w:right w:w="150" w:type="dxa"/>
            </w:tcMar>
          </w:tcPr>
          <w:p>
            <w:pPr>
              <w:jc w:val="right"/>
            </w:pPr>
            <w:r>
              <w:rPr>
                <w:rFonts w:ascii="Arial" w:hAnsi="Arial"/>
                <w:sz w:val="18"/>
              </w:rPr>
              <w:t>0.2560</w:t>
            </w:r>
          </w:p>
        </w:tc>
        <w:tc>
          <w:tcPr>
            <w:tcW w:type="dxa" w:w="851"/>
            <w:shd w:fill="F2F5F9"/>
            <w:tcMar>
              <w:top w:w="100" w:type="dxa"/>
              <w:bottom w:w="100" w:type="dxa"/>
              <w:left w:w="150" w:type="dxa"/>
              <w:right w:w="150" w:type="dxa"/>
            </w:tcMar>
          </w:tcPr>
          <w:p>
            <w:pPr>
              <w:jc w:val="right"/>
            </w:pPr>
            <w:r>
              <w:rPr>
                <w:rFonts w:ascii="Arial" w:hAnsi="Arial"/>
                <w:sz w:val="18"/>
              </w:rPr>
              <w:t>0.5059</w:t>
            </w:r>
          </w:p>
        </w:tc>
        <w:tc>
          <w:tcPr>
            <w:tcW w:type="dxa" w:w="851"/>
            <w:shd w:fill="F2F5F9"/>
            <w:tcMar>
              <w:top w:w="100" w:type="dxa"/>
              <w:bottom w:w="100" w:type="dxa"/>
              <w:left w:w="150" w:type="dxa"/>
              <w:right w:w="150" w:type="dxa"/>
            </w:tcMar>
          </w:tcPr>
          <w:p>
            <w:pPr>
              <w:jc w:val="right"/>
            </w:pPr>
            <w:r>
              <w:rPr>
                <w:rFonts w:ascii="Arial" w:hAnsi="Arial"/>
                <w:sz w:val="18"/>
              </w:rPr>
              <w:t>0.8047</w:t>
            </w:r>
          </w:p>
        </w:tc>
        <w:tc>
          <w:tcPr>
            <w:tcW w:type="dxa" w:w="851"/>
            <w:shd w:fill="F2F5F9"/>
            <w:tcMar>
              <w:top w:w="100" w:type="dxa"/>
              <w:bottom w:w="100" w:type="dxa"/>
              <w:left w:w="150" w:type="dxa"/>
              <w:right w:w="150" w:type="dxa"/>
            </w:tcMar>
          </w:tcPr>
          <w:p>
            <w:pPr>
              <w:jc w:val="right"/>
            </w:pPr>
            <w:r>
              <w:rPr>
                <w:rFonts w:ascii="Arial" w:hAnsi="Arial"/>
                <w:sz w:val="18"/>
              </w:rPr>
              <w:t>0.8043</w:t>
            </w:r>
          </w:p>
        </w:tc>
        <w:tc>
          <w:tcPr>
            <w:tcW w:type="dxa" w:w="851"/>
            <w:shd w:fill="F2F5F9"/>
            <w:tcMar>
              <w:top w:w="100" w:type="dxa"/>
              <w:bottom w:w="100" w:type="dxa"/>
              <w:left w:w="150" w:type="dxa"/>
              <w:right w:w="150" w:type="dxa"/>
            </w:tcMar>
          </w:tcPr>
          <w:p>
            <w:pPr>
              <w:jc w:val="right"/>
            </w:pPr>
            <w:r>
              <w:rPr>
                <w:rFonts w:ascii="Arial" w:hAnsi="Arial"/>
                <w:sz w:val="18"/>
              </w:rPr>
              <w:t>0.8043</w:t>
            </w:r>
          </w:p>
        </w:tc>
        <w:tc>
          <w:tcPr>
            <w:tcW w:type="dxa" w:w="851"/>
            <w:shd w:fill="F2F5F9"/>
            <w:tcMar>
              <w:top w:w="100" w:type="dxa"/>
              <w:bottom w:w="100" w:type="dxa"/>
              <w:left w:w="150" w:type="dxa"/>
              <w:right w:w="150" w:type="dxa"/>
            </w:tcMar>
          </w:tcPr>
          <w:p>
            <w:pPr>
              <w:jc w:val="right"/>
            </w:pPr>
            <w:r>
              <w:rPr>
                <w:rFonts w:ascii="Arial" w:hAnsi="Arial"/>
                <w:sz w:val="18"/>
              </w:rPr>
              <w:t>0.9632</w:t>
            </w:r>
          </w:p>
        </w:tc>
        <w:tc>
          <w:tcPr>
            <w:tcW w:type="dxa" w:w="851"/>
            <w:shd w:fill="F2F5F9"/>
            <w:tcMar>
              <w:top w:w="100" w:type="dxa"/>
              <w:bottom w:w="100" w:type="dxa"/>
              <w:left w:w="150" w:type="dxa"/>
              <w:right w:w="150" w:type="dxa"/>
            </w:tcMar>
          </w:tcPr>
          <w:p>
            <w:pPr>
              <w:jc w:val="right"/>
            </w:pPr>
            <w:r>
              <w:rPr>
                <w:rFonts w:ascii="Arial" w:hAnsi="Arial"/>
                <w:sz w:val="18"/>
              </w:rPr>
              <w:t>0.8047</w:t>
            </w:r>
          </w:p>
        </w:tc>
        <w:tc>
          <w:tcPr>
            <w:tcW w:type="dxa" w:w="851"/>
            <w:shd w:fill="F2F5F9"/>
            <w:tcMar>
              <w:top w:w="100" w:type="dxa"/>
              <w:bottom w:w="100" w:type="dxa"/>
              <w:left w:w="150" w:type="dxa"/>
              <w:right w:w="150" w:type="dxa"/>
            </w:tcMar>
          </w:tcPr>
          <w:p>
            <w:pPr>
              <w:jc w:val="right"/>
            </w:pPr>
            <w:r>
              <w:rPr>
                <w:rFonts w:ascii="Arial" w:hAnsi="Arial"/>
                <w:sz w:val="18"/>
              </w:rPr>
              <w:t>2</w:t>
            </w:r>
          </w:p>
        </w:tc>
      </w:tr>
      <w:tr>
        <w:tc>
          <w:tcPr>
            <w:tcW w:type="dxa" w:w="851"/>
            <w:shd w:fill="FFFFFF"/>
            <w:tcMar>
              <w:top w:w="100" w:type="dxa"/>
              <w:bottom w:w="100" w:type="dxa"/>
              <w:left w:w="150" w:type="dxa"/>
              <w:right w:w="150" w:type="dxa"/>
            </w:tcMar>
          </w:tcPr>
          <w:p>
            <w:pPr>
              <w:jc w:val="left"/>
            </w:pPr>
            <w:r>
              <w:rPr>
                <w:rFonts w:ascii="Arial" w:hAnsi="Arial"/>
                <w:sz w:val="18"/>
              </w:rPr>
              <w:t>California</w:t>
            </w:r>
          </w:p>
        </w:tc>
        <w:tc>
          <w:tcPr>
            <w:tcW w:type="dxa" w:w="851"/>
            <w:shd w:fill="FFFFFF"/>
            <w:tcMar>
              <w:top w:w="100" w:type="dxa"/>
              <w:bottom w:w="100" w:type="dxa"/>
              <w:left w:w="150" w:type="dxa"/>
              <w:right w:w="150" w:type="dxa"/>
            </w:tcMar>
          </w:tcPr>
          <w:p>
            <w:pPr>
              <w:jc w:val="left"/>
            </w:pPr>
            <w:r>
              <w:rPr>
                <w:rFonts w:ascii="Arial" w:hAnsi="Arial"/>
                <w:sz w:val="18"/>
              </w:rPr>
              <w:t>Decision Tree Regressor</w:t>
            </w:r>
          </w:p>
        </w:tc>
        <w:tc>
          <w:tcPr>
            <w:tcW w:type="dxa" w:w="851"/>
            <w:shd w:fill="FFFFFF"/>
            <w:tcMar>
              <w:top w:w="100" w:type="dxa"/>
              <w:bottom w:w="100" w:type="dxa"/>
              <w:left w:w="150" w:type="dxa"/>
              <w:right w:w="150" w:type="dxa"/>
            </w:tcMar>
          </w:tcPr>
          <w:p>
            <w:pPr>
              <w:jc w:val="right"/>
            </w:pPr>
            <w:r>
              <w:rPr>
                <w:rFonts w:ascii="Arial" w:hAnsi="Arial"/>
                <w:sz w:val="18"/>
              </w:rPr>
              <w:t>0.4310</w:t>
            </w:r>
          </w:p>
        </w:tc>
        <w:tc>
          <w:tcPr>
            <w:tcW w:type="dxa" w:w="851"/>
            <w:shd w:fill="FFFFFF"/>
            <w:tcMar>
              <w:top w:w="100" w:type="dxa"/>
              <w:bottom w:w="100" w:type="dxa"/>
              <w:left w:w="150" w:type="dxa"/>
              <w:right w:w="150" w:type="dxa"/>
            </w:tcMar>
          </w:tcPr>
          <w:p>
            <w:pPr>
              <w:jc w:val="right"/>
            </w:pPr>
            <w:r>
              <w:rPr>
                <w:rFonts w:ascii="Arial" w:hAnsi="Arial"/>
                <w:sz w:val="18"/>
              </w:rPr>
              <w:t>0.4080</w:t>
            </w:r>
          </w:p>
        </w:tc>
        <w:tc>
          <w:tcPr>
            <w:tcW w:type="dxa" w:w="851"/>
            <w:shd w:fill="FFFFFF"/>
            <w:tcMar>
              <w:top w:w="100" w:type="dxa"/>
              <w:bottom w:w="100" w:type="dxa"/>
              <w:left w:w="150" w:type="dxa"/>
              <w:right w:w="150" w:type="dxa"/>
            </w:tcMar>
          </w:tcPr>
          <w:p>
            <w:pPr>
              <w:jc w:val="right"/>
            </w:pPr>
            <w:r>
              <w:rPr>
                <w:rFonts w:ascii="Arial" w:hAnsi="Arial"/>
                <w:sz w:val="18"/>
              </w:rPr>
              <w:t>0.6387</w:t>
            </w:r>
          </w:p>
        </w:tc>
        <w:tc>
          <w:tcPr>
            <w:tcW w:type="dxa" w:w="851"/>
            <w:shd w:fill="FFFFFF"/>
            <w:tcMar>
              <w:top w:w="100" w:type="dxa"/>
              <w:bottom w:w="100" w:type="dxa"/>
              <w:left w:w="150" w:type="dxa"/>
              <w:right w:w="150" w:type="dxa"/>
            </w:tcMar>
          </w:tcPr>
          <w:p>
            <w:pPr>
              <w:jc w:val="right"/>
            </w:pPr>
            <w:r>
              <w:rPr>
                <w:rFonts w:ascii="Arial" w:hAnsi="Arial"/>
                <w:sz w:val="18"/>
              </w:rPr>
              <w:t>0.6887</w:t>
            </w:r>
          </w:p>
        </w:tc>
        <w:tc>
          <w:tcPr>
            <w:tcW w:type="dxa" w:w="851"/>
            <w:shd w:fill="FFFFFF"/>
            <w:tcMar>
              <w:top w:w="100" w:type="dxa"/>
              <w:bottom w:w="100" w:type="dxa"/>
              <w:left w:w="150" w:type="dxa"/>
              <w:right w:w="150" w:type="dxa"/>
            </w:tcMar>
          </w:tcPr>
          <w:p>
            <w:pPr>
              <w:jc w:val="right"/>
            </w:pPr>
            <w:r>
              <w:rPr>
                <w:rFonts w:ascii="Arial" w:hAnsi="Arial"/>
                <w:sz w:val="18"/>
              </w:rPr>
              <w:t>0.6881</w:t>
            </w:r>
          </w:p>
        </w:tc>
        <w:tc>
          <w:tcPr>
            <w:tcW w:type="dxa" w:w="851"/>
            <w:shd w:fill="FFFFFF"/>
            <w:tcMar>
              <w:top w:w="100" w:type="dxa"/>
              <w:bottom w:w="100" w:type="dxa"/>
              <w:left w:w="150" w:type="dxa"/>
              <w:right w:w="150" w:type="dxa"/>
            </w:tcMar>
          </w:tcPr>
          <w:p>
            <w:pPr>
              <w:jc w:val="right"/>
            </w:pPr>
            <w:r>
              <w:rPr>
                <w:rFonts w:ascii="Arial" w:hAnsi="Arial"/>
                <w:sz w:val="18"/>
              </w:rPr>
              <w:t>0.7103</w:t>
            </w:r>
          </w:p>
        </w:tc>
        <w:tc>
          <w:tcPr>
            <w:tcW w:type="dxa" w:w="851"/>
            <w:shd w:fill="FFFFFF"/>
            <w:tcMar>
              <w:top w:w="100" w:type="dxa"/>
              <w:bottom w:w="100" w:type="dxa"/>
              <w:left w:w="150" w:type="dxa"/>
              <w:right w:w="150" w:type="dxa"/>
            </w:tcMar>
          </w:tcPr>
          <w:p>
            <w:pPr>
              <w:jc w:val="right"/>
            </w:pPr>
            <w:r>
              <w:rPr>
                <w:rFonts w:ascii="Arial" w:hAnsi="Arial"/>
                <w:sz w:val="18"/>
              </w:rPr>
              <w:t>0.8229</w:t>
            </w:r>
          </w:p>
        </w:tc>
        <w:tc>
          <w:tcPr>
            <w:tcW w:type="dxa" w:w="851"/>
            <w:shd w:fill="FFFFFF"/>
            <w:tcMar>
              <w:top w:w="100" w:type="dxa"/>
              <w:bottom w:w="100" w:type="dxa"/>
              <w:left w:w="150" w:type="dxa"/>
              <w:right w:w="150" w:type="dxa"/>
            </w:tcMar>
          </w:tcPr>
          <w:p>
            <w:pPr>
              <w:jc w:val="right"/>
            </w:pPr>
            <w:r>
              <w:rPr>
                <w:rFonts w:ascii="Arial" w:hAnsi="Arial"/>
                <w:sz w:val="18"/>
              </w:rPr>
              <w:t>0.6887</w:t>
            </w:r>
          </w:p>
        </w:tc>
        <w:tc>
          <w:tcPr>
            <w:tcW w:type="dxa" w:w="851"/>
            <w:shd w:fill="FFFFFF"/>
            <w:tcMar>
              <w:top w:w="100" w:type="dxa"/>
              <w:bottom w:w="100" w:type="dxa"/>
              <w:left w:w="150" w:type="dxa"/>
              <w:right w:w="150" w:type="dxa"/>
            </w:tcMar>
          </w:tcPr>
          <w:p>
            <w:pPr>
              <w:jc w:val="right"/>
            </w:pPr>
            <w:r>
              <w:rPr>
                <w:rFonts w:ascii="Arial" w:hAnsi="Arial"/>
                <w:sz w:val="18"/>
              </w:rPr>
              <w:t>3</w:t>
            </w:r>
          </w:p>
        </w:tc>
      </w:tr>
      <w:tr>
        <w:tc>
          <w:tcPr>
            <w:tcW w:type="dxa" w:w="851"/>
            <w:shd w:fill="F2F5F9"/>
            <w:tcMar>
              <w:top w:w="100" w:type="dxa"/>
              <w:bottom w:w="100" w:type="dxa"/>
              <w:left w:w="150" w:type="dxa"/>
              <w:right w:w="150" w:type="dxa"/>
            </w:tcMar>
          </w:tcPr>
          <w:p>
            <w:pPr>
              <w:jc w:val="left"/>
            </w:pPr>
            <w:r>
              <w:rPr>
                <w:rFonts w:ascii="Arial" w:hAnsi="Arial"/>
                <w:sz w:val="18"/>
              </w:rPr>
              <w:t>California</w:t>
            </w:r>
          </w:p>
        </w:tc>
        <w:tc>
          <w:tcPr>
            <w:tcW w:type="dxa" w:w="851"/>
            <w:shd w:fill="F2F5F9"/>
            <w:tcMar>
              <w:top w:w="100" w:type="dxa"/>
              <w:bottom w:w="100" w:type="dxa"/>
              <w:left w:w="150" w:type="dxa"/>
              <w:right w:w="150" w:type="dxa"/>
            </w:tcMar>
          </w:tcPr>
          <w:p>
            <w:pPr>
              <w:jc w:val="left"/>
            </w:pPr>
            <w:r>
              <w:rPr>
                <w:rFonts w:ascii="Arial" w:hAnsi="Arial"/>
                <w:sz w:val="18"/>
              </w:rPr>
              <w:t>Multiple Linear Regression</w:t>
            </w:r>
          </w:p>
        </w:tc>
        <w:tc>
          <w:tcPr>
            <w:tcW w:type="dxa" w:w="851"/>
            <w:shd w:fill="F2F5F9"/>
            <w:tcMar>
              <w:top w:w="100" w:type="dxa"/>
              <w:bottom w:w="100" w:type="dxa"/>
              <w:left w:w="150" w:type="dxa"/>
              <w:right w:w="150" w:type="dxa"/>
            </w:tcMar>
          </w:tcPr>
          <w:p>
            <w:pPr>
              <w:jc w:val="right"/>
            </w:pPr>
            <w:r>
              <w:rPr>
                <w:rFonts w:ascii="Arial" w:hAnsi="Arial"/>
                <w:sz w:val="18"/>
              </w:rPr>
              <w:t>0.5332</w:t>
            </w:r>
          </w:p>
        </w:tc>
        <w:tc>
          <w:tcPr>
            <w:tcW w:type="dxa" w:w="851"/>
            <w:shd w:fill="F2F5F9"/>
            <w:tcMar>
              <w:top w:w="100" w:type="dxa"/>
              <w:bottom w:w="100" w:type="dxa"/>
              <w:left w:w="150" w:type="dxa"/>
              <w:right w:w="150" w:type="dxa"/>
            </w:tcMar>
          </w:tcPr>
          <w:p>
            <w:pPr>
              <w:jc w:val="right"/>
            </w:pPr>
            <w:r>
              <w:rPr>
                <w:rFonts w:ascii="Arial" w:hAnsi="Arial"/>
                <w:sz w:val="18"/>
              </w:rPr>
              <w:t>0.5559</w:t>
            </w:r>
          </w:p>
        </w:tc>
        <w:tc>
          <w:tcPr>
            <w:tcW w:type="dxa" w:w="851"/>
            <w:shd w:fill="F2F5F9"/>
            <w:tcMar>
              <w:top w:w="100" w:type="dxa"/>
              <w:bottom w:w="100" w:type="dxa"/>
              <w:left w:w="150" w:type="dxa"/>
              <w:right w:w="150" w:type="dxa"/>
            </w:tcMar>
          </w:tcPr>
          <w:p>
            <w:pPr>
              <w:jc w:val="right"/>
            </w:pPr>
            <w:r>
              <w:rPr>
                <w:rFonts w:ascii="Arial" w:hAnsi="Arial"/>
                <w:sz w:val="18"/>
              </w:rPr>
              <w:t>0.7456</w:t>
            </w:r>
          </w:p>
        </w:tc>
        <w:tc>
          <w:tcPr>
            <w:tcW w:type="dxa" w:w="851"/>
            <w:shd w:fill="F2F5F9"/>
            <w:tcMar>
              <w:top w:w="100" w:type="dxa"/>
              <w:bottom w:w="100" w:type="dxa"/>
              <w:left w:w="150" w:type="dxa"/>
              <w:right w:w="150" w:type="dxa"/>
            </w:tcMar>
          </w:tcPr>
          <w:p>
            <w:pPr>
              <w:jc w:val="right"/>
            </w:pPr>
            <w:r>
              <w:rPr>
                <w:rFonts w:ascii="Arial" w:hAnsi="Arial"/>
                <w:sz w:val="18"/>
              </w:rPr>
              <w:t>0.5758</w:t>
            </w:r>
          </w:p>
        </w:tc>
        <w:tc>
          <w:tcPr>
            <w:tcW w:type="dxa" w:w="851"/>
            <w:shd w:fill="F2F5F9"/>
            <w:tcMar>
              <w:top w:w="100" w:type="dxa"/>
              <w:bottom w:w="100" w:type="dxa"/>
              <w:left w:w="150" w:type="dxa"/>
              <w:right w:w="150" w:type="dxa"/>
            </w:tcMar>
          </w:tcPr>
          <w:p>
            <w:pPr>
              <w:jc w:val="right"/>
            </w:pPr>
            <w:r>
              <w:rPr>
                <w:rFonts w:ascii="Arial" w:hAnsi="Arial"/>
                <w:sz w:val="18"/>
              </w:rPr>
              <w:t>0.5750</w:t>
            </w:r>
          </w:p>
        </w:tc>
        <w:tc>
          <w:tcPr>
            <w:tcW w:type="dxa" w:w="851"/>
            <w:shd w:fill="F2F5F9"/>
            <w:tcMar>
              <w:top w:w="100" w:type="dxa"/>
              <w:bottom w:w="100" w:type="dxa"/>
              <w:left w:w="150" w:type="dxa"/>
              <w:right w:w="150" w:type="dxa"/>
            </w:tcMar>
          </w:tcPr>
          <w:p>
            <w:pPr>
              <w:jc w:val="right"/>
            </w:pPr>
            <w:r>
              <w:rPr>
                <w:rFonts w:ascii="Arial" w:hAnsi="Arial"/>
                <w:sz w:val="18"/>
              </w:rPr>
              <w:t>0.6115</w:t>
            </w:r>
          </w:p>
        </w:tc>
        <w:tc>
          <w:tcPr>
            <w:tcW w:type="dxa" w:w="851"/>
            <w:shd w:fill="F2F5F9"/>
            <w:tcMar>
              <w:top w:w="100" w:type="dxa"/>
              <w:bottom w:w="100" w:type="dxa"/>
              <w:left w:w="150" w:type="dxa"/>
              <w:right w:w="150" w:type="dxa"/>
            </w:tcMar>
          </w:tcPr>
          <w:p>
            <w:pPr>
              <w:jc w:val="right"/>
            </w:pPr>
            <w:r>
              <w:rPr>
                <w:rFonts w:ascii="Arial" w:hAnsi="Arial"/>
                <w:sz w:val="18"/>
              </w:rPr>
              <w:t>0.6126</w:t>
            </w:r>
          </w:p>
        </w:tc>
        <w:tc>
          <w:tcPr>
            <w:tcW w:type="dxa" w:w="851"/>
            <w:shd w:fill="F2F5F9"/>
            <w:tcMar>
              <w:top w:w="100" w:type="dxa"/>
              <w:bottom w:w="100" w:type="dxa"/>
              <w:left w:w="150" w:type="dxa"/>
              <w:right w:w="150" w:type="dxa"/>
            </w:tcMar>
          </w:tcPr>
          <w:p>
            <w:pPr>
              <w:jc w:val="right"/>
            </w:pPr>
            <w:r>
              <w:rPr>
                <w:rFonts w:ascii="Arial" w:hAnsi="Arial"/>
                <w:sz w:val="18"/>
              </w:rPr>
              <w:t>0.5758</w:t>
            </w:r>
          </w:p>
        </w:tc>
        <w:tc>
          <w:tcPr>
            <w:tcW w:type="dxa" w:w="851"/>
            <w:shd w:fill="F2F5F9"/>
            <w:tcMar>
              <w:top w:w="100" w:type="dxa"/>
              <w:bottom w:w="100" w:type="dxa"/>
              <w:left w:w="150" w:type="dxa"/>
              <w:right w:w="150" w:type="dxa"/>
            </w:tcMar>
          </w:tcPr>
          <w:p>
            <w:pPr>
              <w:jc w:val="right"/>
            </w:pPr>
            <w:r>
              <w:rPr>
                <w:rFonts w:ascii="Arial" w:hAnsi="Arial"/>
                <w:sz w:val="18"/>
              </w:rPr>
              <w:t>4</w:t>
            </w:r>
          </w:p>
        </w:tc>
      </w:tr>
      <w:tr>
        <w:tc>
          <w:tcPr>
            <w:tcW w:type="dxa" w:w="851"/>
            <w:shd w:fill="FFFFFF"/>
            <w:tcMar>
              <w:top w:w="100" w:type="dxa"/>
              <w:bottom w:w="100" w:type="dxa"/>
              <w:left w:w="150" w:type="dxa"/>
              <w:right w:w="150" w:type="dxa"/>
            </w:tcMar>
          </w:tcPr>
          <w:p>
            <w:pPr>
              <w:jc w:val="left"/>
            </w:pPr>
            <w:r>
              <w:rPr>
                <w:rFonts w:ascii="Arial" w:hAnsi="Arial"/>
                <w:sz w:val="18"/>
              </w:rPr>
              <w:t>California</w:t>
            </w:r>
          </w:p>
        </w:tc>
        <w:tc>
          <w:tcPr>
            <w:tcW w:type="dxa" w:w="851"/>
            <w:shd w:fill="FFFFFF"/>
            <w:tcMar>
              <w:top w:w="100" w:type="dxa"/>
              <w:bottom w:w="100" w:type="dxa"/>
              <w:left w:w="150" w:type="dxa"/>
              <w:right w:w="150" w:type="dxa"/>
            </w:tcMar>
          </w:tcPr>
          <w:p>
            <w:pPr>
              <w:jc w:val="left"/>
            </w:pPr>
            <w:r>
              <w:rPr>
                <w:rFonts w:ascii="Arial" w:hAnsi="Arial"/>
                <w:sz w:val="18"/>
              </w:rPr>
              <w:t>Simple Linear Regression</w:t>
            </w:r>
          </w:p>
        </w:tc>
        <w:tc>
          <w:tcPr>
            <w:tcW w:type="dxa" w:w="851"/>
            <w:shd w:fill="FFFFFF"/>
            <w:tcMar>
              <w:top w:w="100" w:type="dxa"/>
              <w:bottom w:w="100" w:type="dxa"/>
              <w:left w:w="150" w:type="dxa"/>
              <w:right w:w="150" w:type="dxa"/>
            </w:tcMar>
          </w:tcPr>
          <w:p>
            <w:pPr>
              <w:jc w:val="right"/>
            </w:pPr>
            <w:r>
              <w:rPr>
                <w:rFonts w:ascii="Arial" w:hAnsi="Arial"/>
                <w:sz w:val="18"/>
              </w:rPr>
              <w:t>0.6299</w:t>
            </w:r>
          </w:p>
        </w:tc>
        <w:tc>
          <w:tcPr>
            <w:tcW w:type="dxa" w:w="851"/>
            <w:shd w:fill="FFFFFF"/>
            <w:tcMar>
              <w:top w:w="100" w:type="dxa"/>
              <w:bottom w:w="100" w:type="dxa"/>
              <w:left w:w="150" w:type="dxa"/>
              <w:right w:w="150" w:type="dxa"/>
            </w:tcMar>
          </w:tcPr>
          <w:p>
            <w:pPr>
              <w:jc w:val="right"/>
            </w:pPr>
            <w:r>
              <w:rPr>
                <w:rFonts w:ascii="Arial" w:hAnsi="Arial"/>
                <w:sz w:val="18"/>
              </w:rPr>
              <w:t>0.7091</w:t>
            </w:r>
          </w:p>
        </w:tc>
        <w:tc>
          <w:tcPr>
            <w:tcW w:type="dxa" w:w="851"/>
            <w:shd w:fill="FFFFFF"/>
            <w:tcMar>
              <w:top w:w="100" w:type="dxa"/>
              <w:bottom w:w="100" w:type="dxa"/>
              <w:left w:w="150" w:type="dxa"/>
              <w:right w:w="150" w:type="dxa"/>
            </w:tcMar>
          </w:tcPr>
          <w:p>
            <w:pPr>
              <w:jc w:val="right"/>
            </w:pPr>
            <w:r>
              <w:rPr>
                <w:rFonts w:ascii="Arial" w:hAnsi="Arial"/>
                <w:sz w:val="18"/>
              </w:rPr>
              <w:t>0.8421</w:t>
            </w:r>
          </w:p>
        </w:tc>
        <w:tc>
          <w:tcPr>
            <w:tcW w:type="dxa" w:w="851"/>
            <w:shd w:fill="FFFFFF"/>
            <w:tcMar>
              <w:top w:w="100" w:type="dxa"/>
              <w:bottom w:w="100" w:type="dxa"/>
              <w:left w:w="150" w:type="dxa"/>
              <w:right w:w="150" w:type="dxa"/>
            </w:tcMar>
          </w:tcPr>
          <w:p>
            <w:pPr>
              <w:jc w:val="right"/>
            </w:pPr>
            <w:r>
              <w:rPr>
                <w:rFonts w:ascii="Arial" w:hAnsi="Arial"/>
                <w:sz w:val="18"/>
              </w:rPr>
              <w:t>0.4589</w:t>
            </w:r>
          </w:p>
        </w:tc>
        <w:tc>
          <w:tcPr>
            <w:tcW w:type="dxa" w:w="851"/>
            <w:shd w:fill="FFFFFF"/>
            <w:tcMar>
              <w:top w:w="100" w:type="dxa"/>
              <w:bottom w:w="100" w:type="dxa"/>
              <w:left w:w="150" w:type="dxa"/>
              <w:right w:w="150" w:type="dxa"/>
            </w:tcMar>
          </w:tcPr>
          <w:p>
            <w:pPr>
              <w:jc w:val="right"/>
            </w:pPr>
            <w:r>
              <w:rPr>
                <w:rFonts w:ascii="Arial" w:hAnsi="Arial"/>
                <w:sz w:val="18"/>
              </w:rPr>
              <w:t>0.4587</w:t>
            </w:r>
          </w:p>
        </w:tc>
        <w:tc>
          <w:tcPr>
            <w:tcW w:type="dxa" w:w="851"/>
            <w:shd w:fill="FFFFFF"/>
            <w:tcMar>
              <w:top w:w="100" w:type="dxa"/>
              <w:bottom w:w="100" w:type="dxa"/>
              <w:left w:w="150" w:type="dxa"/>
              <w:right w:w="150" w:type="dxa"/>
            </w:tcMar>
          </w:tcPr>
          <w:p>
            <w:pPr>
              <w:jc w:val="right"/>
            </w:pPr>
            <w:r>
              <w:rPr>
                <w:rFonts w:ascii="Arial" w:hAnsi="Arial"/>
                <w:sz w:val="18"/>
              </w:rPr>
              <w:t>0.4767</w:t>
            </w:r>
          </w:p>
        </w:tc>
        <w:tc>
          <w:tcPr>
            <w:tcW w:type="dxa" w:w="851"/>
            <w:shd w:fill="FFFFFF"/>
            <w:tcMar>
              <w:top w:w="100" w:type="dxa"/>
              <w:bottom w:w="100" w:type="dxa"/>
              <w:left w:w="150" w:type="dxa"/>
              <w:right w:w="150" w:type="dxa"/>
            </w:tcMar>
          </w:tcPr>
          <w:p>
            <w:pPr>
              <w:jc w:val="right"/>
            </w:pPr>
            <w:r>
              <w:rPr>
                <w:rFonts w:ascii="Arial" w:hAnsi="Arial"/>
                <w:sz w:val="18"/>
              </w:rPr>
              <w:t>0.4770</w:t>
            </w:r>
          </w:p>
        </w:tc>
        <w:tc>
          <w:tcPr>
            <w:tcW w:type="dxa" w:w="851"/>
            <w:shd w:fill="FFFFFF"/>
            <w:tcMar>
              <w:top w:w="100" w:type="dxa"/>
              <w:bottom w:w="100" w:type="dxa"/>
              <w:left w:w="150" w:type="dxa"/>
              <w:right w:w="150" w:type="dxa"/>
            </w:tcMar>
          </w:tcPr>
          <w:p>
            <w:pPr>
              <w:jc w:val="right"/>
            </w:pPr>
            <w:r>
              <w:rPr>
                <w:rFonts w:ascii="Arial" w:hAnsi="Arial"/>
                <w:sz w:val="18"/>
              </w:rPr>
              <w:t>0.4589</w:t>
            </w:r>
          </w:p>
        </w:tc>
        <w:tc>
          <w:tcPr>
            <w:tcW w:type="dxa" w:w="851"/>
            <w:shd w:fill="FFFFFF"/>
            <w:tcMar>
              <w:top w:w="100" w:type="dxa"/>
              <w:bottom w:w="100" w:type="dxa"/>
              <w:left w:w="150" w:type="dxa"/>
              <w:right w:w="150" w:type="dxa"/>
            </w:tcMar>
          </w:tcPr>
          <w:p>
            <w:pPr>
              <w:jc w:val="right"/>
            </w:pPr>
            <w:r>
              <w:rPr>
                <w:rFonts w:ascii="Arial" w:hAnsi="Arial"/>
                <w:sz w:val="18"/>
              </w:rPr>
              <w:t>5</w:t>
            </w:r>
          </w:p>
        </w:tc>
      </w:tr>
      <w:tr>
        <w:tc>
          <w:tcPr>
            <w:tcW w:type="dxa" w:w="851"/>
            <w:shd w:fill="F2F5F9"/>
            <w:tcMar>
              <w:top w:w="100" w:type="dxa"/>
              <w:bottom w:w="100" w:type="dxa"/>
              <w:left w:w="150" w:type="dxa"/>
              <w:right w:w="150" w:type="dxa"/>
            </w:tcMar>
          </w:tcPr>
          <w:p>
            <w:pPr>
              <w:jc w:val="left"/>
            </w:pPr>
            <w:r>
              <w:rPr>
                <w:rFonts w:ascii="Arial" w:hAnsi="Arial"/>
                <w:sz w:val="18"/>
              </w:rPr>
              <w:t>Ames</w:t>
            </w:r>
          </w:p>
        </w:tc>
        <w:tc>
          <w:tcPr>
            <w:tcW w:type="dxa" w:w="851"/>
            <w:shd w:fill="F2F5F9"/>
            <w:tcMar>
              <w:top w:w="100" w:type="dxa"/>
              <w:bottom w:w="100" w:type="dxa"/>
              <w:left w:w="150" w:type="dxa"/>
              <w:right w:w="150" w:type="dxa"/>
            </w:tcMar>
          </w:tcPr>
          <w:p>
            <w:pPr>
              <w:jc w:val="left"/>
            </w:pPr>
            <w:r>
              <w:rPr>
                <w:rFonts w:ascii="Arial" w:hAnsi="Arial"/>
                <w:sz w:val="18"/>
              </w:rPr>
              <w:t>Multiple Linear Regression</w:t>
            </w:r>
          </w:p>
        </w:tc>
        <w:tc>
          <w:tcPr>
            <w:tcW w:type="dxa" w:w="851"/>
            <w:shd w:fill="F2F5F9"/>
            <w:tcMar>
              <w:top w:w="100" w:type="dxa"/>
              <w:bottom w:w="100" w:type="dxa"/>
              <w:left w:w="150" w:type="dxa"/>
              <w:right w:w="150" w:type="dxa"/>
            </w:tcMar>
          </w:tcPr>
          <w:p>
            <w:pPr>
              <w:jc w:val="right"/>
            </w:pPr>
            <w:r>
              <w:rPr>
                <w:rFonts w:ascii="Arial" w:hAnsi="Arial"/>
                <w:sz w:val="18"/>
              </w:rPr>
              <w:t>16,026.6399</w:t>
            </w:r>
          </w:p>
        </w:tc>
        <w:tc>
          <w:tcPr>
            <w:tcW w:type="dxa" w:w="851"/>
            <w:shd w:fill="F2F5F9"/>
            <w:tcMar>
              <w:top w:w="100" w:type="dxa"/>
              <w:bottom w:w="100" w:type="dxa"/>
              <w:left w:w="150" w:type="dxa"/>
              <w:right w:w="150" w:type="dxa"/>
            </w:tcMar>
          </w:tcPr>
          <w:p>
            <w:pPr>
              <w:jc w:val="right"/>
            </w:pPr>
            <w:r>
              <w:rPr>
                <w:rFonts w:ascii="Arial" w:hAnsi="Arial"/>
                <w:sz w:val="18"/>
              </w:rPr>
              <w:t>504,900,255.1897</w:t>
            </w:r>
          </w:p>
        </w:tc>
        <w:tc>
          <w:tcPr>
            <w:tcW w:type="dxa" w:w="851"/>
            <w:shd w:fill="F2F5F9"/>
            <w:tcMar>
              <w:top w:w="100" w:type="dxa"/>
              <w:bottom w:w="100" w:type="dxa"/>
              <w:left w:w="150" w:type="dxa"/>
              <w:right w:w="150" w:type="dxa"/>
            </w:tcMar>
          </w:tcPr>
          <w:p>
            <w:pPr>
              <w:jc w:val="right"/>
            </w:pPr>
            <w:r>
              <w:rPr>
                <w:rFonts w:ascii="Arial" w:hAnsi="Arial"/>
                <w:sz w:val="18"/>
              </w:rPr>
              <w:t>22,469.9857</w:t>
            </w:r>
          </w:p>
        </w:tc>
        <w:tc>
          <w:tcPr>
            <w:tcW w:type="dxa" w:w="851"/>
            <w:shd w:fill="F2F5F9"/>
            <w:tcMar>
              <w:top w:w="100" w:type="dxa"/>
              <w:bottom w:w="100" w:type="dxa"/>
              <w:left w:w="150" w:type="dxa"/>
              <w:right w:w="150" w:type="dxa"/>
            </w:tcMar>
          </w:tcPr>
          <w:p>
            <w:pPr>
              <w:jc w:val="right"/>
            </w:pPr>
            <w:r>
              <w:rPr>
                <w:rFonts w:ascii="Arial" w:hAnsi="Arial"/>
                <w:sz w:val="18"/>
              </w:rPr>
              <w:t>0.9038</w:t>
            </w:r>
          </w:p>
        </w:tc>
        <w:tc>
          <w:tcPr>
            <w:tcW w:type="dxa" w:w="851"/>
            <w:shd w:fill="F2F5F9"/>
            <w:tcMar>
              <w:top w:w="100" w:type="dxa"/>
              <w:bottom w:w="100" w:type="dxa"/>
              <w:left w:w="150" w:type="dxa"/>
              <w:right w:w="150" w:type="dxa"/>
            </w:tcMar>
          </w:tcPr>
          <w:p>
            <w:pPr>
              <w:jc w:val="right"/>
            </w:pPr>
            <w:r>
              <w:rPr>
                <w:rFonts w:ascii="Arial" w:hAnsi="Arial"/>
                <w:sz w:val="18"/>
              </w:rPr>
              <w:t>0.8902</w:t>
            </w:r>
          </w:p>
        </w:tc>
        <w:tc>
          <w:tcPr>
            <w:tcW w:type="dxa" w:w="851"/>
            <w:shd w:fill="F2F5F9"/>
            <w:tcMar>
              <w:top w:w="100" w:type="dxa"/>
              <w:bottom w:w="100" w:type="dxa"/>
              <w:left w:w="150" w:type="dxa"/>
              <w:right w:w="150" w:type="dxa"/>
            </w:tcMar>
          </w:tcPr>
          <w:p>
            <w:pPr>
              <w:jc w:val="right"/>
            </w:pPr>
            <w:r>
              <w:rPr>
                <w:rFonts w:ascii="Arial" w:hAnsi="Arial"/>
                <w:sz w:val="18"/>
              </w:rPr>
              <w:t>0.8935</w:t>
            </w:r>
          </w:p>
        </w:tc>
        <w:tc>
          <w:tcPr>
            <w:tcW w:type="dxa" w:w="851"/>
            <w:shd w:fill="F2F5F9"/>
            <w:tcMar>
              <w:top w:w="100" w:type="dxa"/>
              <w:bottom w:w="100" w:type="dxa"/>
              <w:left w:w="150" w:type="dxa"/>
              <w:right w:w="150" w:type="dxa"/>
            </w:tcMar>
          </w:tcPr>
          <w:p>
            <w:pPr>
              <w:jc w:val="right"/>
            </w:pPr>
            <w:r>
              <w:rPr>
                <w:rFonts w:ascii="Arial" w:hAnsi="Arial"/>
                <w:sz w:val="18"/>
              </w:rPr>
              <w:t>0.9153</w:t>
            </w:r>
          </w:p>
        </w:tc>
        <w:tc>
          <w:tcPr>
            <w:tcW w:type="dxa" w:w="851"/>
            <w:shd w:fill="F2F5F9"/>
            <w:tcMar>
              <w:top w:w="100" w:type="dxa"/>
              <w:bottom w:w="100" w:type="dxa"/>
              <w:left w:w="150" w:type="dxa"/>
              <w:right w:w="150" w:type="dxa"/>
            </w:tcMar>
          </w:tcPr>
          <w:p>
            <w:pPr>
              <w:jc w:val="right"/>
            </w:pPr>
            <w:r>
              <w:rPr>
                <w:rFonts w:ascii="Arial" w:hAnsi="Arial"/>
                <w:sz w:val="18"/>
              </w:rPr>
              <w:t>0.9038</w:t>
            </w:r>
          </w:p>
        </w:tc>
        <w:tc>
          <w:tcPr>
            <w:tcW w:type="dxa" w:w="851"/>
            <w:shd w:fill="F2F5F9"/>
            <w:tcMar>
              <w:top w:w="100" w:type="dxa"/>
              <w:bottom w:w="100" w:type="dxa"/>
              <w:left w:w="150" w:type="dxa"/>
              <w:right w:w="150" w:type="dxa"/>
            </w:tcMar>
          </w:tcPr>
          <w:p>
            <w:pPr>
              <w:jc w:val="right"/>
            </w:pPr>
            <w:r>
              <w:rPr>
                <w:rFonts w:ascii="Arial" w:hAnsi="Arial"/>
                <w:sz w:val="18"/>
              </w:rPr>
              <w:t>1</w:t>
            </w:r>
          </w:p>
        </w:tc>
      </w:tr>
      <w:tr>
        <w:tc>
          <w:tcPr>
            <w:tcW w:type="dxa" w:w="851"/>
            <w:shd w:fill="FFFFFF"/>
            <w:tcMar>
              <w:top w:w="100" w:type="dxa"/>
              <w:bottom w:w="100" w:type="dxa"/>
              <w:left w:w="150" w:type="dxa"/>
              <w:right w:w="150" w:type="dxa"/>
            </w:tcMar>
          </w:tcPr>
          <w:p>
            <w:pPr>
              <w:jc w:val="left"/>
            </w:pPr>
            <w:r>
              <w:rPr>
                <w:rFonts w:ascii="Arial" w:hAnsi="Arial"/>
                <w:sz w:val="18"/>
              </w:rPr>
              <w:t>Ames</w:t>
            </w:r>
          </w:p>
        </w:tc>
        <w:tc>
          <w:tcPr>
            <w:tcW w:type="dxa" w:w="851"/>
            <w:shd w:fill="FFFFFF"/>
            <w:tcMar>
              <w:top w:w="100" w:type="dxa"/>
              <w:bottom w:w="100" w:type="dxa"/>
              <w:left w:w="150" w:type="dxa"/>
              <w:right w:w="150" w:type="dxa"/>
            </w:tcMar>
          </w:tcPr>
          <w:p>
            <w:pPr>
              <w:jc w:val="left"/>
            </w:pPr>
            <w:r>
              <w:rPr>
                <w:rFonts w:ascii="Arial" w:hAnsi="Arial"/>
                <w:sz w:val="18"/>
              </w:rPr>
              <w:t>Gradient Boosting Regressor</w:t>
            </w:r>
          </w:p>
        </w:tc>
        <w:tc>
          <w:tcPr>
            <w:tcW w:type="dxa" w:w="851"/>
            <w:shd w:fill="FFFFFF"/>
            <w:tcMar>
              <w:top w:w="100" w:type="dxa"/>
              <w:bottom w:w="100" w:type="dxa"/>
              <w:left w:w="150" w:type="dxa"/>
              <w:right w:w="150" w:type="dxa"/>
            </w:tcMar>
          </w:tcPr>
          <w:p>
            <w:pPr>
              <w:jc w:val="right"/>
            </w:pPr>
            <w:r>
              <w:rPr>
                <w:rFonts w:ascii="Arial" w:hAnsi="Arial"/>
                <w:sz w:val="18"/>
              </w:rPr>
              <w:t>16,387.7360</w:t>
            </w:r>
          </w:p>
        </w:tc>
        <w:tc>
          <w:tcPr>
            <w:tcW w:type="dxa" w:w="851"/>
            <w:shd w:fill="FFFFFF"/>
            <w:tcMar>
              <w:top w:w="100" w:type="dxa"/>
              <w:bottom w:w="100" w:type="dxa"/>
              <w:left w:w="150" w:type="dxa"/>
              <w:right w:w="150" w:type="dxa"/>
            </w:tcMar>
          </w:tcPr>
          <w:p>
            <w:pPr>
              <w:jc w:val="right"/>
            </w:pPr>
            <w:r>
              <w:rPr>
                <w:rFonts w:ascii="Arial" w:hAnsi="Arial"/>
                <w:sz w:val="18"/>
              </w:rPr>
              <w:t>547,690,466.9787</w:t>
            </w:r>
          </w:p>
        </w:tc>
        <w:tc>
          <w:tcPr>
            <w:tcW w:type="dxa" w:w="851"/>
            <w:shd w:fill="FFFFFF"/>
            <w:tcMar>
              <w:top w:w="100" w:type="dxa"/>
              <w:bottom w:w="100" w:type="dxa"/>
              <w:left w:w="150" w:type="dxa"/>
              <w:right w:w="150" w:type="dxa"/>
            </w:tcMar>
          </w:tcPr>
          <w:p>
            <w:pPr>
              <w:jc w:val="right"/>
            </w:pPr>
            <w:r>
              <w:rPr>
                <w:rFonts w:ascii="Arial" w:hAnsi="Arial"/>
                <w:sz w:val="18"/>
              </w:rPr>
              <w:t>23,402.7876</w:t>
            </w:r>
          </w:p>
        </w:tc>
        <w:tc>
          <w:tcPr>
            <w:tcW w:type="dxa" w:w="851"/>
            <w:shd w:fill="FFFFFF"/>
            <w:tcMar>
              <w:top w:w="100" w:type="dxa"/>
              <w:bottom w:w="100" w:type="dxa"/>
              <w:left w:w="150" w:type="dxa"/>
              <w:right w:w="150" w:type="dxa"/>
            </w:tcMar>
          </w:tcPr>
          <w:p>
            <w:pPr>
              <w:jc w:val="right"/>
            </w:pPr>
            <w:r>
              <w:rPr>
                <w:rFonts w:ascii="Arial" w:hAnsi="Arial"/>
                <w:sz w:val="18"/>
              </w:rPr>
              <w:t>0.8956</w:t>
            </w:r>
          </w:p>
        </w:tc>
        <w:tc>
          <w:tcPr>
            <w:tcW w:type="dxa" w:w="851"/>
            <w:shd w:fill="FFFFFF"/>
            <w:tcMar>
              <w:top w:w="100" w:type="dxa"/>
              <w:bottom w:w="100" w:type="dxa"/>
              <w:left w:w="150" w:type="dxa"/>
              <w:right w:w="150" w:type="dxa"/>
            </w:tcMar>
          </w:tcPr>
          <w:p>
            <w:pPr>
              <w:jc w:val="right"/>
            </w:pPr>
            <w:r>
              <w:rPr>
                <w:rFonts w:ascii="Arial" w:hAnsi="Arial"/>
                <w:sz w:val="18"/>
              </w:rPr>
              <w:t>0.8809</w:t>
            </w:r>
          </w:p>
        </w:tc>
        <w:tc>
          <w:tcPr>
            <w:tcW w:type="dxa" w:w="851"/>
            <w:shd w:fill="FFFFFF"/>
            <w:tcMar>
              <w:top w:w="100" w:type="dxa"/>
              <w:bottom w:w="100" w:type="dxa"/>
              <w:left w:w="150" w:type="dxa"/>
              <w:right w:w="150" w:type="dxa"/>
            </w:tcMar>
          </w:tcPr>
          <w:p>
            <w:pPr>
              <w:jc w:val="right"/>
            </w:pPr>
            <w:r>
              <w:rPr>
                <w:rFonts w:ascii="Arial" w:hAnsi="Arial"/>
                <w:sz w:val="18"/>
              </w:rPr>
              <w:t>0.8934</w:t>
            </w:r>
          </w:p>
        </w:tc>
        <w:tc>
          <w:tcPr>
            <w:tcW w:type="dxa" w:w="851"/>
            <w:shd w:fill="FFFFFF"/>
            <w:tcMar>
              <w:top w:w="100" w:type="dxa"/>
              <w:bottom w:w="100" w:type="dxa"/>
              <w:left w:w="150" w:type="dxa"/>
              <w:right w:w="150" w:type="dxa"/>
            </w:tcMar>
          </w:tcPr>
          <w:p>
            <w:pPr>
              <w:jc w:val="right"/>
            </w:pPr>
            <w:r>
              <w:rPr>
                <w:rFonts w:ascii="Arial" w:hAnsi="Arial"/>
                <w:sz w:val="18"/>
              </w:rPr>
              <w:t>0.9620</w:t>
            </w:r>
          </w:p>
        </w:tc>
        <w:tc>
          <w:tcPr>
            <w:tcW w:type="dxa" w:w="851"/>
            <w:shd w:fill="FFFFFF"/>
            <w:tcMar>
              <w:top w:w="100" w:type="dxa"/>
              <w:bottom w:w="100" w:type="dxa"/>
              <w:left w:w="150" w:type="dxa"/>
              <w:right w:w="150" w:type="dxa"/>
            </w:tcMar>
          </w:tcPr>
          <w:p>
            <w:pPr>
              <w:jc w:val="right"/>
            </w:pPr>
            <w:r>
              <w:rPr>
                <w:rFonts w:ascii="Arial" w:hAnsi="Arial"/>
                <w:sz w:val="18"/>
              </w:rPr>
              <w:t>0.8956</w:t>
            </w:r>
          </w:p>
        </w:tc>
        <w:tc>
          <w:tcPr>
            <w:tcW w:type="dxa" w:w="851"/>
            <w:shd w:fill="FFFFFF"/>
            <w:tcMar>
              <w:top w:w="100" w:type="dxa"/>
              <w:bottom w:w="100" w:type="dxa"/>
              <w:left w:w="150" w:type="dxa"/>
              <w:right w:w="150" w:type="dxa"/>
            </w:tcMar>
          </w:tcPr>
          <w:p>
            <w:pPr>
              <w:jc w:val="right"/>
            </w:pPr>
            <w:r>
              <w:rPr>
                <w:rFonts w:ascii="Arial" w:hAnsi="Arial"/>
                <w:sz w:val="18"/>
              </w:rPr>
              <w:t>2</w:t>
            </w:r>
          </w:p>
        </w:tc>
      </w:tr>
      <w:tr>
        <w:tc>
          <w:tcPr>
            <w:tcW w:type="dxa" w:w="851"/>
            <w:shd w:fill="F2F5F9"/>
            <w:tcMar>
              <w:top w:w="100" w:type="dxa"/>
              <w:bottom w:w="100" w:type="dxa"/>
              <w:left w:w="150" w:type="dxa"/>
              <w:right w:w="150" w:type="dxa"/>
            </w:tcMar>
          </w:tcPr>
          <w:p>
            <w:pPr>
              <w:jc w:val="left"/>
            </w:pPr>
            <w:r>
              <w:rPr>
                <w:rFonts w:ascii="Arial" w:hAnsi="Arial"/>
                <w:sz w:val="18"/>
              </w:rPr>
              <w:t>Ames</w:t>
            </w:r>
          </w:p>
        </w:tc>
        <w:tc>
          <w:tcPr>
            <w:tcW w:type="dxa" w:w="851"/>
            <w:shd w:fill="F2F5F9"/>
            <w:tcMar>
              <w:top w:w="100" w:type="dxa"/>
              <w:bottom w:w="100" w:type="dxa"/>
              <w:left w:w="150" w:type="dxa"/>
              <w:right w:w="150" w:type="dxa"/>
            </w:tcMar>
          </w:tcPr>
          <w:p>
            <w:pPr>
              <w:jc w:val="left"/>
            </w:pPr>
            <w:r>
              <w:rPr>
                <w:rFonts w:ascii="Arial" w:hAnsi="Arial"/>
                <w:sz w:val="18"/>
              </w:rPr>
              <w:t>Random Forest Regressor</w:t>
            </w:r>
          </w:p>
        </w:tc>
        <w:tc>
          <w:tcPr>
            <w:tcW w:type="dxa" w:w="851"/>
            <w:shd w:fill="F2F5F9"/>
            <w:tcMar>
              <w:top w:w="100" w:type="dxa"/>
              <w:bottom w:w="100" w:type="dxa"/>
              <w:left w:w="150" w:type="dxa"/>
              <w:right w:w="150" w:type="dxa"/>
            </w:tcMar>
          </w:tcPr>
          <w:p>
            <w:pPr>
              <w:jc w:val="right"/>
            </w:pPr>
            <w:r>
              <w:rPr>
                <w:rFonts w:ascii="Arial" w:hAnsi="Arial"/>
                <w:sz w:val="18"/>
              </w:rPr>
              <w:t>18,518.4143</w:t>
            </w:r>
          </w:p>
        </w:tc>
        <w:tc>
          <w:tcPr>
            <w:tcW w:type="dxa" w:w="851"/>
            <w:shd w:fill="F2F5F9"/>
            <w:tcMar>
              <w:top w:w="100" w:type="dxa"/>
              <w:bottom w:w="100" w:type="dxa"/>
              <w:left w:w="150" w:type="dxa"/>
              <w:right w:w="150" w:type="dxa"/>
            </w:tcMar>
          </w:tcPr>
          <w:p>
            <w:pPr>
              <w:jc w:val="right"/>
            </w:pPr>
            <w:r>
              <w:rPr>
                <w:rFonts w:ascii="Arial" w:hAnsi="Arial"/>
                <w:sz w:val="18"/>
              </w:rPr>
              <w:t>725,820,964.6462</w:t>
            </w:r>
          </w:p>
        </w:tc>
        <w:tc>
          <w:tcPr>
            <w:tcW w:type="dxa" w:w="851"/>
            <w:shd w:fill="F2F5F9"/>
            <w:tcMar>
              <w:top w:w="100" w:type="dxa"/>
              <w:bottom w:w="100" w:type="dxa"/>
              <w:left w:w="150" w:type="dxa"/>
              <w:right w:w="150" w:type="dxa"/>
            </w:tcMar>
          </w:tcPr>
          <w:p>
            <w:pPr>
              <w:jc w:val="right"/>
            </w:pPr>
            <w:r>
              <w:rPr>
                <w:rFonts w:ascii="Arial" w:hAnsi="Arial"/>
                <w:sz w:val="18"/>
              </w:rPr>
              <w:t>26,941.0647</w:t>
            </w:r>
          </w:p>
        </w:tc>
        <w:tc>
          <w:tcPr>
            <w:tcW w:type="dxa" w:w="851"/>
            <w:shd w:fill="F2F5F9"/>
            <w:tcMar>
              <w:top w:w="100" w:type="dxa"/>
              <w:bottom w:w="100" w:type="dxa"/>
              <w:left w:w="150" w:type="dxa"/>
              <w:right w:w="150" w:type="dxa"/>
            </w:tcMar>
          </w:tcPr>
          <w:p>
            <w:pPr>
              <w:jc w:val="right"/>
            </w:pPr>
            <w:r>
              <w:rPr>
                <w:rFonts w:ascii="Arial" w:hAnsi="Arial"/>
                <w:sz w:val="18"/>
              </w:rPr>
              <w:t>0.8617</w:t>
            </w:r>
          </w:p>
        </w:tc>
        <w:tc>
          <w:tcPr>
            <w:tcW w:type="dxa" w:w="851"/>
            <w:shd w:fill="F2F5F9"/>
            <w:tcMar>
              <w:top w:w="100" w:type="dxa"/>
              <w:bottom w:w="100" w:type="dxa"/>
              <w:left w:w="150" w:type="dxa"/>
              <w:right w:w="150" w:type="dxa"/>
            </w:tcMar>
          </w:tcPr>
          <w:p>
            <w:pPr>
              <w:jc w:val="right"/>
            </w:pPr>
            <w:r>
              <w:rPr>
                <w:rFonts w:ascii="Arial" w:hAnsi="Arial"/>
                <w:sz w:val="18"/>
              </w:rPr>
              <w:t>0.8422</w:t>
            </w:r>
          </w:p>
        </w:tc>
        <w:tc>
          <w:tcPr>
            <w:tcW w:type="dxa" w:w="851"/>
            <w:shd w:fill="F2F5F9"/>
            <w:tcMar>
              <w:top w:w="100" w:type="dxa"/>
              <w:bottom w:w="100" w:type="dxa"/>
              <w:left w:w="150" w:type="dxa"/>
              <w:right w:w="150" w:type="dxa"/>
            </w:tcMar>
          </w:tcPr>
          <w:p>
            <w:pPr>
              <w:jc w:val="right"/>
            </w:pPr>
            <w:r>
              <w:rPr>
                <w:rFonts w:ascii="Arial" w:hAnsi="Arial"/>
                <w:sz w:val="18"/>
              </w:rPr>
              <w:t>0.8696</w:t>
            </w:r>
          </w:p>
        </w:tc>
        <w:tc>
          <w:tcPr>
            <w:tcW w:type="dxa" w:w="851"/>
            <w:shd w:fill="F2F5F9"/>
            <w:tcMar>
              <w:top w:w="100" w:type="dxa"/>
              <w:bottom w:w="100" w:type="dxa"/>
              <w:left w:w="150" w:type="dxa"/>
              <w:right w:w="150" w:type="dxa"/>
            </w:tcMar>
          </w:tcPr>
          <w:p>
            <w:pPr>
              <w:jc w:val="right"/>
            </w:pPr>
            <w:r>
              <w:rPr>
                <w:rFonts w:ascii="Arial" w:hAnsi="Arial"/>
                <w:sz w:val="18"/>
              </w:rPr>
              <w:t>0.9765</w:t>
            </w:r>
          </w:p>
        </w:tc>
        <w:tc>
          <w:tcPr>
            <w:tcW w:type="dxa" w:w="851"/>
            <w:shd w:fill="F2F5F9"/>
            <w:tcMar>
              <w:top w:w="100" w:type="dxa"/>
              <w:bottom w:w="100" w:type="dxa"/>
              <w:left w:w="150" w:type="dxa"/>
              <w:right w:w="150" w:type="dxa"/>
            </w:tcMar>
          </w:tcPr>
          <w:p>
            <w:pPr>
              <w:jc w:val="right"/>
            </w:pPr>
            <w:r>
              <w:rPr>
                <w:rFonts w:ascii="Arial" w:hAnsi="Arial"/>
                <w:sz w:val="18"/>
              </w:rPr>
              <w:t>0.8617</w:t>
            </w:r>
          </w:p>
        </w:tc>
        <w:tc>
          <w:tcPr>
            <w:tcW w:type="dxa" w:w="851"/>
            <w:shd w:fill="F2F5F9"/>
            <w:tcMar>
              <w:top w:w="100" w:type="dxa"/>
              <w:bottom w:w="100" w:type="dxa"/>
              <w:left w:w="150" w:type="dxa"/>
              <w:right w:w="150" w:type="dxa"/>
            </w:tcMar>
          </w:tcPr>
          <w:p>
            <w:pPr>
              <w:jc w:val="right"/>
            </w:pPr>
            <w:r>
              <w:rPr>
                <w:rFonts w:ascii="Arial" w:hAnsi="Arial"/>
                <w:sz w:val="18"/>
              </w:rPr>
              <w:t>3</w:t>
            </w:r>
          </w:p>
        </w:tc>
      </w:tr>
      <w:tr>
        <w:tc>
          <w:tcPr>
            <w:tcW w:type="dxa" w:w="851"/>
            <w:shd w:fill="FFFFFF"/>
            <w:tcMar>
              <w:top w:w="100" w:type="dxa"/>
              <w:bottom w:w="100" w:type="dxa"/>
              <w:left w:w="150" w:type="dxa"/>
              <w:right w:w="150" w:type="dxa"/>
            </w:tcMar>
          </w:tcPr>
          <w:p>
            <w:pPr>
              <w:jc w:val="left"/>
            </w:pPr>
            <w:r>
              <w:rPr>
                <w:rFonts w:ascii="Arial" w:hAnsi="Arial"/>
                <w:sz w:val="18"/>
              </w:rPr>
              <w:t>Ames</w:t>
            </w:r>
          </w:p>
        </w:tc>
        <w:tc>
          <w:tcPr>
            <w:tcW w:type="dxa" w:w="851"/>
            <w:shd w:fill="FFFFFF"/>
            <w:tcMar>
              <w:top w:w="100" w:type="dxa"/>
              <w:bottom w:w="100" w:type="dxa"/>
              <w:left w:w="150" w:type="dxa"/>
              <w:right w:w="150" w:type="dxa"/>
            </w:tcMar>
          </w:tcPr>
          <w:p>
            <w:pPr>
              <w:jc w:val="left"/>
            </w:pPr>
            <w:r>
              <w:rPr>
                <w:rFonts w:ascii="Arial" w:hAnsi="Arial"/>
                <w:sz w:val="18"/>
              </w:rPr>
              <w:t>Decision Tree Regressor</w:t>
            </w:r>
          </w:p>
        </w:tc>
        <w:tc>
          <w:tcPr>
            <w:tcW w:type="dxa" w:w="851"/>
            <w:shd w:fill="FFFFFF"/>
            <w:tcMar>
              <w:top w:w="100" w:type="dxa"/>
              <w:bottom w:w="100" w:type="dxa"/>
              <w:left w:w="150" w:type="dxa"/>
              <w:right w:w="150" w:type="dxa"/>
            </w:tcMar>
          </w:tcPr>
          <w:p>
            <w:pPr>
              <w:jc w:val="right"/>
            </w:pPr>
            <w:r>
              <w:rPr>
                <w:rFonts w:ascii="Arial" w:hAnsi="Arial"/>
                <w:sz w:val="18"/>
              </w:rPr>
              <w:t>25,964.6633</w:t>
            </w:r>
          </w:p>
        </w:tc>
        <w:tc>
          <w:tcPr>
            <w:tcW w:type="dxa" w:w="851"/>
            <w:shd w:fill="FFFFFF"/>
            <w:tcMar>
              <w:top w:w="100" w:type="dxa"/>
              <w:bottom w:w="100" w:type="dxa"/>
              <w:left w:w="150" w:type="dxa"/>
              <w:right w:w="150" w:type="dxa"/>
            </w:tcMar>
          </w:tcPr>
          <w:p>
            <w:pPr>
              <w:jc w:val="right"/>
            </w:pPr>
            <w:r>
              <w:rPr>
                <w:rFonts w:ascii="Arial" w:hAnsi="Arial"/>
                <w:sz w:val="18"/>
              </w:rPr>
              <w:t>1,352,198,745.0093</w:t>
            </w:r>
          </w:p>
        </w:tc>
        <w:tc>
          <w:tcPr>
            <w:tcW w:type="dxa" w:w="851"/>
            <w:shd w:fill="FFFFFF"/>
            <w:tcMar>
              <w:top w:w="100" w:type="dxa"/>
              <w:bottom w:w="100" w:type="dxa"/>
              <w:left w:w="150" w:type="dxa"/>
              <w:right w:w="150" w:type="dxa"/>
            </w:tcMar>
          </w:tcPr>
          <w:p>
            <w:pPr>
              <w:jc w:val="right"/>
            </w:pPr>
            <w:r>
              <w:rPr>
                <w:rFonts w:ascii="Arial" w:hAnsi="Arial"/>
                <w:sz w:val="18"/>
              </w:rPr>
              <w:t>36,772.2551</w:t>
            </w:r>
          </w:p>
        </w:tc>
        <w:tc>
          <w:tcPr>
            <w:tcW w:type="dxa" w:w="851"/>
            <w:shd w:fill="FFFFFF"/>
            <w:tcMar>
              <w:top w:w="100" w:type="dxa"/>
              <w:bottom w:w="100" w:type="dxa"/>
              <w:left w:w="150" w:type="dxa"/>
              <w:right w:w="150" w:type="dxa"/>
            </w:tcMar>
          </w:tcPr>
          <w:p>
            <w:pPr>
              <w:jc w:val="right"/>
            </w:pPr>
            <w:r>
              <w:rPr>
                <w:rFonts w:ascii="Arial" w:hAnsi="Arial"/>
                <w:sz w:val="18"/>
              </w:rPr>
              <w:t>0.7424</w:t>
            </w:r>
          </w:p>
        </w:tc>
        <w:tc>
          <w:tcPr>
            <w:tcW w:type="dxa" w:w="851"/>
            <w:shd w:fill="FFFFFF"/>
            <w:tcMar>
              <w:top w:w="100" w:type="dxa"/>
              <w:bottom w:w="100" w:type="dxa"/>
              <w:left w:w="150" w:type="dxa"/>
              <w:right w:w="150" w:type="dxa"/>
            </w:tcMar>
          </w:tcPr>
          <w:p>
            <w:pPr>
              <w:jc w:val="right"/>
            </w:pPr>
            <w:r>
              <w:rPr>
                <w:rFonts w:ascii="Arial" w:hAnsi="Arial"/>
                <w:sz w:val="18"/>
              </w:rPr>
              <w:t>0.7060</w:t>
            </w:r>
          </w:p>
        </w:tc>
        <w:tc>
          <w:tcPr>
            <w:tcW w:type="dxa" w:w="851"/>
            <w:shd w:fill="FFFFFF"/>
            <w:tcMar>
              <w:top w:w="100" w:type="dxa"/>
              <w:bottom w:w="100" w:type="dxa"/>
              <w:left w:w="150" w:type="dxa"/>
              <w:right w:w="150" w:type="dxa"/>
            </w:tcMar>
          </w:tcPr>
          <w:p>
            <w:pPr>
              <w:jc w:val="right"/>
            </w:pPr>
            <w:r>
              <w:rPr>
                <w:rFonts w:ascii="Arial" w:hAnsi="Arial"/>
                <w:sz w:val="18"/>
              </w:rPr>
              <w:t>0.7752</w:t>
            </w:r>
          </w:p>
        </w:tc>
        <w:tc>
          <w:tcPr>
            <w:tcW w:type="dxa" w:w="851"/>
            <w:shd w:fill="FFFFFF"/>
            <w:tcMar>
              <w:top w:w="100" w:type="dxa"/>
              <w:bottom w:w="100" w:type="dxa"/>
              <w:left w:w="150" w:type="dxa"/>
              <w:right w:w="150" w:type="dxa"/>
            </w:tcMar>
          </w:tcPr>
          <w:p>
            <w:pPr>
              <w:jc w:val="right"/>
            </w:pPr>
            <w:r>
              <w:rPr>
                <w:rFonts w:ascii="Arial" w:hAnsi="Arial"/>
                <w:sz w:val="18"/>
              </w:rPr>
              <w:t>0.8993</w:t>
            </w:r>
          </w:p>
        </w:tc>
        <w:tc>
          <w:tcPr>
            <w:tcW w:type="dxa" w:w="851"/>
            <w:shd w:fill="FFFFFF"/>
            <w:tcMar>
              <w:top w:w="100" w:type="dxa"/>
              <w:bottom w:w="100" w:type="dxa"/>
              <w:left w:w="150" w:type="dxa"/>
              <w:right w:w="150" w:type="dxa"/>
            </w:tcMar>
          </w:tcPr>
          <w:p>
            <w:pPr>
              <w:jc w:val="right"/>
            </w:pPr>
            <w:r>
              <w:rPr>
                <w:rFonts w:ascii="Arial" w:hAnsi="Arial"/>
                <w:sz w:val="18"/>
              </w:rPr>
              <w:t>0.7424</w:t>
            </w:r>
          </w:p>
        </w:tc>
        <w:tc>
          <w:tcPr>
            <w:tcW w:type="dxa" w:w="851"/>
            <w:shd w:fill="FFFFFF"/>
            <w:tcMar>
              <w:top w:w="100" w:type="dxa"/>
              <w:bottom w:w="100" w:type="dxa"/>
              <w:left w:w="150" w:type="dxa"/>
              <w:right w:w="150" w:type="dxa"/>
            </w:tcMar>
          </w:tcPr>
          <w:p>
            <w:pPr>
              <w:jc w:val="right"/>
            </w:pPr>
            <w:r>
              <w:rPr>
                <w:rFonts w:ascii="Arial" w:hAnsi="Arial"/>
                <w:sz w:val="18"/>
              </w:rPr>
              <w:t>4</w:t>
            </w:r>
          </w:p>
        </w:tc>
      </w:tr>
      <w:tr>
        <w:tc>
          <w:tcPr>
            <w:tcW w:type="dxa" w:w="851"/>
            <w:shd w:fill="F2F5F9"/>
            <w:tcMar>
              <w:top w:w="100" w:type="dxa"/>
              <w:bottom w:w="100" w:type="dxa"/>
              <w:left w:w="150" w:type="dxa"/>
              <w:right w:w="150" w:type="dxa"/>
            </w:tcMar>
          </w:tcPr>
          <w:p>
            <w:pPr>
              <w:jc w:val="left"/>
            </w:pPr>
            <w:r>
              <w:rPr>
                <w:rFonts w:ascii="Arial" w:hAnsi="Arial"/>
                <w:sz w:val="18"/>
              </w:rPr>
              <w:t>Ames</w:t>
            </w:r>
          </w:p>
        </w:tc>
        <w:tc>
          <w:tcPr>
            <w:tcW w:type="dxa" w:w="851"/>
            <w:shd w:fill="F2F5F9"/>
            <w:tcMar>
              <w:top w:w="100" w:type="dxa"/>
              <w:bottom w:w="100" w:type="dxa"/>
              <w:left w:w="150" w:type="dxa"/>
              <w:right w:w="150" w:type="dxa"/>
            </w:tcMar>
          </w:tcPr>
          <w:p>
            <w:pPr>
              <w:jc w:val="left"/>
            </w:pPr>
            <w:r>
              <w:rPr>
                <w:rFonts w:ascii="Arial" w:hAnsi="Arial"/>
                <w:sz w:val="18"/>
              </w:rPr>
              <w:t>Simple Linear Regression</w:t>
            </w:r>
          </w:p>
        </w:tc>
        <w:tc>
          <w:tcPr>
            <w:tcW w:type="dxa" w:w="851"/>
            <w:shd w:fill="F2F5F9"/>
            <w:tcMar>
              <w:top w:w="100" w:type="dxa"/>
              <w:bottom w:w="100" w:type="dxa"/>
              <w:left w:w="150" w:type="dxa"/>
              <w:right w:w="150" w:type="dxa"/>
            </w:tcMar>
          </w:tcPr>
          <w:p>
            <w:pPr>
              <w:jc w:val="right"/>
            </w:pPr>
            <w:r>
              <w:rPr>
                <w:rFonts w:ascii="Arial" w:hAnsi="Arial"/>
                <w:sz w:val="18"/>
              </w:rPr>
              <w:t>40,137.3121</w:t>
            </w:r>
          </w:p>
        </w:tc>
        <w:tc>
          <w:tcPr>
            <w:tcW w:type="dxa" w:w="851"/>
            <w:shd w:fill="F2F5F9"/>
            <w:tcMar>
              <w:top w:w="100" w:type="dxa"/>
              <w:bottom w:w="100" w:type="dxa"/>
              <w:left w:w="150" w:type="dxa"/>
              <w:right w:w="150" w:type="dxa"/>
            </w:tcMar>
          </w:tcPr>
          <w:p>
            <w:pPr>
              <w:jc w:val="right"/>
            </w:pPr>
            <w:r>
              <w:rPr>
                <w:rFonts w:ascii="Arial" w:hAnsi="Arial"/>
                <w:sz w:val="18"/>
              </w:rPr>
              <w:t>3,404,754,725.6799</w:t>
            </w:r>
          </w:p>
        </w:tc>
        <w:tc>
          <w:tcPr>
            <w:tcW w:type="dxa" w:w="851"/>
            <w:shd w:fill="F2F5F9"/>
            <w:tcMar>
              <w:top w:w="100" w:type="dxa"/>
              <w:bottom w:w="100" w:type="dxa"/>
              <w:left w:w="150" w:type="dxa"/>
              <w:right w:w="150" w:type="dxa"/>
            </w:tcMar>
          </w:tcPr>
          <w:p>
            <w:pPr>
              <w:jc w:val="right"/>
            </w:pPr>
            <w:r>
              <w:rPr>
                <w:rFonts w:ascii="Arial" w:hAnsi="Arial"/>
                <w:sz w:val="18"/>
              </w:rPr>
              <w:t>58,350.2761</w:t>
            </w:r>
          </w:p>
        </w:tc>
        <w:tc>
          <w:tcPr>
            <w:tcW w:type="dxa" w:w="851"/>
            <w:shd w:fill="F2F5F9"/>
            <w:tcMar>
              <w:top w:w="100" w:type="dxa"/>
              <w:bottom w:w="100" w:type="dxa"/>
              <w:left w:w="150" w:type="dxa"/>
              <w:right w:w="150" w:type="dxa"/>
            </w:tcMar>
          </w:tcPr>
          <w:p>
            <w:pPr>
              <w:jc w:val="right"/>
            </w:pPr>
            <w:r>
              <w:rPr>
                <w:rFonts w:ascii="Arial" w:hAnsi="Arial"/>
                <w:sz w:val="18"/>
              </w:rPr>
              <w:t>0.3513</w:t>
            </w:r>
          </w:p>
        </w:tc>
        <w:tc>
          <w:tcPr>
            <w:tcW w:type="dxa" w:w="851"/>
            <w:shd w:fill="F2F5F9"/>
            <w:tcMar>
              <w:top w:w="100" w:type="dxa"/>
              <w:bottom w:w="100" w:type="dxa"/>
              <w:left w:w="150" w:type="dxa"/>
              <w:right w:w="150" w:type="dxa"/>
            </w:tcMar>
          </w:tcPr>
          <w:p>
            <w:pPr>
              <w:jc w:val="right"/>
            </w:pPr>
            <w:r>
              <w:rPr>
                <w:rFonts w:ascii="Arial" w:hAnsi="Arial"/>
                <w:sz w:val="18"/>
              </w:rPr>
              <w:t>0.3490</w:t>
            </w:r>
          </w:p>
        </w:tc>
        <w:tc>
          <w:tcPr>
            <w:tcW w:type="dxa" w:w="851"/>
            <w:shd w:fill="F2F5F9"/>
            <w:tcMar>
              <w:top w:w="100" w:type="dxa"/>
              <w:bottom w:w="100" w:type="dxa"/>
              <w:left w:w="150" w:type="dxa"/>
              <w:right w:w="150" w:type="dxa"/>
            </w:tcMar>
          </w:tcPr>
          <w:p>
            <w:pPr>
              <w:jc w:val="right"/>
            </w:pPr>
            <w:r>
              <w:rPr>
                <w:rFonts w:ascii="Arial" w:hAnsi="Arial"/>
                <w:sz w:val="18"/>
              </w:rPr>
              <w:t>0.5215</w:t>
            </w:r>
          </w:p>
        </w:tc>
        <w:tc>
          <w:tcPr>
            <w:tcW w:type="dxa" w:w="851"/>
            <w:shd w:fill="F2F5F9"/>
            <w:tcMar>
              <w:top w:w="100" w:type="dxa"/>
              <w:bottom w:w="100" w:type="dxa"/>
              <w:left w:w="150" w:type="dxa"/>
              <w:right w:w="150" w:type="dxa"/>
            </w:tcMar>
          </w:tcPr>
          <w:p>
            <w:pPr>
              <w:jc w:val="right"/>
            </w:pPr>
            <w:r>
              <w:rPr>
                <w:rFonts w:ascii="Arial" w:hAnsi="Arial"/>
                <w:sz w:val="18"/>
              </w:rPr>
              <w:t>0.5121</w:t>
            </w:r>
          </w:p>
        </w:tc>
        <w:tc>
          <w:tcPr>
            <w:tcW w:type="dxa" w:w="851"/>
            <w:shd w:fill="F2F5F9"/>
            <w:tcMar>
              <w:top w:w="100" w:type="dxa"/>
              <w:bottom w:w="100" w:type="dxa"/>
              <w:left w:w="150" w:type="dxa"/>
              <w:right w:w="150" w:type="dxa"/>
            </w:tcMar>
          </w:tcPr>
          <w:p>
            <w:pPr>
              <w:jc w:val="right"/>
            </w:pPr>
            <w:r>
              <w:rPr>
                <w:rFonts w:ascii="Arial" w:hAnsi="Arial"/>
                <w:sz w:val="18"/>
              </w:rPr>
              <w:t>0.3513</w:t>
            </w:r>
          </w:p>
        </w:tc>
        <w:tc>
          <w:tcPr>
            <w:tcW w:type="dxa" w:w="851"/>
            <w:shd w:fill="F2F5F9"/>
            <w:tcMar>
              <w:top w:w="100" w:type="dxa"/>
              <w:bottom w:w="100" w:type="dxa"/>
              <w:left w:w="150" w:type="dxa"/>
              <w:right w:w="150" w:type="dxa"/>
            </w:tcMar>
          </w:tcPr>
          <w:p>
            <w:pPr>
              <w:jc w:val="right"/>
            </w:pPr>
            <w:r>
              <w:rPr>
                <w:rFonts w:ascii="Arial" w:hAnsi="Arial"/>
                <w:sz w:val="18"/>
              </w:rPr>
              <w:t>5</w:t>
            </w:r>
          </w:p>
        </w:tc>
      </w:tr>
      <w:tr>
        <w:tc>
          <w:tcPr>
            <w:tcW w:type="dxa" w:w="851"/>
            <w:shd w:fill="FFFFFF"/>
            <w:tcMar>
              <w:top w:w="100" w:type="dxa"/>
              <w:bottom w:w="100" w:type="dxa"/>
              <w:left w:w="150" w:type="dxa"/>
              <w:right w:w="150" w:type="dxa"/>
            </w:tcMar>
          </w:tcPr>
          <w:p>
            <w:pPr>
              <w:jc w:val="left"/>
            </w:pPr>
            <w:r>
              <w:rPr>
                <w:rFonts w:ascii="Arial" w:hAnsi="Arial"/>
                <w:sz w:val="18"/>
              </w:rPr>
              <w:t>Uci</w:t>
            </w:r>
          </w:p>
        </w:tc>
        <w:tc>
          <w:tcPr>
            <w:tcW w:type="dxa" w:w="851"/>
            <w:shd w:fill="FFFFFF"/>
            <w:tcMar>
              <w:top w:w="100" w:type="dxa"/>
              <w:bottom w:w="100" w:type="dxa"/>
              <w:left w:w="150" w:type="dxa"/>
              <w:right w:w="150" w:type="dxa"/>
            </w:tcMar>
          </w:tcPr>
          <w:p>
            <w:pPr>
              <w:jc w:val="left"/>
            </w:pPr>
            <w:r>
              <w:rPr>
                <w:rFonts w:ascii="Arial" w:hAnsi="Arial"/>
                <w:sz w:val="18"/>
              </w:rPr>
              <w:t>Random Forest Regressor</w:t>
            </w:r>
          </w:p>
        </w:tc>
        <w:tc>
          <w:tcPr>
            <w:tcW w:type="dxa" w:w="851"/>
            <w:shd w:fill="FFFFFF"/>
            <w:tcMar>
              <w:top w:w="100" w:type="dxa"/>
              <w:bottom w:w="100" w:type="dxa"/>
              <w:left w:w="150" w:type="dxa"/>
              <w:right w:w="150" w:type="dxa"/>
            </w:tcMar>
          </w:tcPr>
          <w:p>
            <w:pPr>
              <w:jc w:val="right"/>
            </w:pPr>
            <w:r>
              <w:rPr>
                <w:rFonts w:ascii="Arial" w:hAnsi="Arial"/>
                <w:sz w:val="18"/>
              </w:rPr>
              <w:t>3.9036</w:t>
            </w:r>
          </w:p>
        </w:tc>
        <w:tc>
          <w:tcPr>
            <w:tcW w:type="dxa" w:w="851"/>
            <w:shd w:fill="FFFFFF"/>
            <w:tcMar>
              <w:top w:w="100" w:type="dxa"/>
              <w:bottom w:w="100" w:type="dxa"/>
              <w:left w:w="150" w:type="dxa"/>
              <w:right w:w="150" w:type="dxa"/>
            </w:tcMar>
          </w:tcPr>
          <w:p>
            <w:pPr>
              <w:jc w:val="right"/>
            </w:pPr>
            <w:r>
              <w:rPr>
                <w:rFonts w:ascii="Arial" w:hAnsi="Arial"/>
                <w:sz w:val="18"/>
              </w:rPr>
              <w:t>32.0135</w:t>
            </w:r>
          </w:p>
        </w:tc>
        <w:tc>
          <w:tcPr>
            <w:tcW w:type="dxa" w:w="851"/>
            <w:shd w:fill="FFFFFF"/>
            <w:tcMar>
              <w:top w:w="100" w:type="dxa"/>
              <w:bottom w:w="100" w:type="dxa"/>
              <w:left w:w="150" w:type="dxa"/>
              <w:right w:w="150" w:type="dxa"/>
            </w:tcMar>
          </w:tcPr>
          <w:p>
            <w:pPr>
              <w:jc w:val="right"/>
            </w:pPr>
            <w:r>
              <w:rPr>
                <w:rFonts w:ascii="Arial" w:hAnsi="Arial"/>
                <w:sz w:val="18"/>
              </w:rPr>
              <w:t>5.6580</w:t>
            </w:r>
          </w:p>
        </w:tc>
        <w:tc>
          <w:tcPr>
            <w:tcW w:type="dxa" w:w="851"/>
            <w:shd w:fill="FFFFFF"/>
            <w:tcMar>
              <w:top w:w="100" w:type="dxa"/>
              <w:bottom w:w="100" w:type="dxa"/>
              <w:left w:w="150" w:type="dxa"/>
              <w:right w:w="150" w:type="dxa"/>
            </w:tcMar>
          </w:tcPr>
          <w:p>
            <w:pPr>
              <w:jc w:val="right"/>
            </w:pPr>
            <w:r>
              <w:rPr>
                <w:rFonts w:ascii="Arial" w:hAnsi="Arial"/>
                <w:sz w:val="18"/>
              </w:rPr>
              <w:t>0.8092</w:t>
            </w:r>
          </w:p>
        </w:tc>
        <w:tc>
          <w:tcPr>
            <w:tcW w:type="dxa" w:w="851"/>
            <w:shd w:fill="FFFFFF"/>
            <w:tcMar>
              <w:top w:w="100" w:type="dxa"/>
              <w:bottom w:w="100" w:type="dxa"/>
              <w:left w:w="150" w:type="dxa"/>
              <w:right w:w="150" w:type="dxa"/>
            </w:tcMar>
          </w:tcPr>
          <w:p>
            <w:pPr>
              <w:jc w:val="right"/>
            </w:pPr>
            <w:r>
              <w:rPr>
                <w:rFonts w:ascii="Arial" w:hAnsi="Arial"/>
                <w:sz w:val="18"/>
              </w:rPr>
              <w:t>0.7941</w:t>
            </w:r>
          </w:p>
        </w:tc>
        <w:tc>
          <w:tcPr>
            <w:tcW w:type="dxa" w:w="851"/>
            <w:shd w:fill="FFFFFF"/>
            <w:tcMar>
              <w:top w:w="100" w:type="dxa"/>
              <w:bottom w:w="100" w:type="dxa"/>
              <w:left w:w="150" w:type="dxa"/>
              <w:right w:w="150" w:type="dxa"/>
            </w:tcMar>
          </w:tcPr>
          <w:p>
            <w:pPr>
              <w:jc w:val="right"/>
            </w:pPr>
            <w:r>
              <w:rPr>
                <w:rFonts w:ascii="Arial" w:hAnsi="Arial"/>
                <w:sz w:val="18"/>
              </w:rPr>
              <w:t>0.6521</w:t>
            </w:r>
          </w:p>
        </w:tc>
        <w:tc>
          <w:tcPr>
            <w:tcW w:type="dxa" w:w="851"/>
            <w:shd w:fill="FFFFFF"/>
            <w:tcMar>
              <w:top w:w="100" w:type="dxa"/>
              <w:bottom w:w="100" w:type="dxa"/>
              <w:left w:w="150" w:type="dxa"/>
              <w:right w:w="150" w:type="dxa"/>
            </w:tcMar>
          </w:tcPr>
          <w:p>
            <w:pPr>
              <w:jc w:val="right"/>
            </w:pPr>
            <w:r>
              <w:rPr>
                <w:rFonts w:ascii="Arial" w:hAnsi="Arial"/>
                <w:sz w:val="18"/>
              </w:rPr>
              <w:t>0.9152</w:t>
            </w:r>
          </w:p>
        </w:tc>
        <w:tc>
          <w:tcPr>
            <w:tcW w:type="dxa" w:w="851"/>
            <w:shd w:fill="FFFFFF"/>
            <w:tcMar>
              <w:top w:w="100" w:type="dxa"/>
              <w:bottom w:w="100" w:type="dxa"/>
              <w:left w:w="150" w:type="dxa"/>
              <w:right w:w="150" w:type="dxa"/>
            </w:tcMar>
          </w:tcPr>
          <w:p>
            <w:pPr>
              <w:jc w:val="right"/>
            </w:pPr>
            <w:r>
              <w:rPr>
                <w:rFonts w:ascii="Arial" w:hAnsi="Arial"/>
                <w:sz w:val="18"/>
              </w:rPr>
              <w:t>0.8092</w:t>
            </w:r>
          </w:p>
        </w:tc>
        <w:tc>
          <w:tcPr>
            <w:tcW w:type="dxa" w:w="851"/>
            <w:shd w:fill="FFFFFF"/>
            <w:tcMar>
              <w:top w:w="100" w:type="dxa"/>
              <w:bottom w:w="100" w:type="dxa"/>
              <w:left w:w="150" w:type="dxa"/>
              <w:right w:w="150" w:type="dxa"/>
            </w:tcMar>
          </w:tcPr>
          <w:p>
            <w:pPr>
              <w:jc w:val="right"/>
            </w:pPr>
            <w:r>
              <w:rPr>
                <w:rFonts w:ascii="Arial" w:hAnsi="Arial"/>
                <w:sz w:val="18"/>
              </w:rPr>
              <w:t>1</w:t>
            </w:r>
          </w:p>
        </w:tc>
      </w:tr>
      <w:tr>
        <w:tc>
          <w:tcPr>
            <w:tcW w:type="dxa" w:w="851"/>
            <w:shd w:fill="F2F5F9"/>
            <w:tcMar>
              <w:top w:w="100" w:type="dxa"/>
              <w:bottom w:w="100" w:type="dxa"/>
              <w:left w:w="150" w:type="dxa"/>
              <w:right w:w="150" w:type="dxa"/>
            </w:tcMar>
          </w:tcPr>
          <w:p>
            <w:pPr>
              <w:jc w:val="left"/>
            </w:pPr>
            <w:r>
              <w:rPr>
                <w:rFonts w:ascii="Arial" w:hAnsi="Arial"/>
                <w:sz w:val="18"/>
              </w:rPr>
              <w:t>Uci</w:t>
            </w:r>
          </w:p>
        </w:tc>
        <w:tc>
          <w:tcPr>
            <w:tcW w:type="dxa" w:w="851"/>
            <w:shd w:fill="F2F5F9"/>
            <w:tcMar>
              <w:top w:w="100" w:type="dxa"/>
              <w:bottom w:w="100" w:type="dxa"/>
              <w:left w:w="150" w:type="dxa"/>
              <w:right w:w="150" w:type="dxa"/>
            </w:tcMar>
          </w:tcPr>
          <w:p>
            <w:pPr>
              <w:jc w:val="left"/>
            </w:pPr>
            <w:r>
              <w:rPr>
                <w:rFonts w:ascii="Arial" w:hAnsi="Arial"/>
                <w:sz w:val="18"/>
              </w:rPr>
              <w:t>Gradient Boosting Regressor</w:t>
            </w:r>
          </w:p>
        </w:tc>
        <w:tc>
          <w:tcPr>
            <w:tcW w:type="dxa" w:w="851"/>
            <w:shd w:fill="F2F5F9"/>
            <w:tcMar>
              <w:top w:w="100" w:type="dxa"/>
              <w:bottom w:w="100" w:type="dxa"/>
              <w:left w:w="150" w:type="dxa"/>
              <w:right w:w="150" w:type="dxa"/>
            </w:tcMar>
          </w:tcPr>
          <w:p>
            <w:pPr>
              <w:jc w:val="right"/>
            </w:pPr>
            <w:r>
              <w:rPr>
                <w:rFonts w:ascii="Arial" w:hAnsi="Arial"/>
                <w:sz w:val="18"/>
              </w:rPr>
              <w:t>3.9693</w:t>
            </w:r>
          </w:p>
        </w:tc>
        <w:tc>
          <w:tcPr>
            <w:tcW w:type="dxa" w:w="851"/>
            <w:shd w:fill="F2F5F9"/>
            <w:tcMar>
              <w:top w:w="100" w:type="dxa"/>
              <w:bottom w:w="100" w:type="dxa"/>
              <w:left w:w="150" w:type="dxa"/>
              <w:right w:w="150" w:type="dxa"/>
            </w:tcMar>
          </w:tcPr>
          <w:p>
            <w:pPr>
              <w:jc w:val="right"/>
            </w:pPr>
            <w:r>
              <w:rPr>
                <w:rFonts w:ascii="Arial" w:hAnsi="Arial"/>
                <w:sz w:val="18"/>
              </w:rPr>
              <w:t>36.4142</w:t>
            </w:r>
          </w:p>
        </w:tc>
        <w:tc>
          <w:tcPr>
            <w:tcW w:type="dxa" w:w="851"/>
            <w:shd w:fill="F2F5F9"/>
            <w:tcMar>
              <w:top w:w="100" w:type="dxa"/>
              <w:bottom w:w="100" w:type="dxa"/>
              <w:left w:w="150" w:type="dxa"/>
              <w:right w:w="150" w:type="dxa"/>
            </w:tcMar>
          </w:tcPr>
          <w:p>
            <w:pPr>
              <w:jc w:val="right"/>
            </w:pPr>
            <w:r>
              <w:rPr>
                <w:rFonts w:ascii="Arial" w:hAnsi="Arial"/>
                <w:sz w:val="18"/>
              </w:rPr>
              <w:t>6.0344</w:t>
            </w:r>
          </w:p>
        </w:tc>
        <w:tc>
          <w:tcPr>
            <w:tcW w:type="dxa" w:w="851"/>
            <w:shd w:fill="F2F5F9"/>
            <w:tcMar>
              <w:top w:w="100" w:type="dxa"/>
              <w:bottom w:w="100" w:type="dxa"/>
              <w:left w:w="150" w:type="dxa"/>
              <w:right w:w="150" w:type="dxa"/>
            </w:tcMar>
          </w:tcPr>
          <w:p>
            <w:pPr>
              <w:jc w:val="right"/>
            </w:pPr>
            <w:r>
              <w:rPr>
                <w:rFonts w:ascii="Arial" w:hAnsi="Arial"/>
                <w:sz w:val="18"/>
              </w:rPr>
              <w:t>0.7829</w:t>
            </w:r>
          </w:p>
        </w:tc>
        <w:tc>
          <w:tcPr>
            <w:tcW w:type="dxa" w:w="851"/>
            <w:shd w:fill="F2F5F9"/>
            <w:tcMar>
              <w:top w:w="100" w:type="dxa"/>
              <w:bottom w:w="100" w:type="dxa"/>
              <w:left w:w="150" w:type="dxa"/>
              <w:right w:w="150" w:type="dxa"/>
            </w:tcMar>
          </w:tcPr>
          <w:p>
            <w:pPr>
              <w:jc w:val="right"/>
            </w:pPr>
            <w:r>
              <w:rPr>
                <w:rFonts w:ascii="Arial" w:hAnsi="Arial"/>
                <w:sz w:val="18"/>
              </w:rPr>
              <w:t>0.7658</w:t>
            </w:r>
          </w:p>
        </w:tc>
        <w:tc>
          <w:tcPr>
            <w:tcW w:type="dxa" w:w="851"/>
            <w:shd w:fill="F2F5F9"/>
            <w:tcMar>
              <w:top w:w="100" w:type="dxa"/>
              <w:bottom w:w="100" w:type="dxa"/>
              <w:left w:w="150" w:type="dxa"/>
              <w:right w:w="150" w:type="dxa"/>
            </w:tcMar>
          </w:tcPr>
          <w:p>
            <w:pPr>
              <w:jc w:val="right"/>
            </w:pPr>
            <w:r>
              <w:rPr>
                <w:rFonts w:ascii="Arial" w:hAnsi="Arial"/>
                <w:sz w:val="18"/>
              </w:rPr>
              <w:t>0.6452</w:t>
            </w:r>
          </w:p>
        </w:tc>
        <w:tc>
          <w:tcPr>
            <w:tcW w:type="dxa" w:w="851"/>
            <w:shd w:fill="F2F5F9"/>
            <w:tcMar>
              <w:top w:w="100" w:type="dxa"/>
              <w:bottom w:w="100" w:type="dxa"/>
              <w:left w:w="150" w:type="dxa"/>
              <w:right w:w="150" w:type="dxa"/>
            </w:tcMar>
          </w:tcPr>
          <w:p>
            <w:pPr>
              <w:jc w:val="right"/>
            </w:pPr>
            <w:r>
              <w:rPr>
                <w:rFonts w:ascii="Arial" w:hAnsi="Arial"/>
                <w:sz w:val="18"/>
              </w:rPr>
              <w:t>0.9300</w:t>
            </w:r>
          </w:p>
        </w:tc>
        <w:tc>
          <w:tcPr>
            <w:tcW w:type="dxa" w:w="851"/>
            <w:shd w:fill="F2F5F9"/>
            <w:tcMar>
              <w:top w:w="100" w:type="dxa"/>
              <w:bottom w:w="100" w:type="dxa"/>
              <w:left w:w="150" w:type="dxa"/>
              <w:right w:w="150" w:type="dxa"/>
            </w:tcMar>
          </w:tcPr>
          <w:p>
            <w:pPr>
              <w:jc w:val="right"/>
            </w:pPr>
            <w:r>
              <w:rPr>
                <w:rFonts w:ascii="Arial" w:hAnsi="Arial"/>
                <w:sz w:val="18"/>
              </w:rPr>
              <w:t>0.7829</w:t>
            </w:r>
          </w:p>
        </w:tc>
        <w:tc>
          <w:tcPr>
            <w:tcW w:type="dxa" w:w="851"/>
            <w:shd w:fill="F2F5F9"/>
            <w:tcMar>
              <w:top w:w="100" w:type="dxa"/>
              <w:bottom w:w="100" w:type="dxa"/>
              <w:left w:w="150" w:type="dxa"/>
              <w:right w:w="150" w:type="dxa"/>
            </w:tcMar>
          </w:tcPr>
          <w:p>
            <w:pPr>
              <w:jc w:val="right"/>
            </w:pPr>
            <w:r>
              <w:rPr>
                <w:rFonts w:ascii="Arial" w:hAnsi="Arial"/>
                <w:sz w:val="18"/>
              </w:rPr>
              <w:t>2</w:t>
            </w:r>
          </w:p>
        </w:tc>
      </w:tr>
      <w:tr>
        <w:tc>
          <w:tcPr>
            <w:tcW w:type="dxa" w:w="851"/>
            <w:shd w:fill="FFFFFF"/>
            <w:tcMar>
              <w:top w:w="100" w:type="dxa"/>
              <w:bottom w:w="100" w:type="dxa"/>
              <w:left w:w="150" w:type="dxa"/>
              <w:right w:w="150" w:type="dxa"/>
            </w:tcMar>
          </w:tcPr>
          <w:p>
            <w:pPr>
              <w:jc w:val="left"/>
            </w:pPr>
            <w:r>
              <w:rPr>
                <w:rFonts w:ascii="Arial" w:hAnsi="Arial"/>
                <w:sz w:val="18"/>
              </w:rPr>
              <w:t>Uci</w:t>
            </w:r>
          </w:p>
        </w:tc>
        <w:tc>
          <w:tcPr>
            <w:tcW w:type="dxa" w:w="851"/>
            <w:shd w:fill="FFFFFF"/>
            <w:tcMar>
              <w:top w:w="100" w:type="dxa"/>
              <w:bottom w:w="100" w:type="dxa"/>
              <w:left w:w="150" w:type="dxa"/>
              <w:right w:w="150" w:type="dxa"/>
            </w:tcMar>
          </w:tcPr>
          <w:p>
            <w:pPr>
              <w:jc w:val="left"/>
            </w:pPr>
            <w:r>
              <w:rPr>
                <w:rFonts w:ascii="Arial" w:hAnsi="Arial"/>
                <w:sz w:val="18"/>
              </w:rPr>
              <w:t>Decision Tree Regressor</w:t>
            </w:r>
          </w:p>
        </w:tc>
        <w:tc>
          <w:tcPr>
            <w:tcW w:type="dxa" w:w="851"/>
            <w:shd w:fill="FFFFFF"/>
            <w:tcMar>
              <w:top w:w="100" w:type="dxa"/>
              <w:bottom w:w="100" w:type="dxa"/>
              <w:left w:w="150" w:type="dxa"/>
              <w:right w:w="150" w:type="dxa"/>
            </w:tcMar>
          </w:tcPr>
          <w:p>
            <w:pPr>
              <w:jc w:val="right"/>
            </w:pPr>
            <w:r>
              <w:rPr>
                <w:rFonts w:ascii="Arial" w:hAnsi="Arial"/>
                <w:sz w:val="18"/>
              </w:rPr>
              <w:t>4.4956</w:t>
            </w:r>
          </w:p>
        </w:tc>
        <w:tc>
          <w:tcPr>
            <w:tcW w:type="dxa" w:w="851"/>
            <w:shd w:fill="FFFFFF"/>
            <w:tcMar>
              <w:top w:w="100" w:type="dxa"/>
              <w:bottom w:w="100" w:type="dxa"/>
              <w:left w:w="150" w:type="dxa"/>
              <w:right w:w="150" w:type="dxa"/>
            </w:tcMar>
          </w:tcPr>
          <w:p>
            <w:pPr>
              <w:jc w:val="right"/>
            </w:pPr>
            <w:r>
              <w:rPr>
                <w:rFonts w:ascii="Arial" w:hAnsi="Arial"/>
                <w:sz w:val="18"/>
              </w:rPr>
              <w:t>42.4036</w:t>
            </w:r>
          </w:p>
        </w:tc>
        <w:tc>
          <w:tcPr>
            <w:tcW w:type="dxa" w:w="851"/>
            <w:shd w:fill="FFFFFF"/>
            <w:tcMar>
              <w:top w:w="100" w:type="dxa"/>
              <w:bottom w:w="100" w:type="dxa"/>
              <w:left w:w="150" w:type="dxa"/>
              <w:right w:w="150" w:type="dxa"/>
            </w:tcMar>
          </w:tcPr>
          <w:p>
            <w:pPr>
              <w:jc w:val="right"/>
            </w:pPr>
            <w:r>
              <w:rPr>
                <w:rFonts w:ascii="Arial" w:hAnsi="Arial"/>
                <w:sz w:val="18"/>
              </w:rPr>
              <w:t>6.5118</w:t>
            </w:r>
          </w:p>
        </w:tc>
        <w:tc>
          <w:tcPr>
            <w:tcW w:type="dxa" w:w="851"/>
            <w:shd w:fill="FFFFFF"/>
            <w:tcMar>
              <w:top w:w="100" w:type="dxa"/>
              <w:bottom w:w="100" w:type="dxa"/>
              <w:left w:w="150" w:type="dxa"/>
              <w:right w:w="150" w:type="dxa"/>
            </w:tcMar>
          </w:tcPr>
          <w:p>
            <w:pPr>
              <w:jc w:val="right"/>
            </w:pPr>
            <w:r>
              <w:rPr>
                <w:rFonts w:ascii="Arial" w:hAnsi="Arial"/>
                <w:sz w:val="18"/>
              </w:rPr>
              <w:t>0.7472</w:t>
            </w:r>
          </w:p>
        </w:tc>
        <w:tc>
          <w:tcPr>
            <w:tcW w:type="dxa" w:w="851"/>
            <w:shd w:fill="FFFFFF"/>
            <w:tcMar>
              <w:top w:w="100" w:type="dxa"/>
              <w:bottom w:w="100" w:type="dxa"/>
              <w:left w:w="150" w:type="dxa"/>
              <w:right w:w="150" w:type="dxa"/>
            </w:tcMar>
          </w:tcPr>
          <w:p>
            <w:pPr>
              <w:jc w:val="right"/>
            </w:pPr>
            <w:r>
              <w:rPr>
                <w:rFonts w:ascii="Arial" w:hAnsi="Arial"/>
                <w:sz w:val="18"/>
              </w:rPr>
              <w:t>0.7273</w:t>
            </w:r>
          </w:p>
        </w:tc>
        <w:tc>
          <w:tcPr>
            <w:tcW w:type="dxa" w:w="851"/>
            <w:shd w:fill="FFFFFF"/>
            <w:tcMar>
              <w:top w:w="100" w:type="dxa"/>
              <w:bottom w:w="100" w:type="dxa"/>
              <w:left w:w="150" w:type="dxa"/>
              <w:right w:w="150" w:type="dxa"/>
            </w:tcMar>
          </w:tcPr>
          <w:p>
            <w:pPr>
              <w:jc w:val="right"/>
            </w:pPr>
            <w:r>
              <w:rPr>
                <w:rFonts w:ascii="Arial" w:hAnsi="Arial"/>
                <w:sz w:val="18"/>
              </w:rPr>
              <w:t>0.5846</w:t>
            </w:r>
          </w:p>
        </w:tc>
        <w:tc>
          <w:tcPr>
            <w:tcW w:type="dxa" w:w="851"/>
            <w:shd w:fill="FFFFFF"/>
            <w:tcMar>
              <w:top w:w="100" w:type="dxa"/>
              <w:bottom w:w="100" w:type="dxa"/>
              <w:left w:w="150" w:type="dxa"/>
              <w:right w:w="150" w:type="dxa"/>
            </w:tcMar>
          </w:tcPr>
          <w:p>
            <w:pPr>
              <w:jc w:val="right"/>
            </w:pPr>
            <w:r>
              <w:rPr>
                <w:rFonts w:ascii="Arial" w:hAnsi="Arial"/>
                <w:sz w:val="18"/>
              </w:rPr>
              <w:t>0.8176</w:t>
            </w:r>
          </w:p>
        </w:tc>
        <w:tc>
          <w:tcPr>
            <w:tcW w:type="dxa" w:w="851"/>
            <w:shd w:fill="FFFFFF"/>
            <w:tcMar>
              <w:top w:w="100" w:type="dxa"/>
              <w:bottom w:w="100" w:type="dxa"/>
              <w:left w:w="150" w:type="dxa"/>
              <w:right w:w="150" w:type="dxa"/>
            </w:tcMar>
          </w:tcPr>
          <w:p>
            <w:pPr>
              <w:jc w:val="right"/>
            </w:pPr>
            <w:r>
              <w:rPr>
                <w:rFonts w:ascii="Arial" w:hAnsi="Arial"/>
                <w:sz w:val="18"/>
              </w:rPr>
              <w:t>0.7472</w:t>
            </w:r>
          </w:p>
        </w:tc>
        <w:tc>
          <w:tcPr>
            <w:tcW w:type="dxa" w:w="851"/>
            <w:shd w:fill="FFFFFF"/>
            <w:tcMar>
              <w:top w:w="100" w:type="dxa"/>
              <w:bottom w:w="100" w:type="dxa"/>
              <w:left w:w="150" w:type="dxa"/>
              <w:right w:w="150" w:type="dxa"/>
            </w:tcMar>
          </w:tcPr>
          <w:p>
            <w:pPr>
              <w:jc w:val="right"/>
            </w:pPr>
            <w:r>
              <w:rPr>
                <w:rFonts w:ascii="Arial" w:hAnsi="Arial"/>
                <w:sz w:val="18"/>
              </w:rPr>
              <w:t>3</w:t>
            </w:r>
          </w:p>
        </w:tc>
      </w:tr>
      <w:tr>
        <w:tc>
          <w:tcPr>
            <w:tcW w:type="dxa" w:w="851"/>
            <w:shd w:fill="F2F5F9"/>
            <w:tcMar>
              <w:top w:w="100" w:type="dxa"/>
              <w:bottom w:w="100" w:type="dxa"/>
              <w:left w:w="150" w:type="dxa"/>
              <w:right w:w="150" w:type="dxa"/>
            </w:tcMar>
          </w:tcPr>
          <w:p>
            <w:pPr>
              <w:jc w:val="left"/>
            </w:pPr>
            <w:r>
              <w:rPr>
                <w:rFonts w:ascii="Arial" w:hAnsi="Arial"/>
                <w:sz w:val="18"/>
              </w:rPr>
              <w:t>Uci</w:t>
            </w:r>
          </w:p>
        </w:tc>
        <w:tc>
          <w:tcPr>
            <w:tcW w:type="dxa" w:w="851"/>
            <w:shd w:fill="F2F5F9"/>
            <w:tcMar>
              <w:top w:w="100" w:type="dxa"/>
              <w:bottom w:w="100" w:type="dxa"/>
              <w:left w:w="150" w:type="dxa"/>
              <w:right w:w="150" w:type="dxa"/>
            </w:tcMar>
          </w:tcPr>
          <w:p>
            <w:pPr>
              <w:jc w:val="left"/>
            </w:pPr>
            <w:r>
              <w:rPr>
                <w:rFonts w:ascii="Arial" w:hAnsi="Arial"/>
                <w:sz w:val="18"/>
              </w:rPr>
              <w:t>Multiple Linear Regression</w:t>
            </w:r>
          </w:p>
        </w:tc>
        <w:tc>
          <w:tcPr>
            <w:tcW w:type="dxa" w:w="851"/>
            <w:shd w:fill="F2F5F9"/>
            <w:tcMar>
              <w:top w:w="100" w:type="dxa"/>
              <w:bottom w:w="100" w:type="dxa"/>
              <w:left w:w="150" w:type="dxa"/>
              <w:right w:w="150" w:type="dxa"/>
            </w:tcMar>
          </w:tcPr>
          <w:p>
            <w:pPr>
              <w:jc w:val="right"/>
            </w:pPr>
            <w:r>
              <w:rPr>
                <w:rFonts w:ascii="Arial" w:hAnsi="Arial"/>
                <w:sz w:val="18"/>
              </w:rPr>
              <w:t>5.3052</w:t>
            </w:r>
          </w:p>
        </w:tc>
        <w:tc>
          <w:tcPr>
            <w:tcW w:type="dxa" w:w="851"/>
            <w:shd w:fill="F2F5F9"/>
            <w:tcMar>
              <w:top w:w="100" w:type="dxa"/>
              <w:bottom w:w="100" w:type="dxa"/>
              <w:left w:w="150" w:type="dxa"/>
              <w:right w:w="150" w:type="dxa"/>
            </w:tcMar>
          </w:tcPr>
          <w:p>
            <w:pPr>
              <w:jc w:val="right"/>
            </w:pPr>
            <w:r>
              <w:rPr>
                <w:rFonts w:ascii="Arial" w:hAnsi="Arial"/>
                <w:sz w:val="18"/>
              </w:rPr>
              <w:t>53.5023</w:t>
            </w:r>
          </w:p>
        </w:tc>
        <w:tc>
          <w:tcPr>
            <w:tcW w:type="dxa" w:w="851"/>
            <w:shd w:fill="F2F5F9"/>
            <w:tcMar>
              <w:top w:w="100" w:type="dxa"/>
              <w:bottom w:w="100" w:type="dxa"/>
              <w:left w:w="150" w:type="dxa"/>
              <w:right w:w="150" w:type="dxa"/>
            </w:tcMar>
          </w:tcPr>
          <w:p>
            <w:pPr>
              <w:jc w:val="right"/>
            </w:pPr>
            <w:r>
              <w:rPr>
                <w:rFonts w:ascii="Arial" w:hAnsi="Arial"/>
                <w:sz w:val="18"/>
              </w:rPr>
              <w:t>7.3145</w:t>
            </w:r>
          </w:p>
        </w:tc>
        <w:tc>
          <w:tcPr>
            <w:tcW w:type="dxa" w:w="851"/>
            <w:shd w:fill="F2F5F9"/>
            <w:tcMar>
              <w:top w:w="100" w:type="dxa"/>
              <w:bottom w:w="100" w:type="dxa"/>
              <w:left w:w="150" w:type="dxa"/>
              <w:right w:w="150" w:type="dxa"/>
            </w:tcMar>
          </w:tcPr>
          <w:p>
            <w:pPr>
              <w:jc w:val="right"/>
            </w:pPr>
            <w:r>
              <w:rPr>
                <w:rFonts w:ascii="Arial" w:hAnsi="Arial"/>
                <w:sz w:val="18"/>
              </w:rPr>
              <w:t>0.6811</w:t>
            </w:r>
          </w:p>
        </w:tc>
        <w:tc>
          <w:tcPr>
            <w:tcW w:type="dxa" w:w="851"/>
            <w:shd w:fill="F2F5F9"/>
            <w:tcMar>
              <w:top w:w="100" w:type="dxa"/>
              <w:bottom w:w="100" w:type="dxa"/>
              <w:left w:w="150" w:type="dxa"/>
              <w:right w:w="150" w:type="dxa"/>
            </w:tcMar>
          </w:tcPr>
          <w:p>
            <w:pPr>
              <w:jc w:val="right"/>
            </w:pPr>
            <w:r>
              <w:rPr>
                <w:rFonts w:ascii="Arial" w:hAnsi="Arial"/>
                <w:sz w:val="18"/>
              </w:rPr>
              <w:t>0.6559</w:t>
            </w:r>
          </w:p>
        </w:tc>
        <w:tc>
          <w:tcPr>
            <w:tcW w:type="dxa" w:w="851"/>
            <w:shd w:fill="F2F5F9"/>
            <w:tcMar>
              <w:top w:w="100" w:type="dxa"/>
              <w:bottom w:w="100" w:type="dxa"/>
              <w:left w:w="150" w:type="dxa"/>
              <w:right w:w="150" w:type="dxa"/>
            </w:tcMar>
          </w:tcPr>
          <w:p>
            <w:pPr>
              <w:jc w:val="right"/>
            </w:pPr>
            <w:r>
              <w:rPr>
                <w:rFonts w:ascii="Arial" w:hAnsi="Arial"/>
                <w:sz w:val="18"/>
              </w:rPr>
              <w:t>0.5396</w:t>
            </w:r>
          </w:p>
        </w:tc>
        <w:tc>
          <w:tcPr>
            <w:tcW w:type="dxa" w:w="851"/>
            <w:shd w:fill="F2F5F9"/>
            <w:tcMar>
              <w:top w:w="100" w:type="dxa"/>
              <w:bottom w:w="100" w:type="dxa"/>
              <w:left w:w="150" w:type="dxa"/>
              <w:right w:w="150" w:type="dxa"/>
            </w:tcMar>
          </w:tcPr>
          <w:p>
            <w:pPr>
              <w:jc w:val="right"/>
            </w:pPr>
            <w:r>
              <w:rPr>
                <w:rFonts w:ascii="Arial" w:hAnsi="Arial"/>
                <w:sz w:val="18"/>
              </w:rPr>
              <w:t>0.5581</w:t>
            </w:r>
          </w:p>
        </w:tc>
        <w:tc>
          <w:tcPr>
            <w:tcW w:type="dxa" w:w="851"/>
            <w:shd w:fill="F2F5F9"/>
            <w:tcMar>
              <w:top w:w="100" w:type="dxa"/>
              <w:bottom w:w="100" w:type="dxa"/>
              <w:left w:w="150" w:type="dxa"/>
              <w:right w:w="150" w:type="dxa"/>
            </w:tcMar>
          </w:tcPr>
          <w:p>
            <w:pPr>
              <w:jc w:val="right"/>
            </w:pPr>
            <w:r>
              <w:rPr>
                <w:rFonts w:ascii="Arial" w:hAnsi="Arial"/>
                <w:sz w:val="18"/>
              </w:rPr>
              <w:t>0.6811</w:t>
            </w:r>
          </w:p>
        </w:tc>
        <w:tc>
          <w:tcPr>
            <w:tcW w:type="dxa" w:w="851"/>
            <w:shd w:fill="F2F5F9"/>
            <w:tcMar>
              <w:top w:w="100" w:type="dxa"/>
              <w:bottom w:w="100" w:type="dxa"/>
              <w:left w:w="150" w:type="dxa"/>
              <w:right w:w="150" w:type="dxa"/>
            </w:tcMar>
          </w:tcPr>
          <w:p>
            <w:pPr>
              <w:jc w:val="right"/>
            </w:pPr>
            <w:r>
              <w:rPr>
                <w:rFonts w:ascii="Arial" w:hAnsi="Arial"/>
                <w:sz w:val="18"/>
              </w:rPr>
              <w:t>4</w:t>
            </w:r>
          </w:p>
        </w:tc>
      </w:tr>
      <w:tr>
        <w:tc>
          <w:tcPr>
            <w:tcW w:type="dxa" w:w="851"/>
            <w:shd w:fill="FFFFFF"/>
            <w:tcMar>
              <w:top w:w="100" w:type="dxa"/>
              <w:bottom w:w="100" w:type="dxa"/>
              <w:left w:w="150" w:type="dxa"/>
              <w:right w:w="150" w:type="dxa"/>
            </w:tcMar>
          </w:tcPr>
          <w:p>
            <w:pPr>
              <w:jc w:val="left"/>
            </w:pPr>
            <w:r>
              <w:rPr>
                <w:rFonts w:ascii="Arial" w:hAnsi="Arial"/>
                <w:sz w:val="18"/>
              </w:rPr>
              <w:t>Uci</w:t>
            </w:r>
          </w:p>
        </w:tc>
        <w:tc>
          <w:tcPr>
            <w:tcW w:type="dxa" w:w="851"/>
            <w:shd w:fill="FFFFFF"/>
            <w:tcMar>
              <w:top w:w="100" w:type="dxa"/>
              <w:bottom w:w="100" w:type="dxa"/>
              <w:left w:w="150" w:type="dxa"/>
              <w:right w:w="150" w:type="dxa"/>
            </w:tcMar>
          </w:tcPr>
          <w:p>
            <w:pPr>
              <w:jc w:val="left"/>
            </w:pPr>
            <w:r>
              <w:rPr>
                <w:rFonts w:ascii="Arial" w:hAnsi="Arial"/>
                <w:sz w:val="18"/>
              </w:rPr>
              <w:t>Simple Linear Regression</w:t>
            </w:r>
          </w:p>
        </w:tc>
        <w:tc>
          <w:tcPr>
            <w:tcW w:type="dxa" w:w="851"/>
            <w:shd w:fill="FFFFFF"/>
            <w:tcMar>
              <w:top w:w="100" w:type="dxa"/>
              <w:bottom w:w="100" w:type="dxa"/>
              <w:left w:w="150" w:type="dxa"/>
              <w:right w:w="150" w:type="dxa"/>
            </w:tcMar>
          </w:tcPr>
          <w:p>
            <w:pPr>
              <w:jc w:val="right"/>
            </w:pPr>
            <w:r>
              <w:rPr>
                <w:rFonts w:ascii="Arial" w:hAnsi="Arial"/>
                <w:sz w:val="18"/>
              </w:rPr>
              <w:t>6.9210</w:t>
            </w:r>
          </w:p>
        </w:tc>
        <w:tc>
          <w:tcPr>
            <w:tcW w:type="dxa" w:w="851"/>
            <w:shd w:fill="FFFFFF"/>
            <w:tcMar>
              <w:top w:w="100" w:type="dxa"/>
              <w:bottom w:w="100" w:type="dxa"/>
              <w:left w:w="150" w:type="dxa"/>
              <w:right w:w="150" w:type="dxa"/>
            </w:tcMar>
          </w:tcPr>
          <w:p>
            <w:pPr>
              <w:jc w:val="right"/>
            </w:pPr>
            <w:r>
              <w:rPr>
                <w:rFonts w:ascii="Arial" w:hAnsi="Arial"/>
                <w:sz w:val="18"/>
              </w:rPr>
              <w:t>77.3440</w:t>
            </w:r>
          </w:p>
        </w:tc>
        <w:tc>
          <w:tcPr>
            <w:tcW w:type="dxa" w:w="851"/>
            <w:shd w:fill="FFFFFF"/>
            <w:tcMar>
              <w:top w:w="100" w:type="dxa"/>
              <w:bottom w:w="100" w:type="dxa"/>
              <w:left w:w="150" w:type="dxa"/>
              <w:right w:w="150" w:type="dxa"/>
            </w:tcMar>
          </w:tcPr>
          <w:p>
            <w:pPr>
              <w:jc w:val="right"/>
            </w:pPr>
            <w:r>
              <w:rPr>
                <w:rFonts w:ascii="Arial" w:hAnsi="Arial"/>
                <w:sz w:val="18"/>
              </w:rPr>
              <w:t>8.7945</w:t>
            </w:r>
          </w:p>
        </w:tc>
        <w:tc>
          <w:tcPr>
            <w:tcW w:type="dxa" w:w="851"/>
            <w:shd w:fill="FFFFFF"/>
            <w:tcMar>
              <w:top w:w="100" w:type="dxa"/>
              <w:bottom w:w="100" w:type="dxa"/>
              <w:left w:w="150" w:type="dxa"/>
              <w:right w:w="150" w:type="dxa"/>
            </w:tcMar>
          </w:tcPr>
          <w:p>
            <w:pPr>
              <w:jc w:val="right"/>
            </w:pPr>
            <w:r>
              <w:rPr>
                <w:rFonts w:ascii="Arial" w:hAnsi="Arial"/>
                <w:sz w:val="18"/>
              </w:rPr>
              <w:t>0.5390</w:t>
            </w:r>
          </w:p>
        </w:tc>
        <w:tc>
          <w:tcPr>
            <w:tcW w:type="dxa" w:w="851"/>
            <w:shd w:fill="FFFFFF"/>
            <w:tcMar>
              <w:top w:w="100" w:type="dxa"/>
              <w:bottom w:w="100" w:type="dxa"/>
              <w:left w:w="150" w:type="dxa"/>
              <w:right w:w="150" w:type="dxa"/>
            </w:tcMar>
          </w:tcPr>
          <w:p>
            <w:pPr>
              <w:jc w:val="right"/>
            </w:pPr>
            <w:r>
              <w:rPr>
                <w:rFonts w:ascii="Arial" w:hAnsi="Arial"/>
                <w:sz w:val="18"/>
              </w:rPr>
              <w:t>0.5333</w:t>
            </w:r>
          </w:p>
        </w:tc>
        <w:tc>
          <w:tcPr>
            <w:tcW w:type="dxa" w:w="851"/>
            <w:shd w:fill="FFFFFF"/>
            <w:tcMar>
              <w:top w:w="100" w:type="dxa"/>
              <w:bottom w:w="100" w:type="dxa"/>
              <w:left w:w="150" w:type="dxa"/>
              <w:right w:w="150" w:type="dxa"/>
            </w:tcMar>
          </w:tcPr>
          <w:p>
            <w:pPr>
              <w:jc w:val="right"/>
            </w:pPr>
            <w:r>
              <w:rPr>
                <w:rFonts w:ascii="Arial" w:hAnsi="Arial"/>
                <w:sz w:val="18"/>
              </w:rPr>
              <w:t>0.4202</w:t>
            </w:r>
          </w:p>
        </w:tc>
        <w:tc>
          <w:tcPr>
            <w:tcW w:type="dxa" w:w="851"/>
            <w:shd w:fill="FFFFFF"/>
            <w:tcMar>
              <w:top w:w="100" w:type="dxa"/>
              <w:bottom w:w="100" w:type="dxa"/>
              <w:left w:w="150" w:type="dxa"/>
              <w:right w:w="150" w:type="dxa"/>
            </w:tcMar>
          </w:tcPr>
          <w:p>
            <w:pPr>
              <w:jc w:val="right"/>
            </w:pPr>
            <w:r>
              <w:rPr>
                <w:rFonts w:ascii="Arial" w:hAnsi="Arial"/>
                <w:sz w:val="18"/>
              </w:rPr>
              <w:t>0.4317</w:t>
            </w:r>
          </w:p>
        </w:tc>
        <w:tc>
          <w:tcPr>
            <w:tcW w:type="dxa" w:w="851"/>
            <w:shd w:fill="FFFFFF"/>
            <w:tcMar>
              <w:top w:w="100" w:type="dxa"/>
              <w:bottom w:w="100" w:type="dxa"/>
              <w:left w:w="150" w:type="dxa"/>
              <w:right w:w="150" w:type="dxa"/>
            </w:tcMar>
          </w:tcPr>
          <w:p>
            <w:pPr>
              <w:jc w:val="right"/>
            </w:pPr>
            <w:r>
              <w:rPr>
                <w:rFonts w:ascii="Arial" w:hAnsi="Arial"/>
                <w:sz w:val="18"/>
              </w:rPr>
              <w:t>0.5390</w:t>
            </w:r>
          </w:p>
        </w:tc>
        <w:tc>
          <w:tcPr>
            <w:tcW w:type="dxa" w:w="851"/>
            <w:shd w:fill="FFFFFF"/>
            <w:tcMar>
              <w:top w:w="100" w:type="dxa"/>
              <w:bottom w:w="100" w:type="dxa"/>
              <w:left w:w="150" w:type="dxa"/>
              <w:right w:w="150" w:type="dxa"/>
            </w:tcMar>
          </w:tcPr>
          <w:p>
            <w:pPr>
              <w:jc w:val="right"/>
            </w:pPr>
            <w:r>
              <w:rPr>
                <w:rFonts w:ascii="Arial" w:hAnsi="Arial"/>
                <w:sz w:val="18"/>
              </w:rPr>
              <w:t>5</w:t>
            </w:r>
          </w:p>
        </w:tc>
      </w:tr>
    </w:tbl>
    <w:p>
      <w:pPr>
        <w:spacing w:before="0" w:after="120" w:line="276" w:lineRule="auto"/>
      </w:pPr>
    </w:p>
    <w:p>
      <w:pPr>
        <w:pStyle w:val="Heading2"/>
        <w:keepNext/>
        <w:spacing w:before="240" w:after="80" w:line="276" w:lineRule="auto"/>
      </w:pPr>
      <w:r>
        <w:rPr>
          <w:rFonts w:ascii="Arial" w:hAnsi="Arial"/>
          <w:b/>
          <w:color w:val="595959"/>
          <w:sz w:val="26"/>
        </w:rPr>
        <w:t>8.1 Key Comparison Insights</w:t>
      </w:r>
    </w:p>
    <w:p>
      <w:pPr>
        <w:spacing w:before="0" w:after="120" w:line="276" w:lineRule="auto"/>
      </w:pPr>
      <w:r>
        <w:rPr>
          <w:rFonts w:ascii="Arial" w:hAnsi="Arial"/>
          <w:color w:val="000000"/>
          <w:sz w:val="22"/>
        </w:rPr>
        <w:t>1. Impact of Feature Dimensionality: In the Ames dataset (low sample count of ~1,460 but high feature count of 80+), models that build multiple trees (Random Forest, Gradient Boosting) perform extremely well (R² ~0.89), as they are robust to high-dimensional noise and collinearity. Multiple Linear Regression is susceptible to overfitting here if not regularized, though proper scaling and target log-transformation (Table 4) allow OLS to fit effectively.</w:t>
      </w:r>
    </w:p>
    <w:p>
      <w:pPr>
        <w:spacing w:before="0" w:after="120" w:line="276" w:lineRule="auto"/>
      </w:pPr>
      <w:r>
        <w:rPr>
          <w:rFonts w:ascii="Arial" w:hAnsi="Arial"/>
          <w:color w:val="000000"/>
          <w:sz w:val="22"/>
        </w:rPr>
        <w:t>2. Impact of Data Volume: In the California dataset (large sample size of 20,640 records but only 8 features), Gradient Boosting achieves a Test R² of 0.8114. Linear models perform poorly here (R² ~0.57) due to complex geographic interactions (coordinates) that cannot be captured by linear terms.</w:t>
      </w:r>
    </w:p>
    <w:p>
      <w:pPr>
        <w:spacing w:before="0" w:after="120" w:line="276" w:lineRule="auto"/>
      </w:pPr>
      <w:r>
        <w:rPr>
          <w:rFonts w:ascii="Arial" w:hAnsi="Arial"/>
          <w:color w:val="000000"/>
          <w:sz w:val="22"/>
        </w:rPr>
        <w:t>3. Small Datasets: The UCI dataset (414 records) is prone to high variance. Random Forest performs best here (Test R² ~0.8092) because its bagging process effectively reduces variance on small sample sizes, whereas Gradient Boosting can overfit on very small datasets if learning rate is too high.</w:t>
      </w:r>
    </w:p>
    <w:p>
      <w:pPr>
        <w:pStyle w:val="Heading1"/>
        <w:keepNext/>
        <w:spacing w:before="360" w:after="120" w:line="276" w:lineRule="auto"/>
      </w:pPr>
      <w:r>
        <w:rPr>
          <w:rFonts w:ascii="Arial" w:hAnsi="Arial"/>
          <w:b/>
          <w:color w:val="2F5597"/>
          <w:sz w:val="32"/>
        </w:rPr>
        <w:t>Chapter 9: Discussion</w:t>
      </w:r>
    </w:p>
    <w:p>
      <w:pPr>
        <w:pStyle w:val="Heading2"/>
        <w:keepNext/>
        <w:spacing w:before="240" w:after="80" w:line="276" w:lineRule="auto"/>
      </w:pPr>
      <w:r>
        <w:rPr>
          <w:rFonts w:ascii="Arial" w:hAnsi="Arial"/>
          <w:b/>
          <w:color w:val="595959"/>
          <w:sz w:val="26"/>
        </w:rPr>
        <w:t>9.1 Discussion of Assumptions and Model Underperformance</w:t>
      </w:r>
    </w:p>
    <w:p>
      <w:pPr>
        <w:spacing w:before="0" w:after="120" w:line="276" w:lineRule="auto"/>
      </w:pPr>
      <w:r>
        <w:rPr>
          <w:rFonts w:ascii="Arial" w:hAnsi="Arial"/>
          <w:color w:val="000000"/>
          <w:sz w:val="22"/>
        </w:rPr>
        <w:t>Why did Simple Linear Regression underperform? Simple Linear Regression assumes that a single feature can explain all the variance in housing prices. While transit distance or median income explains a significant portion (R² ~0.45 to ~0.53), it ignores other critical factors, leading to high bias.</w:t>
      </w:r>
    </w:p>
    <w:p>
      <w:pPr>
        <w:spacing w:before="0" w:after="120" w:line="276" w:lineRule="auto"/>
      </w:pPr>
      <w:r>
        <w:rPr>
          <w:rFonts w:ascii="Arial" w:hAnsi="Arial"/>
          <w:color w:val="000000"/>
          <w:sz w:val="22"/>
        </w:rPr>
        <w:t>Why did Multiple Linear Regression underperform compared to tree models? Multiple Linear Regression assumes that features combine lineally. However, housing valuations are highly non-linear. For example, spatial coordinates represent geographic regions where location value does not scale linearly. Tree-based ensembles are non-parametric and excel at learning these step-like coordinate ranges and interactions.</w:t>
      </w:r>
    </w:p>
    <w:p>
      <w:pPr>
        <w:pStyle w:val="Heading2"/>
        <w:keepNext/>
        <w:spacing w:before="240" w:after="80" w:line="276" w:lineRule="auto"/>
      </w:pPr>
      <w:r>
        <w:rPr>
          <w:rFonts w:ascii="Arial" w:hAnsi="Arial"/>
          <w:b/>
          <w:color w:val="595959"/>
          <w:sz w:val="26"/>
        </w:rPr>
        <w:t>9.2 Risks and Limitations</w:t>
      </w:r>
    </w:p>
    <w:p>
      <w:pPr>
        <w:pStyle w:val="ListBullet"/>
        <w:spacing w:before="0" w:after="60" w:line="276" w:lineRule="auto"/>
      </w:pPr>
      <w:r>
        <w:rPr>
          <w:rFonts w:ascii="Arial" w:hAnsi="Arial"/>
          <w:b/>
          <w:sz w:val="22"/>
        </w:rPr>
        <w:t xml:space="preserve">Lack of Temporal Adaptation: </w:t>
      </w:r>
      <w:r>
        <w:rPr>
          <w:rFonts w:ascii="Arial" w:hAnsi="Arial"/>
          <w:sz w:val="22"/>
        </w:rPr>
        <w:t>The models do not account for time-series inflation or macroeconomic cycles (e.g., mortgage rate changes). Predictions reflect a static snapshot of the transaction periods.</w:t>
      </w:r>
    </w:p>
    <w:p>
      <w:pPr>
        <w:pStyle w:val="ListBullet"/>
        <w:spacing w:before="0" w:after="60" w:line="276" w:lineRule="auto"/>
      </w:pPr>
      <w:r>
        <w:rPr>
          <w:rFonts w:ascii="Arial" w:hAnsi="Arial"/>
          <w:b/>
          <w:sz w:val="22"/>
        </w:rPr>
        <w:t xml:space="preserve">Geographical Constraints: </w:t>
      </w:r>
      <w:r>
        <w:rPr>
          <w:rFonts w:ascii="Arial" w:hAnsi="Arial"/>
          <w:sz w:val="22"/>
        </w:rPr>
        <w:t>A model trained on California census blocks cannot generalize to Iowa or Taiwan. Real estate models are highly localized.</w:t>
      </w:r>
    </w:p>
    <w:p>
      <w:pPr>
        <w:pStyle w:val="ListBullet"/>
        <w:spacing w:before="0" w:after="60" w:line="276" w:lineRule="auto"/>
      </w:pPr>
      <w:r>
        <w:rPr>
          <w:rFonts w:ascii="Arial" w:hAnsi="Arial"/>
          <w:b/>
          <w:sz w:val="22"/>
        </w:rPr>
        <w:t xml:space="preserve">Extreme Valuations: </w:t>
      </w:r>
      <w:r>
        <w:rPr>
          <w:rFonts w:ascii="Arial" w:hAnsi="Arial"/>
          <w:sz w:val="22"/>
        </w:rPr>
        <w:t>Linear models underpredict high-value properties (due to OLS minimizing squared errors, pulling the regression line toward the mean), while tree models cannot extrapolate values outside the training range.</w:t>
      </w:r>
    </w:p>
    <w:p>
      <w:pPr>
        <w:pStyle w:val="Heading1"/>
        <w:keepNext/>
        <w:spacing w:before="360" w:after="120" w:line="276" w:lineRule="auto"/>
      </w:pPr>
      <w:r>
        <w:rPr>
          <w:rFonts w:ascii="Arial" w:hAnsi="Arial"/>
          <w:b/>
          <w:color w:val="2F5597"/>
          <w:sz w:val="32"/>
        </w:rPr>
        <w:t>Chapter 10: Conclusion</w:t>
      </w:r>
    </w:p>
    <w:p>
      <w:pPr>
        <w:pStyle w:val="Heading2"/>
        <w:keepNext/>
        <w:spacing w:before="240" w:after="80" w:line="276" w:lineRule="auto"/>
      </w:pPr>
      <w:r>
        <w:rPr>
          <w:rFonts w:ascii="Arial" w:hAnsi="Arial"/>
          <w:b/>
          <w:color w:val="595959"/>
          <w:sz w:val="26"/>
        </w:rPr>
        <w:t>10.1 Overall Project Objective Achieved</w:t>
      </w:r>
    </w:p>
    <w:p>
      <w:pPr>
        <w:spacing w:before="0" w:after="120" w:line="276" w:lineRule="auto"/>
      </w:pPr>
      <w:r>
        <w:rPr>
          <w:rFonts w:ascii="Arial" w:hAnsi="Arial"/>
          <w:color w:val="000000"/>
          <w:sz w:val="22"/>
        </w:rPr>
        <w:t>The primary objective of this laboratory study was successfully achieved: we designed, implemented, and compared end-to-end predictive machine learning pipelines using scikit-learn Pipelines, ColumnTransformers, and five distinct regression algorithms. The pipelines are fully reproducible and handle missing values, standardized scaling, and high-dimensional categorical encoding without data leakage.</w:t>
      </w:r>
    </w:p>
    <w:p>
      <w:pPr>
        <w:pStyle w:val="Heading2"/>
        <w:keepNext/>
        <w:spacing w:before="240" w:after="80" w:line="276" w:lineRule="auto"/>
      </w:pPr>
      <w:r>
        <w:rPr>
          <w:rFonts w:ascii="Arial" w:hAnsi="Arial"/>
          <w:b/>
          <w:color w:val="595959"/>
          <w:sz w:val="26"/>
        </w:rPr>
        <w:t>10.2 Best-Performing Model for Each Dataset</w:t>
      </w:r>
    </w:p>
    <w:p>
      <w:pPr>
        <w:pStyle w:val="ListBullet"/>
        <w:spacing w:before="0" w:after="60" w:line="276" w:lineRule="auto"/>
      </w:pPr>
      <w:r>
        <w:rPr>
          <w:rFonts w:ascii="Arial" w:hAnsi="Arial"/>
          <w:b/>
          <w:sz w:val="22"/>
        </w:rPr>
        <w:t xml:space="preserve">California Housing Dataset: </w:t>
      </w:r>
      <w:r>
        <w:rPr>
          <w:rFonts w:ascii="Arial" w:hAnsi="Arial"/>
          <w:sz w:val="22"/>
        </w:rPr>
        <w:t>Gradient Boosting Regressor achieved the best fit with a Test R² of 0.8114 and an RMSE of 0.4971, successfully capturing the non-linear geographical clusters of coastal California.</w:t>
      </w:r>
    </w:p>
    <w:p>
      <w:pPr>
        <w:pStyle w:val="ListBullet"/>
        <w:spacing w:before="0" w:after="60" w:line="276" w:lineRule="auto"/>
      </w:pPr>
      <w:r>
        <w:rPr>
          <w:rFonts w:ascii="Arial" w:hAnsi="Arial"/>
          <w:b/>
          <w:sz w:val="22"/>
        </w:rPr>
        <w:t xml:space="preserve">Ames Housing Dataset: </w:t>
      </w:r>
      <w:r>
        <w:rPr>
          <w:rFonts w:ascii="Arial" w:hAnsi="Arial"/>
          <w:sz w:val="22"/>
        </w:rPr>
        <w:t>Multiple Linear Regression emerged as the top performer with a Test R² of 0.9038 and an RMSE of $22,470, demonstrating that OLS fits exceptionally well once target skewness is resolved via log-transformation and structural variables are properly encoded.</w:t>
      </w:r>
    </w:p>
    <w:p>
      <w:pPr>
        <w:pStyle w:val="ListBullet"/>
        <w:spacing w:before="0" w:after="60" w:line="276" w:lineRule="auto"/>
      </w:pPr>
      <w:r>
        <w:rPr>
          <w:rFonts w:ascii="Arial" w:hAnsi="Arial"/>
          <w:b/>
          <w:sz w:val="22"/>
        </w:rPr>
        <w:t xml:space="preserve">UCI Real Estate Valuation Dataset: </w:t>
      </w:r>
      <w:r>
        <w:rPr>
          <w:rFonts w:ascii="Arial" w:hAnsi="Arial"/>
          <w:sz w:val="22"/>
        </w:rPr>
        <w:t>Random Forest Regressor yielded the highest Test R² of 0.8092 and an RMSE of 5.6580, showing the power of bagging to prevent overfitting on small datasets.</w:t>
      </w:r>
    </w:p>
    <w:p>
      <w:pPr>
        <w:pStyle w:val="Heading2"/>
        <w:keepNext/>
        <w:spacing w:before="240" w:after="80" w:line="276" w:lineRule="auto"/>
      </w:pPr>
      <w:r>
        <w:rPr>
          <w:rFonts w:ascii="Arial" w:hAnsi="Arial"/>
          <w:b/>
          <w:color w:val="595959"/>
          <w:sz w:val="26"/>
        </w:rPr>
        <w:t>10.3 Overall Best-Performing Model</w:t>
      </w:r>
    </w:p>
    <w:p>
      <w:pPr>
        <w:spacing w:before="0" w:after="120" w:line="276" w:lineRule="auto"/>
      </w:pPr>
      <w:r>
        <w:rPr>
          <w:rFonts w:ascii="Arial" w:hAnsi="Arial"/>
          <w:color w:val="000000"/>
          <w:sz w:val="22"/>
        </w:rPr>
        <w:t>Across all datasets, the Multiple Linear Regression model on the Ames dataset achieved the highest absolute predictive quality (Test R² of 0.9038). This empirical finding proves that linear assumptions are powerful when datasets contain strong linear structural signals (e.g., GrLivArea, OverallQual) and when data engineering is applied. In terms of overall algorithm robustness, Gradient Boosting was the most versatile, yielding high-tier R² scores across all three diverse problem spaces.</w:t>
      </w:r>
    </w:p>
    <w:p>
      <w:pPr>
        <w:pStyle w:val="Heading2"/>
        <w:keepNext/>
        <w:spacing w:before="240" w:after="80" w:line="276" w:lineRule="auto"/>
      </w:pPr>
      <w:r>
        <w:rPr>
          <w:rFonts w:ascii="Arial" w:hAnsi="Arial"/>
          <w:b/>
          <w:color w:val="595959"/>
          <w:sz w:val="26"/>
        </w:rPr>
        <w:t>10.4 Practical Applications</w:t>
      </w:r>
    </w:p>
    <w:p>
      <w:pPr>
        <w:spacing w:before="0" w:after="120" w:line="276" w:lineRule="auto"/>
      </w:pPr>
      <w:r>
        <w:rPr>
          <w:rFonts w:ascii="Arial" w:hAnsi="Arial"/>
          <w:color w:val="000000"/>
          <w:sz w:val="22"/>
        </w:rPr>
        <w:t>These predictive pipelines can be directly integrated into commercial real estate Automated Valuation Models (AVMs), mortgage credit underwriting systems, property insurance risk assessments, and real-estate investment trust (REIT) portfolio optimization platforms. Automation reduces operational overhead and provides objective, data-driven property valuations.</w:t>
      </w:r>
    </w:p>
    <w:p>
      <w:pPr>
        <w:pStyle w:val="Heading2"/>
        <w:keepNext/>
        <w:spacing w:before="240" w:after="80" w:line="276" w:lineRule="auto"/>
      </w:pPr>
      <w:r>
        <w:rPr>
          <w:rFonts w:ascii="Arial" w:hAnsi="Arial"/>
          <w:b/>
          <w:color w:val="595959"/>
          <w:sz w:val="26"/>
        </w:rPr>
        <w:t>10.5 Limitations of the Study</w:t>
      </w:r>
    </w:p>
    <w:p>
      <w:pPr>
        <w:pStyle w:val="ListBullet"/>
        <w:spacing w:before="0" w:after="60" w:line="276" w:lineRule="auto"/>
      </w:pPr>
      <w:r>
        <w:rPr>
          <w:rFonts w:ascii="Arial" w:hAnsi="Arial"/>
          <w:b/>
          <w:sz w:val="22"/>
        </w:rPr>
        <w:t xml:space="preserve">Lack of Temporal Dynamics: </w:t>
      </w:r>
      <w:r>
        <w:rPr>
          <w:rFonts w:ascii="Arial" w:hAnsi="Arial"/>
          <w:sz w:val="22"/>
        </w:rPr>
        <w:t>The pipelines do not incorporate inflation metrics, mortgage rates, or local macroeconomic growth factors.</w:t>
      </w:r>
    </w:p>
    <w:p>
      <w:pPr>
        <w:pStyle w:val="ListBullet"/>
        <w:spacing w:before="0" w:after="60" w:line="276" w:lineRule="auto"/>
      </w:pPr>
      <w:r>
        <w:rPr>
          <w:rFonts w:ascii="Arial" w:hAnsi="Arial"/>
          <w:b/>
          <w:sz w:val="22"/>
        </w:rPr>
        <w:t xml:space="preserve">Geographic Isolation: </w:t>
      </w:r>
      <w:r>
        <w:rPr>
          <w:rFonts w:ascii="Arial" w:hAnsi="Arial"/>
          <w:sz w:val="22"/>
        </w:rPr>
        <w:t>The trained models are spatially bound; a model trained on Iowa data cannot make predictions in California due to regional price structural differences.</w:t>
      </w:r>
    </w:p>
    <w:p>
      <w:pPr>
        <w:pStyle w:val="ListBullet"/>
        <w:spacing w:before="0" w:after="60" w:line="276" w:lineRule="auto"/>
      </w:pPr>
      <w:r>
        <w:rPr>
          <w:rFonts w:ascii="Arial" w:hAnsi="Arial"/>
          <w:b/>
          <w:sz w:val="22"/>
        </w:rPr>
        <w:t xml:space="preserve">Tree Extrapolation Bounds: </w:t>
      </w:r>
      <w:r>
        <w:rPr>
          <w:rFonts w:ascii="Arial" w:hAnsi="Arial"/>
          <w:sz w:val="22"/>
        </w:rPr>
        <w:t>Tree-based regressors (Decision Tree, Random Forest, and Gradient Boosting) cannot extrapolate and predict prices higher than the maximum target value present in the training set.</w:t>
      </w:r>
    </w:p>
    <w:p>
      <w:pPr>
        <w:pStyle w:val="Heading2"/>
        <w:keepNext/>
        <w:spacing w:before="240" w:after="80" w:line="276" w:lineRule="auto"/>
      </w:pPr>
      <w:r>
        <w:rPr>
          <w:rFonts w:ascii="Arial" w:hAnsi="Arial"/>
          <w:b/>
          <w:color w:val="595959"/>
          <w:sz w:val="26"/>
        </w:rPr>
        <w:t>10.6 Future Work</w:t>
      </w:r>
    </w:p>
    <w:p>
      <w:pPr>
        <w:spacing w:before="0" w:after="120" w:line="276" w:lineRule="auto"/>
      </w:pPr>
      <w:r>
        <w:rPr>
          <w:rFonts w:ascii="Arial" w:hAnsi="Arial"/>
          <w:color w:val="000000"/>
          <w:sz w:val="22"/>
        </w:rPr>
        <w:t>Future extensions will focus on: (1) integrating time-series economic indicators (e.g. federal interest rates, CPI), (2) implementing geospatial models (e.g. Geographically Weighted Regression or Kriging), and (3) using deep learning embeddings (e.g. TabNet) to learn complex categorical features without expanding dimensionality.</w:t>
      </w:r>
    </w:p>
    <w:p>
      <w:pPr>
        <w:pStyle w:val="Heading2"/>
        <w:keepNext/>
        <w:spacing w:before="240" w:after="80" w:line="276" w:lineRule="auto"/>
      </w:pPr>
      <w:r>
        <w:rPr>
          <w:rFonts w:ascii="Arial" w:hAnsi="Arial"/>
          <w:b/>
          <w:color w:val="595959"/>
          <w:sz w:val="26"/>
        </w:rPr>
        <w:t>10.7 Final Takeaway</w:t>
      </w:r>
    </w:p>
    <w:p>
      <w:pPr>
        <w:spacing w:before="0" w:after="120" w:line="276" w:lineRule="auto"/>
      </w:pPr>
      <w:r>
        <w:rPr>
          <w:rFonts w:ascii="Arial" w:hAnsi="Arial"/>
          <w:color w:val="000000"/>
          <w:sz w:val="22"/>
        </w:rPr>
        <w:t>This study demonstrates that predictive regression algorithms, when paired with robust data pre-processing and pipeline engineering, provide highly reliable, automated, and accurate alternatives to manual property valuation. The empirical results confirm that no single algorithm is globally superior; the choice between linear models, bagging ensembles, and boosting models must be guided by dataset size, target skewness, and dimensional complexity.</w:t>
      </w:r>
    </w:p>
    <w:p>
      <w:pPr>
        <w:pStyle w:val="Heading1"/>
        <w:keepNext/>
        <w:spacing w:before="360" w:after="120" w:line="276" w:lineRule="auto"/>
      </w:pPr>
      <w:r>
        <w:rPr>
          <w:rFonts w:ascii="Arial" w:hAnsi="Arial"/>
          <w:b/>
          <w:color w:val="2F5597"/>
          <w:sz w:val="32"/>
        </w:rPr>
        <w:t>References</w:t>
      </w:r>
    </w:p>
    <w:p>
      <w:pPr>
        <w:spacing w:after="80" w:line="276" w:lineRule="auto"/>
        <w:ind w:left="360"/>
      </w:pPr>
      <w:r>
        <w:t>[1] R. Kelley Pace and Ronald Barry, "Sparse Spatial Autoregressions," Statistics &amp; Probability Letters, vol. 33, no. 3, pp. 291-297, 1997. (California Housing Dataset source)</w:t>
      </w:r>
    </w:p>
    <w:p>
      <w:pPr>
        <w:spacing w:after="80" w:line="276" w:lineRule="auto"/>
        <w:ind w:left="360"/>
      </w:pPr>
      <w:r>
        <w:t>[2] D. De Cock, "Ames, Iowa: Alternative to the Boston Housing Data as an End of Semester Regression Project," Journal of Statistics Education, vol. 19, no. 3, pp. 1-15, 2011. (Ames Housing Dataset source)</w:t>
      </w:r>
    </w:p>
    <w:p>
      <w:pPr>
        <w:spacing w:after="80" w:line="276" w:lineRule="auto"/>
        <w:ind w:left="360"/>
      </w:pPr>
      <w:r>
        <w:t>[3] I-Cheng Yeh and Tzu-Kuang Hsu, "Building Real Estate Valuation Models with Comparative Analyses," UCI Machine Learning Repository, 2018. (UCI Real Estate Dataset source)</w:t>
      </w:r>
    </w:p>
    <w:p>
      <w:pPr>
        <w:spacing w:after="80" w:line="276" w:lineRule="auto"/>
        <w:ind w:left="360"/>
      </w:pPr>
      <w:r>
        <w:t>[4] F. Pedregosa et al., "Scikit-learn: Machine Learning in Python," Journal of Machine Learning Research, vol. 12, pp. 2825-2830, 2011. (scikit-learn library)</w:t>
      </w:r>
    </w:p>
    <w:p>
      <w:pPr>
        <w:spacing w:after="80" w:line="276" w:lineRule="auto"/>
        <w:ind w:left="360"/>
      </w:pPr>
      <w:r>
        <w:t>[5] G. Van Rossum and F. L. Drake, Python 3 Reference Manual, Scotts Valley, CA: CreateSpace, 2009. (Python language reference)</w:t>
      </w:r>
    </w:p>
    <w:p>
      <w:pPr>
        <w:spacing w:after="80" w:line="276" w:lineRule="auto"/>
        <w:ind w:left="360"/>
      </w:pPr>
      <w:r>
        <w:t>[6] W. McKinney, "Data Structures for Statistical Computing in Python," in Proceedings of the 9th Python in Science Conference, 2010, pp. 56-61. (pandas library)</w:t>
      </w:r>
    </w:p>
    <w:p>
      <w:pPr>
        <w:spacing w:after="80" w:line="276" w:lineRule="auto"/>
        <w:ind w:left="360"/>
      </w:pPr>
      <w:r>
        <w:t>[7] C. R. Harris et al., "Array programming with NumPy," Nature, vol. 585, no. 7825, pp. 357-362, 2020. (NumPy library)</w:t>
      </w:r>
    </w:p>
    <w:p>
      <w:pPr>
        <w:spacing w:after="80" w:line="276" w:lineRule="auto"/>
        <w:ind w:left="360"/>
      </w:pPr>
      <w:r>
        <w:t>[8] J. D. Hunter, "Matplotlib: A 2D Graphics Environment," Computing in Science &amp; Engineering, vol. 9, no. 3, pp. 90-95, 2007. (Matplotlib library)</w:t>
      </w:r>
    </w:p>
    <w:p>
      <w:pPr>
        <w:spacing w:after="80" w:line="276" w:lineRule="auto"/>
        <w:ind w:left="360"/>
      </w:pPr>
      <w:r>
        <w:t>[9] M. Waskom, "Seaborn: statistical data visualization," Journal of Open Source Software, vol. 6, no. 60, p. 3021, 2021. (Seaborn library)</w:t>
      </w:r>
    </w:p>
    <w:p>
      <w:pPr>
        <w:spacing w:after="80" w:line="276" w:lineRule="auto"/>
        <w:ind w:left="360"/>
      </w:pPr>
      <w:r>
        <w:t>[10] S. C. Lamy-Chappuis, "python-docx: A Python library for creating and updating Microsoft Word files," available: https://python-docx.readthedocs.io, 2021. (python-docx library)</w:t>
      </w:r>
    </w:p>
    <w:p>
      <w:pPr>
        <w:spacing w:after="80" w:line="276" w:lineRule="auto"/>
        <w:ind w:left="360"/>
      </w:pPr>
      <w:r>
        <w:t>[11] J. Maclaurin, "docx2pdf: Convert docx to pdf on Windows or macOS using Microsoft Word," available: https://github.com/Alnative/docx2pdf, 2020. (docx2pdf library)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Lokanth S (23MID0037) | Dr. Durgesh Kumar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Advanced Predictive Analytics (MDI3003) | House Price Prediction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