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MDI3003 Advanced Predictive Analytics — Experiment 08</w:t>
        <w:br/>
        <w:t>Agricultural Predictive Analytics: District-Level Rice Yield Forecasting with a Guided Multi-Class Crop-Label Classification Extension</w:t>
        <w:br/>
      </w:r>
    </w:p>
    <w:p>
      <w:pPr>
        <w:jc w:val="center"/>
      </w:pPr>
      <w:r>
        <w:rPr>
          <w:color w:val="4A5568"/>
          <w:sz w:val="20"/>
        </w:rPr>
        <w:t>Manual Version 3.0 Conforming Report | Author: Lokanth S (23MID0037) | Faculty: Dr. Durgesh Kumar | VIT Vellore</w:t>
      </w:r>
    </w:p>
    <w:p>
      <w:r>
        <w:t>――――――――――――――――――――――――――――――――――――――――――――――――――――――――――――</w:t>
      </w:r>
    </w:p>
    <w:tbl>
      <w:tblPr>
        <w:tblW w:type="auto" w:w="0"/>
        <w:jc w:val="center"/>
        <w:tblLook w:firstColumn="1" w:firstRow="1" w:lastColumn="0" w:lastRow="0" w:noHBand="0" w:noVBand="1" w:val="04A0"/>
      </w:tblPr>
      <w:tblGrid>
        <w:gridCol w:w="5040"/>
        <w:gridCol w:w="5040"/>
      </w:tblGrid>
      <w:tr>
        <w:tc>
          <w:tcPr>
            <w:tcW w:type="dxa" w:w="5040"/>
          </w:tcPr>
          <w:p>
            <w:r>
              <w:rPr>
                <w:b/>
              </w:rPr>
              <w:t>Student Name / Reg No</w:t>
            </w:r>
          </w:p>
        </w:tc>
        <w:tc>
          <w:tcPr>
            <w:tcW w:type="dxa" w:w="5040"/>
          </w:tcPr>
          <w:p>
            <w:r>
              <w:t>Lokanth S (23MID0037)</w:t>
            </w:r>
          </w:p>
        </w:tc>
      </w:tr>
      <w:tr>
        <w:tc>
          <w:tcPr>
            <w:tcW w:type="dxa" w:w="5040"/>
          </w:tcPr>
          <w:p>
            <w:r>
              <w:rPr>
                <w:b/>
              </w:rPr>
              <w:t>Faculty / Department</w:t>
            </w:r>
          </w:p>
        </w:tc>
        <w:tc>
          <w:tcPr>
            <w:tcW w:type="dxa" w:w="5040"/>
          </w:tcPr>
          <w:p>
            <w:r>
              <w:t>Dr. Durgesh Kumar | Department of Data Science, SCSE, VIT Vellore</w:t>
            </w:r>
          </w:p>
        </w:tc>
      </w:tr>
      <w:tr>
        <w:tc>
          <w:tcPr>
            <w:tcW w:type="dxa" w:w="5040"/>
          </w:tcPr>
          <w:p>
            <w:r>
              <w:rPr>
                <w:b/>
              </w:rPr>
              <w:t>GitHub Repository</w:t>
            </w:r>
          </w:p>
        </w:tc>
        <w:tc>
          <w:tcPr>
            <w:tcW w:type="dxa" w:w="5040"/>
          </w:tcPr>
          <w:p>
            <w:r>
              <w:t>lokant712/RiceYield-CropClassification-RF</w:t>
            </w:r>
          </w:p>
        </w:tc>
      </w:tr>
      <w:tr>
        <w:tc>
          <w:tcPr>
            <w:tcW w:type="dxa" w:w="5040"/>
          </w:tcPr>
          <w:p>
            <w:r>
              <w:rPr>
                <w:b/>
              </w:rPr>
              <w:t>Primary Data (D1 APY)</w:t>
            </w:r>
          </w:p>
        </w:tc>
        <w:tc>
          <w:tcPr>
            <w:tcW w:type="dxa" w:w="5040"/>
          </w:tcPr>
          <w:p>
            <w:r>
              <w:t>246,091 records (15,316,741 bytes, SHA-256: 5b2637058ca4aff2ef7c0e0f2f391bca712300d082693b585f489871fd91d520)</w:t>
            </w:r>
          </w:p>
        </w:tc>
      </w:tr>
      <w:tr>
        <w:tc>
          <w:tcPr>
            <w:tcW w:type="dxa" w:w="5040"/>
          </w:tcPr>
          <w:p>
            <w:r>
              <w:rPr>
                <w:b/>
              </w:rPr>
              <w:t>Regression Winner</w:t>
            </w:r>
          </w:p>
        </w:tc>
        <w:tc>
          <w:tcPr>
            <w:tcW w:type="dxa" w:w="5040"/>
          </w:tcPr>
          <w:p>
            <w:r>
              <w:t>Ridge Trend Regression (Val MAE: 0.4748 t/ha, Locked Test MAE: 0.4497 t/ha, R²: 0.5068)</w:t>
            </w:r>
          </w:p>
        </w:tc>
      </w:tr>
      <w:tr>
        <w:tc>
          <w:tcPr>
            <w:tcW w:type="dxa" w:w="5040"/>
          </w:tcPr>
          <w:p>
            <w:r>
              <w:rPr>
                <w:b/>
              </w:rPr>
              <w:t>Classification Winner</w:t>
            </w:r>
          </w:p>
        </w:tc>
        <w:tc>
          <w:tcPr>
            <w:tcW w:type="dxa" w:w="5040"/>
          </w:tcPr>
          <w:p>
            <w:r>
              <w:t>Random Forest Classifier (Val Macro-F1: 0.9886, Locked Test Macro-F1: 0.9977)</w:t>
            </w:r>
          </w:p>
        </w:tc>
      </w:tr>
    </w:tbl>
    <w:p>
      <w:pPr>
        <w:pStyle w:val="Heading1"/>
      </w:pPr>
      <w:r>
        <w:t>Executive Summary</w:t>
      </w:r>
    </w:p>
    <w:p>
      <w:r>
        <w:t>This laboratory report presents an empirical investigation into regional rice yield prediction and multi-class crop-label classification under Manual Version 3.0 protocols. The core regression task forecasts district-level rice yield in metric tonnes per hectare (t/ha) using strictly pre-season administrative covariates (state, district, season, year), while strictly barring harvested production and area to prevent algebraic target leakage (Y = P/A). On an authentic panel of 15,078 clean rice observations (1997–2015) partitioned chronologically (1997–2011 Train, 2012–2013 Val, 2014–2015 Test), Ridge trend regression achieved superior generalization (Validation MAE: 0.4748 t/ha, Locked Test MAE: 0.4497 t/ha, Test R²: 0.5068) outperforming the predeclared historical median baseline (Test MAE: 0.7638 t/ha, -41.1% error reduction). In Extension 1, a three-candidate validation benchmark on an identical 60/20/20 stratified split established Random Forest as the winner (Val Macro-F1: 0.9886 vs Logistic: 0.9728 vs Majority: 0.0040), achieving 99.77% Locked Test Macro-F1 across 22 crop classes. Per the manual's core warning, the classification task classifies dataset labels and does not establish an agronomically optimal crop choice or farming prescription.</w:t>
      </w:r>
    </w:p>
    <w:p>
      <w:pPr>
        <w:pStyle w:val="Heading1"/>
      </w:pPr>
      <w:r>
        <w:t>1. Problem Contract &amp; Theoretical Foundations</w:t>
      </w:r>
    </w:p>
    <w:p>
      <w:r>
        <w:t>Continuous regression estimates yield in t/ha from x = (State, District, Season, Year)^T minimizing expected MAE. Multi-class classification classifies observations into one of 22 crop classes from z = (N, P, K, Temp, Humidity, pH, Rainfall)^T maximizing Macro-F1. In agricultural records, Yield = Production / Area. Admitting Production into predictors causes algebraic reconstruction (R² = 1.0) rather than predictive forecasting. Production is unknown pre-season, making its exclusion strictly required.</w:t>
      </w:r>
    </w:p>
    <w:p>
      <w:pPr>
        <w:pStyle w:val="Heading1"/>
      </w:pPr>
      <w:r>
        <w:t>2. Data Governance Record, Provenance Audits &amp; Unit Conversion Log</w:t>
      </w:r>
    </w:p>
    <w:p>
      <w:r>
        <w:t>Per Section 1 priority hierarchy, D5 (DOI 10.17632/ywp3y5j9vv.1) was probed first: metadata snapshot confirmed valid CC BY 4.0 license but an empty file list (files: []). Primary candidate D1 (GoI APY) was acquired and verified (15,078 clean rice observations). Below is the complete verifiable governance record:</w:t>
      </w:r>
    </w:p>
    <w:tbl>
      <w:tblPr>
        <w:tblW w:type="auto" w:w="0"/>
        <w:jc w:val="center"/>
        <w:tblLook w:firstColumn="1" w:firstRow="1" w:lastColumn="0" w:lastRow="0" w:noHBand="0" w:noVBand="1" w:val="04A0"/>
      </w:tblPr>
      <w:tblGrid>
        <w:gridCol w:w="3360"/>
        <w:gridCol w:w="3360"/>
        <w:gridCol w:w="3360"/>
      </w:tblGrid>
      <w:tr>
        <w:tc>
          <w:tcPr>
            <w:tcW w:type="dxa" w:w="3360"/>
          </w:tcPr>
          <w:p>
            <w:r>
              <w:rPr>
                <w:b/>
              </w:rPr>
              <w:t>Governance Attribute</w:t>
            </w:r>
          </w:p>
        </w:tc>
        <w:tc>
          <w:tcPr>
            <w:tcW w:type="dxa" w:w="3360"/>
          </w:tcPr>
          <w:p>
            <w:r>
              <w:rPr>
                <w:b/>
              </w:rPr>
              <w:t>Primary Dataset (D1 APY)</w:t>
            </w:r>
          </w:p>
        </w:tc>
        <w:tc>
          <w:tcPr>
            <w:tcW w:type="dxa" w:w="3360"/>
          </w:tcPr>
          <w:p>
            <w:r>
              <w:rPr>
                <w:b/>
              </w:rPr>
              <w:t>Classification Dataset (D3)</w:t>
            </w:r>
          </w:p>
        </w:tc>
      </w:tr>
      <w:tr>
        <w:tc>
          <w:tcPr>
            <w:tcW w:type="dxa" w:w="3360"/>
          </w:tcPr>
          <w:p>
            <w:r>
              <w:t>Source Name &amp; Publisher</w:t>
            </w:r>
          </w:p>
        </w:tc>
        <w:tc>
          <w:tcPr>
            <w:tcW w:type="dxa" w:w="3360"/>
          </w:tcPr>
          <w:p>
            <w:r>
              <w:t>Ministry of Agriculture &amp; Farmers Welfare, GoI</w:t>
            </w:r>
          </w:p>
        </w:tc>
        <w:tc>
          <w:tcPr>
            <w:tcW w:type="dxa" w:w="3360"/>
          </w:tcPr>
          <w:p>
            <w:r>
              <w:t>Open Agro-Ecological Benchmark (Atharva Ingle)</w:t>
            </w:r>
          </w:p>
        </w:tc>
      </w:tr>
      <w:tr>
        <w:tc>
          <w:tcPr>
            <w:tcW w:type="dxa" w:w="3360"/>
          </w:tcPr>
          <w:p>
            <w:r>
              <w:t>Source URL / Endpoint</w:t>
            </w:r>
          </w:p>
        </w:tc>
        <w:tc>
          <w:tcPr>
            <w:tcW w:type="dxa" w:w="3360"/>
          </w:tcPr>
          <w:p>
            <w:r>
              <w:t>https://aps.dac.gov.in/ (data.gov.in portal)</w:t>
            </w:r>
          </w:p>
        </w:tc>
        <w:tc>
          <w:tcPr>
            <w:tcW w:type="dxa" w:w="3360"/>
          </w:tcPr>
          <w:p>
            <w:r>
              <w:t>https://www.kaggle.com/datasets/...</w:t>
            </w:r>
          </w:p>
        </w:tc>
      </w:tr>
      <w:tr>
        <w:tc>
          <w:tcPr>
            <w:tcW w:type="dxa" w:w="3360"/>
          </w:tcPr>
          <w:p>
            <w:r>
              <w:t>Download / Ingest Date</w:t>
            </w:r>
          </w:p>
        </w:tc>
        <w:tc>
          <w:tcPr>
            <w:tcW w:type="dxa" w:w="3360"/>
          </w:tcPr>
          <w:p>
            <w:r>
              <w:t>September 7, 2026</w:t>
            </w:r>
          </w:p>
        </w:tc>
        <w:tc>
          <w:tcPr>
            <w:tcW w:type="dxa" w:w="3360"/>
          </w:tcPr>
          <w:p>
            <w:r>
              <w:t>September 7, 2026</w:t>
            </w:r>
          </w:p>
        </w:tc>
      </w:tr>
      <w:tr>
        <w:tc>
          <w:tcPr>
            <w:tcW w:type="dxa" w:w="3360"/>
          </w:tcPr>
          <w:p>
            <w:r>
              <w:t>Original Raw File &amp; Size</w:t>
            </w:r>
          </w:p>
        </w:tc>
        <w:tc>
          <w:tcPr>
            <w:tcW w:type="dxa" w:w="3360"/>
          </w:tcPr>
          <w:p>
            <w:r>
              <w:t>crop_production.csv (15,316,741 bytes)</w:t>
            </w:r>
          </w:p>
        </w:tc>
        <w:tc>
          <w:tcPr>
            <w:tcW w:type="dxa" w:w="3360"/>
          </w:tcPr>
          <w:p>
            <w:r>
              <w:t>crop_recommendation.csv (147,833 bytes)</w:t>
            </w:r>
          </w:p>
        </w:tc>
      </w:tr>
      <w:tr>
        <w:tc>
          <w:tcPr>
            <w:tcW w:type="dxa" w:w="3360"/>
          </w:tcPr>
          <w:p>
            <w:r>
              <w:t>Raw Rows &amp; Exclusions</w:t>
            </w:r>
          </w:p>
        </w:tc>
        <w:tc>
          <w:tcPr>
            <w:tcW w:type="dxa" w:w="3360"/>
          </w:tcPr>
          <w:p>
            <w:r>
              <w:t>246,091 raw rows (231,013 non-rice/invalid excluded)</w:t>
            </w:r>
          </w:p>
        </w:tc>
        <w:tc>
          <w:tcPr>
            <w:tcW w:type="dxa" w:w="3360"/>
          </w:tcPr>
          <w:p>
            <w:r>
              <w:t>2,200 raw rows (0 excluded; 22 classes balanced)</w:t>
            </w:r>
          </w:p>
        </w:tc>
      </w:tr>
      <w:tr>
        <w:tc>
          <w:tcPr>
            <w:tcW w:type="dxa" w:w="3360"/>
          </w:tcPr>
          <w:p>
            <w:r>
              <w:t>Retained Clean Panel</w:t>
            </w:r>
          </w:p>
        </w:tc>
        <w:tc>
          <w:tcPr>
            <w:tcW w:type="dxa" w:w="3360"/>
          </w:tcPr>
          <w:p>
            <w:r>
              <w:t>15,078 clean rice observations (1997–2015)</w:t>
            </w:r>
          </w:p>
        </w:tc>
        <w:tc>
          <w:tcPr>
            <w:tcW w:type="dxa" w:w="3360"/>
          </w:tcPr>
          <w:p>
            <w:r>
              <w:t>2,200 balanced records (100 samples/class)</w:t>
            </w:r>
          </w:p>
        </w:tc>
      </w:tr>
      <w:tr>
        <w:tc>
          <w:tcPr>
            <w:tcW w:type="dxa" w:w="3360"/>
          </w:tcPr>
          <w:p>
            <w:r>
              <w:t>Original Units &amp; Schema</w:t>
            </w:r>
          </w:p>
        </w:tc>
        <w:tc>
          <w:tcPr>
            <w:tcW w:type="dxa" w:w="3360"/>
          </w:tcPr>
          <w:p>
            <w:r>
              <w:t>Area: Hectares (ha), Production: Tonnes (t)</w:t>
            </w:r>
          </w:p>
        </w:tc>
        <w:tc>
          <w:tcPr>
            <w:tcW w:type="dxa" w:w="3360"/>
          </w:tcPr>
          <w:p>
            <w:r>
              <w:t>N, P, K (mg/kg), T (°C), H (%), pH, Rainfall (mm)</w:t>
            </w:r>
          </w:p>
        </w:tc>
      </w:tr>
      <w:tr>
        <w:tc>
          <w:tcPr>
            <w:tcW w:type="dxa" w:w="3360"/>
          </w:tcPr>
          <w:p>
            <w:r>
              <w:t>Converted Target Variable</w:t>
            </w:r>
          </w:p>
        </w:tc>
        <w:tc>
          <w:tcPr>
            <w:tcW w:type="dxa" w:w="3360"/>
          </w:tcPr>
          <w:p>
            <w:r>
              <w:t>yield_t_ha = Production / Area (in metric t/ha)</w:t>
            </w:r>
          </w:p>
        </w:tc>
        <w:tc>
          <w:tcPr>
            <w:tcW w:type="dxa" w:w="3360"/>
          </w:tcPr>
          <w:p>
            <w:r>
              <w:t>Categorical label: crop (22 classes)</w:t>
            </w:r>
          </w:p>
        </w:tc>
      </w:tr>
      <w:tr>
        <w:tc>
          <w:tcPr>
            <w:tcW w:type="dxa" w:w="3360"/>
          </w:tcPr>
          <w:p>
            <w:r>
              <w:t>Cryptographic SHA-256</w:t>
            </w:r>
          </w:p>
        </w:tc>
        <w:tc>
          <w:tcPr>
            <w:tcW w:type="dxa" w:w="3360"/>
          </w:tcPr>
          <w:p>
            <w:r>
              <w:t>5b2637058ca4aff2ef7c0e0f2f391bca712300d082693b585f489871fd91d520</w:t>
            </w:r>
          </w:p>
        </w:tc>
        <w:tc>
          <w:tcPr>
            <w:tcW w:type="dxa" w:w="3360"/>
          </w:tcPr>
          <w:p>
            <w:r>
              <w:t>808e1d84a544647f1ab2fdae04f434b1842692d6be09eee18a5c2d43eb78d77c</w:t>
            </w:r>
          </w:p>
        </w:tc>
      </w:tr>
    </w:tbl>
    <w:p>
      <w:pPr>
        <w:pStyle w:val="Heading1"/>
      </w:pPr>
      <w:r>
        <w:t>3. Exploratory Data Analysis &amp; Empirical Yield Distribution</w:t>
      </w:r>
    </w:p>
    <w:p>
      <w:r>
        <w:t>National rice yield exhibits an empirical mean of 2.083 t/ha (std: 0.941 t/ha), median of 1.940 t/ha, IQR of 1.340–2.680 t/ha, and positive skewness (0.842), reflecting high-yield intensive irrigated belts contrasting with rainfed tracts.</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fig1_training_yield_distribution.png"/>
                    <pic:cNvPicPr/>
                  </pic:nvPicPr>
                  <pic:blipFill>
                    <a:blip r:embed="rId9"/>
                    <a:stretch>
                      <a:fillRect/>
                    </a:stretch>
                  </pic:blipFill>
                  <pic:spPr>
                    <a:xfrm>
                      <a:off x="0" y="0"/>
                      <a:ext cx="5029200" cy="3017520"/>
                    </a:xfrm>
                    <a:prstGeom prst="rect"/>
                  </pic:spPr>
                </pic:pic>
              </a:graphicData>
            </a:graphic>
          </wp:inline>
        </w:drawing>
      </w:r>
    </w:p>
    <w:p>
      <w:r>
        <w:t>Figure 1: Empirical Rice Yield Distribution (t/ha) (1997–2011 Training Panel, N=12,588).</w:t>
      </w:r>
    </w:p>
    <w:p>
      <w:r>
        <w:drawing>
          <wp:inline xmlns:a="http://schemas.openxmlformats.org/drawingml/2006/main" xmlns:pic="http://schemas.openxmlformats.org/drawingml/2006/picture">
            <wp:extent cx="5029200" cy="2816352"/>
            <wp:docPr id="2" name="Picture 2"/>
            <wp:cNvGraphicFramePr>
              <a:graphicFrameLocks noChangeAspect="1"/>
            </wp:cNvGraphicFramePr>
            <a:graphic>
              <a:graphicData uri="http://schemas.openxmlformats.org/drawingml/2006/picture">
                <pic:pic>
                  <pic:nvPicPr>
                    <pic:cNvPr id="0" name="fig2_training_year_coverage.png"/>
                    <pic:cNvPicPr/>
                  </pic:nvPicPr>
                  <pic:blipFill>
                    <a:blip r:embed="rId10"/>
                    <a:stretch>
                      <a:fillRect/>
                    </a:stretch>
                  </pic:blipFill>
                  <pic:spPr>
                    <a:xfrm>
                      <a:off x="0" y="0"/>
                      <a:ext cx="5029200" cy="2816352"/>
                    </a:xfrm>
                    <a:prstGeom prst="rect"/>
                  </pic:spPr>
                </pic:pic>
              </a:graphicData>
            </a:graphic>
          </wp:inline>
        </w:drawing>
      </w:r>
    </w:p>
    <w:p>
      <w:r>
        <w:t>Figure 2: Longitudinal Observation Count Across Indian Harvest Years (1997–2015).</w:t>
      </w:r>
    </w:p>
    <w:p>
      <w:pPr>
        <w:pStyle w:val="Heading1"/>
      </w:pPr>
      <w:r>
        <w:t>4. Preprocessing Fit Scope Evidence &amp; Regression Validation</w:t>
      </w:r>
    </w:p>
    <w:p>
      <w:r>
        <w:t>Chronological Split: Training (1997–2011, 12,588 rows, 83.49%), Validation (2012–2013, 1,644 rows, 10.90%), Locked Test (2014–2015, 846 rows, 5.61%).</w:t>
        <w:br/>
        <w:t>Preprocessing Implementation: Categorical features (state, district, season) were encoded via OneHotEncoder(handle_unknown='ignore'). The continuous feature year was processed via SimpleImputer(strategy='median') and StandardScaler. The entire pipeline was fitted exclusively on training rows. Verification confirmed that validation-only categories did not enter learned encoder categories.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Candidate Architecture</w:t>
            </w:r>
          </w:p>
        </w:tc>
        <w:tc>
          <w:tcPr>
            <w:tcW w:type="dxa" w:w="1680"/>
          </w:tcPr>
          <w:p>
            <w:r>
              <w:rPr>
                <w:b/>
              </w:rPr>
              <w:t>Hyperparameter Setup</w:t>
            </w:r>
          </w:p>
        </w:tc>
        <w:tc>
          <w:tcPr>
            <w:tcW w:type="dxa" w:w="1680"/>
          </w:tcPr>
          <w:p>
            <w:r>
              <w:rPr>
                <w:b/>
              </w:rPr>
              <w:t>Val MAE (t/ha)</w:t>
            </w:r>
          </w:p>
        </w:tc>
        <w:tc>
          <w:tcPr>
            <w:tcW w:type="dxa" w:w="1680"/>
          </w:tcPr>
          <w:p>
            <w:r>
              <w:rPr>
                <w:b/>
              </w:rPr>
              <w:t>Val RMSE (t/ha)</w:t>
            </w:r>
          </w:p>
        </w:tc>
        <w:tc>
          <w:tcPr>
            <w:tcW w:type="dxa" w:w="1680"/>
          </w:tcPr>
          <w:p>
            <w:r>
              <w:rPr>
                <w:b/>
              </w:rPr>
              <w:t>Val R²</w:t>
            </w:r>
          </w:p>
        </w:tc>
        <w:tc>
          <w:tcPr>
            <w:tcW w:type="dxa" w:w="1680"/>
          </w:tcPr>
          <w:p>
            <w:r>
              <w:rPr>
                <w:b/>
              </w:rPr>
              <w:t>Status</w:t>
            </w:r>
          </w:p>
        </w:tc>
      </w:tr>
      <w:tr>
        <w:tc>
          <w:tcPr>
            <w:tcW w:type="dxa" w:w="1680"/>
          </w:tcPr>
          <w:p>
            <w:r>
              <w:t>median (Baseline)</w:t>
            </w:r>
          </w:p>
        </w:tc>
        <w:tc>
          <w:tcPr>
            <w:tcW w:type="dxa" w:w="1680"/>
          </w:tcPr>
          <w:p>
            <w:r>
              <w:t>DummyRegressor(strategy='median')</w:t>
            </w:r>
          </w:p>
        </w:tc>
        <w:tc>
          <w:tcPr>
            <w:tcW w:type="dxa" w:w="1680"/>
          </w:tcPr>
          <w:p>
            <w:r>
              <w:t>0.8270</w:t>
            </w:r>
          </w:p>
        </w:tc>
        <w:tc>
          <w:tcPr>
            <w:tcW w:type="dxa" w:w="1680"/>
          </w:tcPr>
          <w:p>
            <w:r>
              <w:t>1.0658</w:t>
            </w:r>
          </w:p>
        </w:tc>
        <w:tc>
          <w:tcPr>
            <w:tcW w:type="dxa" w:w="1680"/>
          </w:tcPr>
          <w:p>
            <w:r>
              <w:t>-0.2230</w:t>
            </w:r>
          </w:p>
        </w:tc>
        <w:tc>
          <w:tcPr>
            <w:tcW w:type="dxa" w:w="1680"/>
          </w:tcPr>
          <w:p>
            <w:r>
              <w:t>Reference Null</w:t>
            </w:r>
          </w:p>
        </w:tc>
      </w:tr>
      <w:tr>
        <w:tc>
          <w:tcPr>
            <w:tcW w:type="dxa" w:w="1680"/>
          </w:tcPr>
          <w:p>
            <w:r>
              <w:t>ridge_trend</w:t>
            </w:r>
          </w:p>
        </w:tc>
        <w:tc>
          <w:tcPr>
            <w:tcW w:type="dxa" w:w="1680"/>
          </w:tcPr>
          <w:p>
            <w:r>
              <w:t>alpha=1.0, solver='lsqr'</w:t>
            </w:r>
          </w:p>
        </w:tc>
        <w:tc>
          <w:tcPr>
            <w:tcW w:type="dxa" w:w="1680"/>
          </w:tcPr>
          <w:p>
            <w:r>
              <w:t>0.4748</w:t>
            </w:r>
          </w:p>
        </w:tc>
        <w:tc>
          <w:tcPr>
            <w:tcW w:type="dxa" w:w="1680"/>
          </w:tcPr>
          <w:p>
            <w:r>
              <w:t>0.6678</w:t>
            </w:r>
          </w:p>
        </w:tc>
        <w:tc>
          <w:tcPr>
            <w:tcW w:type="dxa" w:w="1680"/>
          </w:tcPr>
          <w:p>
            <w:r>
              <w:t>0.5199</w:t>
            </w:r>
          </w:p>
        </w:tc>
        <w:tc>
          <w:tcPr>
            <w:tcW w:type="dxa" w:w="1680"/>
          </w:tcPr>
          <w:p>
            <w:r>
              <w:t>SELECTED WINNER</w:t>
            </w:r>
          </w:p>
        </w:tc>
      </w:tr>
      <w:tr>
        <w:tc>
          <w:tcPr>
            <w:tcW w:type="dxa" w:w="1680"/>
          </w:tcPr>
          <w:p>
            <w:r>
              <w:t>forest</w:t>
            </w:r>
          </w:p>
        </w:tc>
        <w:tc>
          <w:tcPr>
            <w:tcW w:type="dxa" w:w="1680"/>
          </w:tcPr>
          <w:p>
            <w:r>
              <w:t>n_est=60, max_depth=12, min_leaf=5</w:t>
            </w:r>
          </w:p>
        </w:tc>
        <w:tc>
          <w:tcPr>
            <w:tcW w:type="dxa" w:w="1680"/>
          </w:tcPr>
          <w:p>
            <w:r>
              <w:t>0.5761</w:t>
            </w:r>
          </w:p>
        </w:tc>
        <w:tc>
          <w:tcPr>
            <w:tcW w:type="dxa" w:w="1680"/>
          </w:tcPr>
          <w:p>
            <w:r>
              <w:t>0.7706</w:t>
            </w:r>
          </w:p>
        </w:tc>
        <w:tc>
          <w:tcPr>
            <w:tcW w:type="dxa" w:w="1680"/>
          </w:tcPr>
          <w:p>
            <w:r>
              <w:t>0.3607</w:t>
            </w:r>
          </w:p>
        </w:tc>
        <w:tc>
          <w:tcPr>
            <w:tcW w:type="dxa" w:w="1680"/>
          </w:tcPr>
          <w:p>
            <w:r>
              <w:t>Eliminated</w:t>
            </w:r>
          </w:p>
        </w:tc>
      </w:tr>
      <w:tr>
        <w:tc>
          <w:tcPr>
            <w:tcW w:type="dxa" w:w="1680"/>
          </w:tcPr>
          <w:p>
            <w:r>
              <w:t>tree</w:t>
            </w:r>
          </w:p>
        </w:tc>
        <w:tc>
          <w:tcPr>
            <w:tcW w:type="dxa" w:w="1680"/>
          </w:tcPr>
          <w:p>
            <w:r>
              <w:t>max_depth=6, min_samples_leaf=10</w:t>
            </w:r>
          </w:p>
        </w:tc>
        <w:tc>
          <w:tcPr>
            <w:tcW w:type="dxa" w:w="1680"/>
          </w:tcPr>
          <w:p>
            <w:r>
              <w:t>0.6886</w:t>
            </w:r>
          </w:p>
        </w:tc>
        <w:tc>
          <w:tcPr>
            <w:tcW w:type="dxa" w:w="1680"/>
          </w:tcPr>
          <w:p>
            <w:r>
              <w:t>0.8742</w:t>
            </w:r>
          </w:p>
        </w:tc>
        <w:tc>
          <w:tcPr>
            <w:tcW w:type="dxa" w:w="1680"/>
          </w:tcPr>
          <w:p>
            <w:r>
              <w:t>0.1772</w:t>
            </w:r>
          </w:p>
        </w:tc>
        <w:tc>
          <w:tcPr>
            <w:tcW w:type="dxa" w:w="1680"/>
          </w:tcPr>
          <w:p>
            <w:r>
              <w:t>Eliminated</w:t>
            </w:r>
          </w:p>
        </w:tc>
      </w:tr>
    </w:tbl>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3_validation_model_comparison.png"/>
                    <pic:cNvPicPr/>
                  </pic:nvPicPr>
                  <pic:blipFill>
                    <a:blip r:embed="rId11"/>
                    <a:stretch>
                      <a:fillRect/>
                    </a:stretch>
                  </pic:blipFill>
                  <pic:spPr>
                    <a:xfrm>
                      <a:off x="0" y="0"/>
                      <a:ext cx="5029200" cy="3017520"/>
                    </a:xfrm>
                    <a:prstGeom prst="rect"/>
                  </pic:spPr>
                </pic:pic>
              </a:graphicData>
            </a:graphic>
          </wp:inline>
        </w:drawing>
      </w:r>
    </w:p>
    <w:p>
      <w:r>
        <w:t>Figure 3: Empirical Validation Metric Comparison Across Predeclared Regression Candidates.</w:t>
      </w:r>
    </w:p>
    <w:p>
      <w:r>
        <w:t>Rolling Origins Mean MAE (2009–2011): Ridge 0.4975 ± 0.0305 t/ha vs Forest 0.5135 ± 0.0354 t/ha vs Tree 0.5510 ± 0.0305 t/ha vs Median 0.7675 ± 0.0558 t/ha.</w:t>
        <w:br/>
        <w:t>Extension 2 Depth Ablation: Full Forest (max_depth=12) Val MAE = 0.5761 t/ha vs Constrained Forest (max_depth=6) Val MAE = 0.6636 t/ha (+0.0875 t/ha error degradation).</w:t>
      </w:r>
    </w:p>
    <w:p>
      <w:pPr>
        <w:pStyle w:val="Heading1"/>
      </w:pPr>
      <w:r>
        <w:t>5. Extension 1: Multi-Class Crop-Label Classification Validation</w:t>
      </w:r>
    </w:p>
    <w:p>
      <w:r>
        <w:t>Independence Review Note: iid_justified=True is documented because observations represent point-in-time physicochemical soil profiles without serial autoregression. The model classifies observations into 22 crop classes (not farming advice).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Candidate Architecture</w:t>
            </w:r>
          </w:p>
        </w:tc>
        <w:tc>
          <w:tcPr>
            <w:tcW w:type="dxa" w:w="1680"/>
          </w:tcPr>
          <w:p>
            <w:r>
              <w:rPr>
                <w:b/>
              </w:rPr>
              <w:t>Hyperparameter Setup</w:t>
            </w:r>
          </w:p>
        </w:tc>
        <w:tc>
          <w:tcPr>
            <w:tcW w:type="dxa" w:w="1680"/>
          </w:tcPr>
          <w:p>
            <w:r>
              <w:rPr>
                <w:b/>
              </w:rPr>
              <w:t>Val Accuracy</w:t>
            </w:r>
          </w:p>
        </w:tc>
        <w:tc>
          <w:tcPr>
            <w:tcW w:type="dxa" w:w="1680"/>
          </w:tcPr>
          <w:p>
            <w:r>
              <w:rPr>
                <w:b/>
              </w:rPr>
              <w:t>Val Macro-F1</w:t>
            </w:r>
          </w:p>
        </w:tc>
        <w:tc>
          <w:tcPr>
            <w:tcW w:type="dxa" w:w="1680"/>
          </w:tcPr>
          <w:p>
            <w:r>
              <w:rPr>
                <w:b/>
              </w:rPr>
              <w:t>Val Precision</w:t>
            </w:r>
          </w:p>
        </w:tc>
        <w:tc>
          <w:tcPr>
            <w:tcW w:type="dxa" w:w="1680"/>
          </w:tcPr>
          <w:p>
            <w:r>
              <w:rPr>
                <w:b/>
              </w:rPr>
              <w:t>Status</w:t>
            </w:r>
          </w:p>
        </w:tc>
      </w:tr>
      <w:tr>
        <w:tc>
          <w:tcPr>
            <w:tcW w:type="dxa" w:w="1680"/>
          </w:tcPr>
          <w:p>
            <w:r>
              <w:t>majority (Baseline)</w:t>
            </w:r>
          </w:p>
        </w:tc>
        <w:tc>
          <w:tcPr>
            <w:tcW w:type="dxa" w:w="1680"/>
          </w:tcPr>
          <w:p>
            <w:r>
              <w:t>DummyClassifier(strategy='most_frequent')</w:t>
            </w:r>
          </w:p>
        </w:tc>
        <w:tc>
          <w:tcPr>
            <w:tcW w:type="dxa" w:w="1680"/>
          </w:tcPr>
          <w:p>
            <w:r>
              <w:t>0.0455</w:t>
            </w:r>
          </w:p>
        </w:tc>
        <w:tc>
          <w:tcPr>
            <w:tcW w:type="dxa" w:w="1680"/>
          </w:tcPr>
          <w:p>
            <w:r>
              <w:t>0.0040</w:t>
            </w:r>
          </w:p>
        </w:tc>
        <w:tc>
          <w:tcPr>
            <w:tcW w:type="dxa" w:w="1680"/>
          </w:tcPr>
          <w:p>
            <w:r>
              <w:t>0.0021</w:t>
            </w:r>
          </w:p>
        </w:tc>
        <w:tc>
          <w:tcPr>
            <w:tcW w:type="dxa" w:w="1680"/>
          </w:tcPr>
          <w:p>
            <w:r>
              <w:t>Reference Null</w:t>
            </w:r>
          </w:p>
        </w:tc>
      </w:tr>
      <w:tr>
        <w:tc>
          <w:tcPr>
            <w:tcW w:type="dxa" w:w="1680"/>
          </w:tcPr>
          <w:p>
            <w:r>
              <w:t>logistic</w:t>
            </w:r>
          </w:p>
        </w:tc>
        <w:tc>
          <w:tcPr>
            <w:tcW w:type="dxa" w:w="1680"/>
          </w:tcPr>
          <w:p>
            <w:r>
              <w:t>StandardScaler + LogisticRegression(max_iter=2000)</w:t>
            </w:r>
          </w:p>
        </w:tc>
        <w:tc>
          <w:tcPr>
            <w:tcW w:type="dxa" w:w="1680"/>
          </w:tcPr>
          <w:p>
            <w:r>
              <w:t>0.9727</w:t>
            </w:r>
          </w:p>
        </w:tc>
        <w:tc>
          <w:tcPr>
            <w:tcW w:type="dxa" w:w="1680"/>
          </w:tcPr>
          <w:p>
            <w:r>
              <w:t>0.9728</w:t>
            </w:r>
          </w:p>
        </w:tc>
        <w:tc>
          <w:tcPr>
            <w:tcW w:type="dxa" w:w="1680"/>
          </w:tcPr>
          <w:p>
            <w:r>
              <w:t>0.9737</w:t>
            </w:r>
          </w:p>
        </w:tc>
        <w:tc>
          <w:tcPr>
            <w:tcW w:type="dxa" w:w="1680"/>
          </w:tcPr>
          <w:p>
            <w:r>
              <w:t>Eliminated</w:t>
            </w:r>
          </w:p>
        </w:tc>
      </w:tr>
      <w:tr>
        <w:tc>
          <w:tcPr>
            <w:tcW w:type="dxa" w:w="1680"/>
          </w:tcPr>
          <w:p>
            <w:r>
              <w:t>forest</w:t>
            </w:r>
          </w:p>
        </w:tc>
        <w:tc>
          <w:tcPr>
            <w:tcW w:type="dxa" w:w="1680"/>
          </w:tcPr>
          <w:p>
            <w:r>
              <w:t>RandomForestClassifier(n_estimators=60, min_leaf=2)</w:t>
            </w:r>
          </w:p>
        </w:tc>
        <w:tc>
          <w:tcPr>
            <w:tcW w:type="dxa" w:w="1680"/>
          </w:tcPr>
          <w:p>
            <w:r>
              <w:t>0.9886</w:t>
            </w:r>
          </w:p>
        </w:tc>
        <w:tc>
          <w:tcPr>
            <w:tcW w:type="dxa" w:w="1680"/>
          </w:tcPr>
          <w:p>
            <w:r>
              <w:t>0.9886</w:t>
            </w:r>
          </w:p>
        </w:tc>
        <w:tc>
          <w:tcPr>
            <w:tcW w:type="dxa" w:w="1680"/>
          </w:tcPr>
          <w:p>
            <w:r>
              <w:t>0.9887</w:t>
            </w:r>
          </w:p>
        </w:tc>
        <w:tc>
          <w:tcPr>
            <w:tcW w:type="dxa" w:w="1680"/>
          </w:tcPr>
          <w:p>
            <w:r>
              <w:t>SELECTED WINNER</w:t>
            </w:r>
          </w:p>
        </w:tc>
      </w:tr>
    </w:tbl>
    <w:p>
      <w:r>
        <w:drawing>
          <wp:inline xmlns:a="http://schemas.openxmlformats.org/drawingml/2006/main" xmlns:pic="http://schemas.openxmlformats.org/drawingml/2006/picture">
            <wp:extent cx="5029200" cy="2640330"/>
            <wp:docPr id="4" name="Picture 4"/>
            <wp:cNvGraphicFramePr>
              <a:graphicFrameLocks noChangeAspect="1"/>
            </wp:cNvGraphicFramePr>
            <a:graphic>
              <a:graphicData uri="http://schemas.openxmlformats.org/drawingml/2006/picture">
                <pic:pic>
                  <pic:nvPicPr>
                    <pic:cNvPr id="0" name="fig6_cls_training_label_distribution.png"/>
                    <pic:cNvPicPr/>
                  </pic:nvPicPr>
                  <pic:blipFill>
                    <a:blip r:embed="rId12"/>
                    <a:stretch>
                      <a:fillRect/>
                    </a:stretch>
                  </pic:blipFill>
                  <pic:spPr>
                    <a:xfrm>
                      <a:off x="0" y="0"/>
                      <a:ext cx="5029200" cy="2640330"/>
                    </a:xfrm>
                    <a:prstGeom prst="rect"/>
                  </pic:spPr>
                </pic:pic>
              </a:graphicData>
            </a:graphic>
          </wp:inline>
        </w:drawing>
      </w:r>
    </w:p>
    <w:p>
      <w:r>
        <w:t>Figure 6: Stratified 22-Class Crop Label Balance (Training Partition, N=1,320).</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7_cls_soil_ph_distribution.png"/>
                    <pic:cNvPicPr/>
                  </pic:nvPicPr>
                  <pic:blipFill>
                    <a:blip r:embed="rId13"/>
                    <a:stretch>
                      <a:fillRect/>
                    </a:stretch>
                  </pic:blipFill>
                  <pic:spPr>
                    <a:xfrm>
                      <a:off x="0" y="0"/>
                      <a:ext cx="5029200" cy="3017520"/>
                    </a:xfrm>
                    <a:prstGeom prst="rect"/>
                  </pic:spPr>
                </pic:pic>
              </a:graphicData>
            </a:graphic>
          </wp:inline>
        </w:drawing>
      </w:r>
    </w:p>
    <w:p>
      <w:r>
        <w:t>Figure 7: Soil pH Tolerance Distributions Across Distinct Crop Species.</w:t>
      </w:r>
    </w:p>
    <w:p>
      <w:r>
        <w:drawing>
          <wp:inline xmlns:a="http://schemas.openxmlformats.org/drawingml/2006/main" xmlns:pic="http://schemas.openxmlformats.org/drawingml/2006/picture">
            <wp:extent cx="5029200" cy="4191000"/>
            <wp:docPr id="6" name="Picture 6"/>
            <wp:cNvGraphicFramePr>
              <a:graphicFrameLocks noChangeAspect="1"/>
            </wp:cNvGraphicFramePr>
            <a:graphic>
              <a:graphicData uri="http://schemas.openxmlformats.org/drawingml/2006/picture">
                <pic:pic>
                  <pic:nvPicPr>
                    <pic:cNvPr id="0" name="fig8_cls_confusion_matrix.png"/>
                    <pic:cNvPicPr/>
                  </pic:nvPicPr>
                  <pic:blipFill>
                    <a:blip r:embed="rId14"/>
                    <a:stretch>
                      <a:fillRect/>
                    </a:stretch>
                  </pic:blipFill>
                  <pic:spPr>
                    <a:xfrm>
                      <a:off x="0" y="0"/>
                      <a:ext cx="5029200" cy="4191000"/>
                    </a:xfrm>
                    <a:prstGeom prst="rect"/>
                  </pic:spPr>
                </pic:pic>
              </a:graphicData>
            </a:graphic>
          </wp:inline>
        </w:drawing>
      </w:r>
    </w:p>
    <w:p>
      <w:r>
        <w:t>Figure 8: High-Resolution Confusion Matrix of Winning Random Forest on Locked Test Partition (439/440 Correct).</w:t>
      </w:r>
    </w:p>
    <w:p>
      <w:pPr>
        <w:pStyle w:val="Heading1"/>
      </w:pPr>
      <w:r>
        <w:t>6. Locked-Test Out-of-Sample Results &amp; Per-Year Robustness</w:t>
      </w:r>
    </w:p>
    <w:p>
      <w:r>
        <w:t>Regression Locked Test (2014–2015, N=846):</w:t>
        <w:br/>
        <w:t>• Winning Ridge Trend Model: Test MAE = 0.4497 t/ha, Test RMSE = 0.6040 t/ha, Test R² = 0.5068, Relative Error = 17.65%</w:t>
        <w:br/>
        <w:t>• Baseline Median Model: Test MAE = 0.7638 t/ha, Test RMSE = 0.9675 t/ha, Test R² = -0.2653</w:t>
        <w:br/>
        <w:t>• Performance Gain: -0.3141 t/ha (-41.1% error reduction relative to baseline)</w:t>
        <w:br/>
        <w:br/>
        <w:t>Classification Locked Test (N=440, Stratified):</w:t>
        <w:br/>
        <w:t>• Winning Random Forest: Test Accuracy = 0.9977 (439/440 correct), Test Macro-F1 = 0.9977, Macro-Precision = 0.9978, Macro-Recall = 0.9977</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Test Year</w:t>
            </w:r>
          </w:p>
        </w:tc>
        <w:tc>
          <w:tcPr>
            <w:tcW w:type="dxa" w:w="1680"/>
          </w:tcPr>
          <w:p>
            <w:r>
              <w:rPr>
                <w:b/>
              </w:rPr>
              <w:t>Sample Count (N)</w:t>
            </w:r>
          </w:p>
        </w:tc>
        <w:tc>
          <w:tcPr>
            <w:tcW w:type="dxa" w:w="1680"/>
          </w:tcPr>
          <w:p>
            <w:r>
              <w:rPr>
                <w:b/>
              </w:rPr>
              <w:t>Test MAE (t/ha)</w:t>
            </w:r>
          </w:p>
        </w:tc>
        <w:tc>
          <w:tcPr>
            <w:tcW w:type="dxa" w:w="1680"/>
          </w:tcPr>
          <w:p>
            <w:r>
              <w:rPr>
                <w:b/>
              </w:rPr>
              <w:t>Test RMSE (t/ha)</w:t>
            </w:r>
          </w:p>
        </w:tc>
        <w:tc>
          <w:tcPr>
            <w:tcW w:type="dxa" w:w="1680"/>
          </w:tcPr>
          <w:p>
            <w:r>
              <w:rPr>
                <w:b/>
              </w:rPr>
              <w:t>Test R²</w:t>
            </w:r>
          </w:p>
        </w:tc>
        <w:tc>
          <w:tcPr>
            <w:tcW w:type="dxa" w:w="1680"/>
          </w:tcPr>
          <w:p>
            <w:r>
              <w:rPr>
                <w:b/>
              </w:rPr>
              <w:t>Stability Interpretation</w:t>
            </w:r>
          </w:p>
        </w:tc>
      </w:tr>
      <w:tr>
        <w:tc>
          <w:tcPr>
            <w:tcW w:type="dxa" w:w="1680"/>
          </w:tcPr>
          <w:p>
            <w:r>
              <w:t>2014</w:t>
            </w:r>
          </w:p>
        </w:tc>
        <w:tc>
          <w:tcPr>
            <w:tcW w:type="dxa" w:w="1680"/>
          </w:tcPr>
          <w:p>
            <w:r>
              <w:t>767 (90.66%)</w:t>
            </w:r>
          </w:p>
        </w:tc>
        <w:tc>
          <w:tcPr>
            <w:tcW w:type="dxa" w:w="1680"/>
          </w:tcPr>
          <w:p>
            <w:r>
              <w:t>0.4415</w:t>
            </w:r>
          </w:p>
        </w:tc>
        <w:tc>
          <w:tcPr>
            <w:tcW w:type="dxa" w:w="1680"/>
          </w:tcPr>
          <w:p>
            <w:r>
              <w:t>0.5960</w:t>
            </w:r>
          </w:p>
        </w:tc>
        <w:tc>
          <w:tcPr>
            <w:tcW w:type="dxa" w:w="1680"/>
          </w:tcPr>
          <w:p>
            <w:r>
              <w:t>0.4774</w:t>
            </w:r>
          </w:p>
        </w:tc>
        <w:tc>
          <w:tcPr>
            <w:tcW w:type="dxa" w:w="1680"/>
          </w:tcPr>
          <w:p>
            <w:r>
              <w:t>Dominates pooled test set; stable national reporting coverage across all states.</w:t>
            </w:r>
          </w:p>
        </w:tc>
      </w:tr>
      <w:tr>
        <w:tc>
          <w:tcPr>
            <w:tcW w:type="dxa" w:w="1680"/>
          </w:tcPr>
          <w:p>
            <w:r>
              <w:t>2015</w:t>
            </w:r>
          </w:p>
        </w:tc>
        <w:tc>
          <w:tcPr>
            <w:tcW w:type="dxa" w:w="1680"/>
          </w:tcPr>
          <w:p>
            <w:r>
              <w:t>79 (9.34%)</w:t>
            </w:r>
          </w:p>
        </w:tc>
        <w:tc>
          <w:tcPr>
            <w:tcW w:type="dxa" w:w="1680"/>
          </w:tcPr>
          <w:p>
            <w:r>
              <w:t>0.5290</w:t>
            </w:r>
          </w:p>
        </w:tc>
        <w:tc>
          <w:tcPr>
            <w:tcW w:type="dxa" w:w="1680"/>
          </w:tcPr>
          <w:p>
            <w:r>
              <w:t>0.6771</w:t>
            </w:r>
          </w:p>
        </w:tc>
        <w:tc>
          <w:tcPr>
            <w:tcW w:type="dxa" w:w="1680"/>
          </w:tcPr>
          <w:p>
            <w:r>
              <w:t>0.4409</w:t>
            </w:r>
          </w:p>
        </w:tc>
        <w:tc>
          <w:tcPr>
            <w:tcW w:type="dxa" w:w="1680"/>
          </w:tcPr>
          <w:p>
            <w:r>
              <w:t>Slightly elevated MAE driven by administrative reporting lag and eastern monsoon deficits.</w:t>
            </w:r>
          </w:p>
        </w:tc>
      </w:tr>
    </w:tbl>
    <w:p>
      <w:r>
        <w:drawing>
          <wp:inline xmlns:a="http://schemas.openxmlformats.org/drawingml/2006/main" xmlns:pic="http://schemas.openxmlformats.org/drawingml/2006/picture">
            <wp:extent cx="5029200" cy="3481754"/>
            <wp:docPr id="7" name="Picture 7"/>
            <wp:cNvGraphicFramePr>
              <a:graphicFrameLocks noChangeAspect="1"/>
            </wp:cNvGraphicFramePr>
            <a:graphic>
              <a:graphicData uri="http://schemas.openxmlformats.org/drawingml/2006/picture">
                <pic:pic>
                  <pic:nvPicPr>
                    <pic:cNvPr id="0" name="fig4_locked_test_actual_vs_predicted.png"/>
                    <pic:cNvPicPr/>
                  </pic:nvPicPr>
                  <pic:blipFill>
                    <a:blip r:embed="rId15"/>
                    <a:stretch>
                      <a:fillRect/>
                    </a:stretch>
                  </pic:blipFill>
                  <pic:spPr>
                    <a:xfrm>
                      <a:off x="0" y="0"/>
                      <a:ext cx="5029200" cy="3481754"/>
                    </a:xfrm>
                    <a:prstGeom prst="rect"/>
                  </pic:spPr>
                </pic:pic>
              </a:graphicData>
            </a:graphic>
          </wp:inline>
        </w:drawing>
      </w:r>
    </w:p>
    <w:p>
      <w:r>
        <w:t>Figure 4: Actual vs Predicted Rice Yield on Locked Test Set (2014–2015, N=846).</w:t>
      </w:r>
    </w:p>
    <w:p>
      <w:r>
        <w:drawing>
          <wp:inline xmlns:a="http://schemas.openxmlformats.org/drawingml/2006/main" xmlns:pic="http://schemas.openxmlformats.org/drawingml/2006/picture">
            <wp:extent cx="5029200" cy="3481754"/>
            <wp:docPr id="8" name="Picture 8"/>
            <wp:cNvGraphicFramePr>
              <a:graphicFrameLocks noChangeAspect="1"/>
            </wp:cNvGraphicFramePr>
            <a:graphic>
              <a:graphicData uri="http://schemas.openxmlformats.org/drawingml/2006/picture">
                <pic:pic>
                  <pic:nvPicPr>
                    <pic:cNvPr id="0" name="fig5_locked_test_residual_plot.png"/>
                    <pic:cNvPicPr/>
                  </pic:nvPicPr>
                  <pic:blipFill>
                    <a:blip r:embed="rId16"/>
                    <a:stretch>
                      <a:fillRect/>
                    </a:stretch>
                  </pic:blipFill>
                  <pic:spPr>
                    <a:xfrm>
                      <a:off x="0" y="0"/>
                      <a:ext cx="5029200" cy="3481754"/>
                    </a:xfrm>
                    <a:prstGeom prst="rect"/>
                  </pic:spPr>
                </pic:pic>
              </a:graphicData>
            </a:graphic>
          </wp:inline>
        </w:drawing>
      </w:r>
    </w:p>
    <w:p>
      <w:r>
        <w:t>Figure 5: Residual Error Distribution vs Predicted Yield.</w:t>
      </w:r>
    </w:p>
    <w:p>
      <w:pPr>
        <w:pStyle w:val="Heading1"/>
      </w:pPr>
      <w:r>
        <w:t>7. Five-Case Agronomic Error Audit (Framed as Hypotheses)</w:t>
      </w:r>
    </w:p>
    <w:p>
      <w:r>
        <w:t>Per Manual Section 6 specifications, all failure causes are explicitly framed as plausible agronomic hypotheses rather than established facts: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Rank</w:t>
            </w:r>
          </w:p>
        </w:tc>
        <w:tc>
          <w:tcPr>
            <w:tcW w:type="dxa" w:w="1680"/>
          </w:tcPr>
          <w:p>
            <w:r>
              <w:rPr>
                <w:b/>
              </w:rPr>
              <w:t>District (State, Season, Year)</w:t>
            </w:r>
          </w:p>
        </w:tc>
        <w:tc>
          <w:tcPr>
            <w:tcW w:type="dxa" w:w="1680"/>
          </w:tcPr>
          <w:p>
            <w:r>
              <w:rPr>
                <w:b/>
              </w:rPr>
              <w:t>Actual</w:t>
            </w:r>
          </w:p>
        </w:tc>
        <w:tc>
          <w:tcPr>
            <w:tcW w:type="dxa" w:w="1680"/>
          </w:tcPr>
          <w:p>
            <w:r>
              <w:rPr>
                <w:b/>
              </w:rPr>
              <w:t>Predicted</w:t>
            </w:r>
          </w:p>
        </w:tc>
        <w:tc>
          <w:tcPr>
            <w:tcW w:type="dxa" w:w="1680"/>
          </w:tcPr>
          <w:p>
            <w:r>
              <w:rPr>
                <w:b/>
              </w:rPr>
              <w:t>Abs Error</w:t>
            </w:r>
          </w:p>
        </w:tc>
        <w:tc>
          <w:tcPr>
            <w:tcW w:type="dxa" w:w="1680"/>
          </w:tcPr>
          <w:p>
            <w:r>
              <w:rPr>
                <w:b/>
              </w:rPr>
              <w:t>Plausible Agronomic Hypothesis &amp; Agricultural Consequence</w:t>
            </w:r>
          </w:p>
        </w:tc>
      </w:tr>
      <w:tr>
        <w:tc>
          <w:tcPr>
            <w:tcW w:type="dxa" w:w="1680"/>
          </w:tcPr>
          <w:p>
            <w:r>
              <w:t>1</w:t>
            </w:r>
          </w:p>
        </w:tc>
        <w:tc>
          <w:tcPr>
            <w:tcW w:type="dxa" w:w="1680"/>
          </w:tcPr>
          <w:p>
            <w:r>
              <w:t>ARWAL (Bihar, Winter 2014)</w:t>
            </w:r>
          </w:p>
        </w:tc>
        <w:tc>
          <w:tcPr>
            <w:tcW w:type="dxa" w:w="1680"/>
          </w:tcPr>
          <w:p>
            <w:r>
              <w:t>4.40 t/ha</w:t>
            </w:r>
          </w:p>
        </w:tc>
        <w:tc>
          <w:tcPr>
            <w:tcW w:type="dxa" w:w="1680"/>
          </w:tcPr>
          <w:p>
            <w:r>
              <w:t>1.70 t/ha</w:t>
            </w:r>
          </w:p>
        </w:tc>
        <w:tc>
          <w:tcPr>
            <w:tcW w:type="dxa" w:w="1680"/>
          </w:tcPr>
          <w:p>
            <w:r>
              <w:t>2.70 t/ha</w:t>
            </w:r>
          </w:p>
        </w:tc>
        <w:tc>
          <w:tcPr>
            <w:tcW w:type="dxa" w:w="1680"/>
          </w:tcPr>
          <w:p>
            <w:r>
              <w:t>Hypothesis: Atypical drought / late Kharif deficit uncaptured by static geographic features. Consequence: Deficit in regional grain reserves. Mitigation: Ingest satellite NDVI &amp; precipitation anomalies.</w:t>
            </w:r>
          </w:p>
        </w:tc>
      </w:tr>
      <w:tr>
        <w:tc>
          <w:tcPr>
            <w:tcW w:type="dxa" w:w="1680"/>
          </w:tcPr>
          <w:p>
            <w:r>
              <w:t>2</w:t>
            </w:r>
          </w:p>
        </w:tc>
        <w:tc>
          <w:tcPr>
            <w:tcW w:type="dxa" w:w="1680"/>
          </w:tcPr>
          <w:p>
            <w:r>
              <w:t>ROHTAS (Bihar, Winter 2014)</w:t>
            </w:r>
          </w:p>
        </w:tc>
        <w:tc>
          <w:tcPr>
            <w:tcW w:type="dxa" w:w="1680"/>
          </w:tcPr>
          <w:p>
            <w:r>
              <w:t>4.18 t/ha</w:t>
            </w:r>
          </w:p>
        </w:tc>
        <w:tc>
          <w:tcPr>
            <w:tcW w:type="dxa" w:w="1680"/>
          </w:tcPr>
          <w:p>
            <w:r>
              <w:t>2.01 t/ha</w:t>
            </w:r>
          </w:p>
        </w:tc>
        <w:tc>
          <w:tcPr>
            <w:tcW w:type="dxa" w:w="1680"/>
          </w:tcPr>
          <w:p>
            <w:r>
              <w:t>2.17 t/ha</w:t>
            </w:r>
          </w:p>
        </w:tc>
        <w:tc>
          <w:tcPr>
            <w:tcW w:type="dxa" w:w="1680"/>
          </w:tcPr>
          <w:p>
            <w:r>
              <w:t>Hypothesis: Intensive canal-irrigated HYV pocket with high NPK outperforming district baseline. Consequence: Mandi storage bottlenecks. Mitigation: Ingest micro-irrigation percentage &amp; seed replacement rates.</w:t>
            </w:r>
          </w:p>
        </w:tc>
      </w:tr>
      <w:tr>
        <w:tc>
          <w:tcPr>
            <w:tcW w:type="dxa" w:w="1680"/>
          </w:tcPr>
          <w:p>
            <w:r>
              <w:t>3</w:t>
            </w:r>
          </w:p>
        </w:tc>
        <w:tc>
          <w:tcPr>
            <w:tcW w:type="dxa" w:w="1680"/>
          </w:tcPr>
          <w:p>
            <w:r>
              <w:t>DEOGARH (Odisha, Winter 2014)</w:t>
            </w:r>
          </w:p>
        </w:tc>
        <w:tc>
          <w:tcPr>
            <w:tcW w:type="dxa" w:w="1680"/>
          </w:tcPr>
          <w:p>
            <w:r>
              <w:t>3.48 t/ha</w:t>
            </w:r>
          </w:p>
        </w:tc>
        <w:tc>
          <w:tcPr>
            <w:tcW w:type="dxa" w:w="1680"/>
          </w:tcPr>
          <w:p>
            <w:r>
              <w:t>1.34 t/ha</w:t>
            </w:r>
          </w:p>
        </w:tc>
        <w:tc>
          <w:tcPr>
            <w:tcW w:type="dxa" w:w="1680"/>
          </w:tcPr>
          <w:p>
            <w:r>
              <w:t>2.14 t/ha</w:t>
            </w:r>
          </w:p>
        </w:tc>
        <w:tc>
          <w:tcPr>
            <w:tcW w:type="dxa" w:w="1680"/>
          </w:tcPr>
          <w:p>
            <w:r>
              <w:t>Hypothesis: Localized pest outbreak / blast disease causing premature lodging in lowland rice. Consequence: Misallocated procurement logistics. Mitigation: Integrate pest-surveillance early warning alerts.</w:t>
            </w:r>
          </w:p>
        </w:tc>
      </w:tr>
      <w:tr>
        <w:tc>
          <w:tcPr>
            <w:tcW w:type="dxa" w:w="1680"/>
          </w:tcPr>
          <w:p>
            <w:r>
              <w:t>4</w:t>
            </w:r>
          </w:p>
        </w:tc>
        <w:tc>
          <w:tcPr>
            <w:tcW w:type="dxa" w:w="1680"/>
          </w:tcPr>
          <w:p>
            <w:r>
              <w:t>SHEIKHPURA (Bihar, Winter 2014)</w:t>
            </w:r>
          </w:p>
        </w:tc>
        <w:tc>
          <w:tcPr>
            <w:tcW w:type="dxa" w:w="1680"/>
          </w:tcPr>
          <w:p>
            <w:r>
              <w:t>3.81 t/ha</w:t>
            </w:r>
          </w:p>
        </w:tc>
        <w:tc>
          <w:tcPr>
            <w:tcW w:type="dxa" w:w="1680"/>
          </w:tcPr>
          <w:p>
            <w:r>
              <w:t>1.71 t/ha</w:t>
            </w:r>
          </w:p>
        </w:tc>
        <w:tc>
          <w:tcPr>
            <w:tcW w:type="dxa" w:w="1680"/>
          </w:tcPr>
          <w:p>
            <w:r>
              <w:t>2.10 t/ha</w:t>
            </w:r>
          </w:p>
        </w:tc>
        <w:tc>
          <w:tcPr>
            <w:tcW w:type="dxa" w:w="1680"/>
          </w:tcPr>
          <w:p>
            <w:r>
              <w:t>Hypothesis: Extreme flood inundation causing partial harvest abandonment in riverine tract. Consequence: Failure to trigger timely insurance payouts (PMFBY). Mitigation: Fuse SAR flood extent inundation masks.</w:t>
            </w:r>
          </w:p>
        </w:tc>
      </w:tr>
      <w:tr>
        <w:tc>
          <w:tcPr>
            <w:tcW w:type="dxa" w:w="1680"/>
          </w:tcPr>
          <w:p>
            <w:r>
              <w:t>5</w:t>
            </w:r>
          </w:p>
        </w:tc>
        <w:tc>
          <w:tcPr>
            <w:tcW w:type="dxa" w:w="1680"/>
          </w:tcPr>
          <w:p>
            <w:r>
              <w:t>LAKHISARAI (Bihar, Winter 2014)</w:t>
            </w:r>
          </w:p>
        </w:tc>
        <w:tc>
          <w:tcPr>
            <w:tcW w:type="dxa" w:w="1680"/>
          </w:tcPr>
          <w:p>
            <w:r>
              <w:t>3.69 t/ha</w:t>
            </w:r>
          </w:p>
        </w:tc>
        <w:tc>
          <w:tcPr>
            <w:tcW w:type="dxa" w:w="1680"/>
          </w:tcPr>
          <w:p>
            <w:r>
              <w:t>1.69 t/ha</w:t>
            </w:r>
          </w:p>
        </w:tc>
        <w:tc>
          <w:tcPr>
            <w:tcW w:type="dxa" w:w="1680"/>
          </w:tcPr>
          <w:p>
            <w:r>
              <w:t>1.99 t/ha</w:t>
            </w:r>
          </w:p>
        </w:tc>
        <w:tc>
          <w:tcPr>
            <w:tcW w:type="dxa" w:w="1680"/>
          </w:tcPr>
          <w:p>
            <w:r>
              <w:t>Hypothesis: High agro-ecological variance across tribal/hilly tracts masking localized yield. Consequence: Sub-optimal fertilizer distribution quotas. Mitigation: Refine spatial resolution to block/taluk granularity.</w:t>
            </w:r>
          </w:p>
        </w:tc>
      </w:tr>
    </w:tbl>
    <w:p>
      <w:pPr>
        <w:pStyle w:val="Heading1"/>
      </w:pPr>
      <w:r>
        <w:t>8. Responsible Analytics, Operational Limitations &amp; Governance</w:t>
      </w:r>
    </w:p>
    <w:p>
      <w:r>
        <w:t>Operational Boundaries: Predictions are valid strictly for macro-level planning by agricultural agencies before harvest commences. The model is calibrated for 1–3 year temporal forecasting horizons; multi-decade extrapolation is prohibited without re-calibration. Uncalibrated districts fall back to state-level empirical medians with automated low-confidence telemetry warnings.</w:t>
        <w:br/>
        <w:br/>
        <w:t>Ethical Governance &amp; Risk Mitigation: Model predictions must never be utilized to restrict agricultural credit access or deny crop insurance indemnities (e.g., PMFBY) to smallholder farmers.</w:t>
      </w:r>
    </w:p>
    <w:p>
      <w:pPr>
        <w:pStyle w:val="Heading1"/>
      </w:pPr>
      <w:r>
        <w:t>9. Reproducibility Checklist &amp; Cryptographic Verification</w:t>
      </w:r>
    </w:p>
    <w:tbl>
      <w:tblPr>
        <w:tblW w:type="auto" w:w="0"/>
        <w:jc w:val="center"/>
        <w:tblLook w:firstColumn="1" w:firstRow="1" w:lastColumn="0" w:lastRow="0" w:noHBand="0" w:noVBand="1" w:val="04A0"/>
      </w:tblPr>
      <w:tblGrid>
        <w:gridCol w:w="2520"/>
        <w:gridCol w:w="2520"/>
        <w:gridCol w:w="2520"/>
        <w:gridCol w:w="2520"/>
      </w:tblGrid>
      <w:tr>
        <w:tc>
          <w:tcPr>
            <w:tcW w:type="dxa" w:w="2520"/>
          </w:tcPr>
          <w:p>
            <w:r>
              <w:rPr>
                <w:b/>
              </w:rPr>
              <w:t>Artifact / Verification Check</w:t>
            </w:r>
          </w:p>
        </w:tc>
        <w:tc>
          <w:tcPr>
            <w:tcW w:type="dxa" w:w="2520"/>
          </w:tcPr>
          <w:p>
            <w:r>
              <w:rPr>
                <w:b/>
              </w:rPr>
              <w:t>Storage Path</w:t>
            </w:r>
          </w:p>
        </w:tc>
        <w:tc>
          <w:tcPr>
            <w:tcW w:type="dxa" w:w="2520"/>
          </w:tcPr>
          <w:p>
            <w:r>
              <w:rPr>
                <w:b/>
              </w:rPr>
              <w:t>Cryptographic Seal / Output Status</w:t>
            </w:r>
          </w:p>
        </w:tc>
        <w:tc>
          <w:tcPr>
            <w:tcW w:type="dxa" w:w="2520"/>
          </w:tcPr>
          <w:p>
            <w:r>
              <w:rPr>
                <w:b/>
              </w:rPr>
              <w:t>Audit Status</w:t>
            </w:r>
          </w:p>
        </w:tc>
      </w:tr>
      <w:tr>
        <w:tc>
          <w:tcPr>
            <w:tcW w:type="dxa" w:w="2520"/>
          </w:tcPr>
          <w:p>
            <w:r>
              <w:t>Primary Raw APY Data (D1)</w:t>
            </w:r>
          </w:p>
        </w:tc>
        <w:tc>
          <w:tcPr>
            <w:tcW w:type="dxa" w:w="2520"/>
          </w:tcPr>
          <w:p>
            <w:r>
              <w:t>data/raw/crop_production.csv</w:t>
            </w:r>
          </w:p>
        </w:tc>
        <w:tc>
          <w:tcPr>
            <w:tcW w:type="dxa" w:w="2520"/>
          </w:tcPr>
          <w:p>
            <w:r>
              <w:t>SHA-256: 5b2637058ca4aff2ef7c0e0f2f391bca712300d082693b585f489871fd91d520</w:t>
            </w:r>
          </w:p>
        </w:tc>
        <w:tc>
          <w:tcPr>
            <w:tcW w:type="dxa" w:w="2520"/>
          </w:tcPr>
          <w:p>
            <w:r>
              <w:t>100% VERIFIED</w:t>
            </w:r>
          </w:p>
        </w:tc>
      </w:tr>
      <w:tr>
        <w:tc>
          <w:tcPr>
            <w:tcW w:type="dxa" w:w="2520"/>
          </w:tcPr>
          <w:p>
            <w:r>
              <w:t>Classification Raw Data (D3)</w:t>
            </w:r>
          </w:p>
        </w:tc>
        <w:tc>
          <w:tcPr>
            <w:tcW w:type="dxa" w:w="2520"/>
          </w:tcPr>
          <w:p>
            <w:r>
              <w:t>data/raw/crop_recommendation.csv</w:t>
            </w:r>
          </w:p>
        </w:tc>
        <w:tc>
          <w:tcPr>
            <w:tcW w:type="dxa" w:w="2520"/>
          </w:tcPr>
          <w:p>
            <w:r>
              <w:t>SHA-256: 808e1d84a544647f1ab2fdae04f434b1842692d6be09eee18a5c2d43eb78d77c</w:t>
            </w:r>
          </w:p>
        </w:tc>
        <w:tc>
          <w:tcPr>
            <w:tcW w:type="dxa" w:w="2520"/>
          </w:tcPr>
          <w:p>
            <w:r>
              <w:t>100% VERIFIED</w:t>
            </w:r>
          </w:p>
        </w:tc>
      </w:tr>
      <w:tr>
        <w:tc>
          <w:tcPr>
            <w:tcW w:type="dxa" w:w="2520"/>
          </w:tcPr>
          <w:p>
            <w:r>
              <w:t>Regression Model Bundle</w:t>
            </w:r>
          </w:p>
        </w:tc>
        <w:tc>
          <w:tcPr>
            <w:tcW w:type="dxa" w:w="2520"/>
          </w:tcPr>
          <w:p>
            <w:r>
              <w:t>models/selected_bundle.joblib</w:t>
            </w:r>
          </w:p>
        </w:tc>
        <w:tc>
          <w:tcPr>
            <w:tcW w:type="dxa" w:w="2520"/>
          </w:tcPr>
          <w:p>
            <w:r>
              <w:t>Encapsulated Scikit-Learn Pipeline + Metadata</w:t>
            </w:r>
          </w:p>
        </w:tc>
        <w:tc>
          <w:tcPr>
            <w:tcW w:type="dxa" w:w="2520"/>
          </w:tcPr>
          <w:p>
            <w:r>
              <w:t>100% VERIFIED</w:t>
            </w:r>
          </w:p>
        </w:tc>
      </w:tr>
      <w:tr>
        <w:tc>
          <w:tcPr>
            <w:tcW w:type="dxa" w:w="2520"/>
          </w:tcPr>
          <w:p>
            <w:r>
              <w:t>Classification Model Bundle</w:t>
            </w:r>
          </w:p>
        </w:tc>
        <w:tc>
          <w:tcPr>
            <w:tcW w:type="dxa" w:w="2520"/>
          </w:tcPr>
          <w:p>
            <w:r>
              <w:t>models/classification_bundle.joblib</w:t>
            </w:r>
          </w:p>
        </w:tc>
        <w:tc>
          <w:tcPr>
            <w:tcW w:type="dxa" w:w="2520"/>
          </w:tcPr>
          <w:p>
            <w:r>
              <w:t>RandomForestClassifier + Per-Class Metrics</w:t>
            </w:r>
          </w:p>
        </w:tc>
        <w:tc>
          <w:tcPr>
            <w:tcW w:type="dxa" w:w="2520"/>
          </w:tcPr>
          <w:p>
            <w:r>
              <w:t>100% VERIFIED</w:t>
            </w:r>
          </w:p>
        </w:tc>
      </w:tr>
      <w:tr>
        <w:tc>
          <w:tcPr>
            <w:tcW w:type="dxa" w:w="2520"/>
          </w:tcPr>
          <w:p>
            <w:r>
              <w:t>Automated Verification Suite</w:t>
            </w:r>
          </w:p>
        </w:tc>
        <w:tc>
          <w:tcPr>
            <w:tcW w:type="dxa" w:w="2520"/>
          </w:tcPr>
          <w:p>
            <w:r>
              <w:t>verify_submission.py</w:t>
            </w:r>
          </w:p>
        </w:tc>
        <w:tc>
          <w:tcPr>
            <w:tcW w:type="dxa" w:w="2520"/>
          </w:tcPr>
          <w:p>
            <w:r>
              <w:t>100% assertions pass with zero warnings or errors</w:t>
            </w:r>
          </w:p>
        </w:tc>
        <w:tc>
          <w:tcPr>
            <w:tcW w:type="dxa" w:w="2520"/>
          </w:tcPr>
          <w:p>
            <w:r>
              <w:t>100% PASSING</w:t>
            </w:r>
          </w:p>
        </w:tc>
      </w:tr>
    </w:tbl>
    <w:p>
      <w:pPr>
        <w:pStyle w:val="Heading1"/>
      </w:pPr>
      <w:r>
        <w:t>10. Academic Integrity &amp; Academic Sign-Off</w:t>
      </w:r>
    </w:p>
    <w:p>
      <w:r>
        <w:t>I hereby declare that this research report and the accompanying computational pipeline represent original work completed in strict adherence to academic integrity standards and the Experiment 08 Manual Version 3.0 specification. All figures, tables, and reported performance metrics were programmatically generated from authentic data without post-hoc fabrication.</w:t>
        <w:br/>
        <w:br/>
        <w:t>Student Name: Lokanth S | Registration Number: 23MID0037 | Faculty: Dr. Durgesh Kumar | Date: September 15,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