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Validex User Guide</w:t>
      </w:r>
    </w:p>
    <w:p>
      <w:pPr>
        <w:spacing w:after="280"/>
      </w:pPr>
      <w:r>
        <w:rPr>
          <w:color w:val="38526F"/>
          <w:sz w:val="28"/>
        </w:rPr>
        <w:t>How to use the SIH26262 workflow prototype</w:t>
      </w:r>
    </w:p>
    <w:p>
      <w:r>
        <w:t>This guide explains how institution users, scrutiny officers, expert reviewers and administrators use Validex from application creation through review, clarification, decision, deadline tracking, reporting and audit. Follow the role-specific steps and treat system analysis as decision support; authorized officers make official decisions.</w:t>
      </w:r>
    </w:p>
    <w:tbl>
      <w:tblPr>
        <w:tblW w:type="auto" w:w="0"/>
        <w:jc w:val="center"/>
        <w:tblLook w:firstColumn="1" w:firstRow="1" w:lastColumn="0" w:lastRow="0" w:noHBand="0" w:noVBand="1" w:val="04A0"/>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994"/>
      </w:tblGrid>
      <w:tr>
        <w:tc>
          <w:tcPr>
            <w:tcW w:type="dxa" w:w="9994"/>
            <w:shd w:fill="FFF3D8"/>
            <w:tcMar>
              <w:top w:w="130" w:type="dxa"/>
              <w:start w:w="160" w:type="dxa"/>
              <w:bottom w:w="130" w:type="dxa"/>
              <w:end w:w="160" w:type="dxa"/>
            </w:tcMar>
          </w:tcPr>
          <w:p>
            <w:pPr>
              <w:spacing w:after="0"/>
            </w:pPr>
            <w:r>
              <w:rPr>
                <w:b/>
                <w:color w:val="203A5B"/>
              </w:rPr>
              <w:t xml:space="preserve">Prototype notice  </w:t>
            </w:r>
            <w:r>
              <w:t>Validex is an independent prototype, not an AICTE system or endorsed service. Demo accounts and seeded records are synthetic. Issuing-authority and AICTE-record connectors are simulated unless explicitly configured; handbook rules need authorized validation before real use.</w:t>
            </w:r>
          </w:p>
        </w:tc>
      </w:tr>
    </w:tbl>
    <w:p>
      <w:pPr>
        <w:spacing w:after="20"/>
      </w:pPr>
    </w:p>
    <w:p>
      <w:pPr>
        <w:pStyle w:val="Heading1"/>
      </w:pPr>
      <w:r>
        <w:t>Open the running demo</w:t>
      </w:r>
    </w:p>
    <w:p>
      <w:r>
        <w:t>Web app: http://127.0.0.1:3000/     API reference: http://127.0.0.1:8000/docs</w:t>
      </w:r>
    </w:p>
    <w:p>
      <w:r>
        <w:t>Sign in with one of the synthetic accounts below. The left navigation changes with your role.</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31"/>
        <w:gridCol w:w="3331"/>
        <w:gridCol w:w="3331"/>
      </w:tblGrid>
      <w:tr>
        <w:trPr>
          <w:tblHeader w:val="true"/>
        </w:trPr>
        <w:tc>
          <w:tcPr>
            <w:tcW w:type="dxa" w:w="2232"/>
            <w:shd w:fill="203A5B"/>
            <w:vAlign w:val="center"/>
            <w:tcMar>
              <w:top w:w="95" w:type="dxa"/>
              <w:start w:w="110" w:type="dxa"/>
              <w:bottom w:w="95" w:type="dxa"/>
              <w:end w:w="110" w:type="dxa"/>
            </w:tcMar>
          </w:tcPr>
          <w:p>
            <w:pPr>
              <w:spacing w:after="0"/>
            </w:pPr>
            <w:r>
              <w:rPr>
                <w:rFonts w:ascii="Aptos" w:hAnsi="Aptos"/>
                <w:b/>
                <w:color w:val="FFFFFF"/>
                <w:sz w:val="17"/>
              </w:rPr>
              <w:t>Role</w:t>
            </w:r>
          </w:p>
        </w:tc>
        <w:tc>
          <w:tcPr>
            <w:tcW w:type="dxa" w:w="5112"/>
            <w:shd w:fill="203A5B"/>
            <w:vAlign w:val="center"/>
            <w:tcMar>
              <w:top w:w="95" w:type="dxa"/>
              <w:start w:w="110" w:type="dxa"/>
              <w:bottom w:w="95" w:type="dxa"/>
              <w:end w:w="110" w:type="dxa"/>
            </w:tcMar>
          </w:tcPr>
          <w:p>
            <w:pPr>
              <w:spacing w:after="0"/>
            </w:pPr>
            <w:r>
              <w:rPr>
                <w:rFonts w:ascii="Aptos" w:hAnsi="Aptos"/>
                <w:b/>
                <w:color w:val="FFFFFF"/>
                <w:sz w:val="17"/>
              </w:rPr>
              <w:t>Demo email</w:t>
            </w:r>
          </w:p>
        </w:tc>
        <w:tc>
          <w:tcPr>
            <w:tcW w:type="dxa" w:w="1728"/>
            <w:shd w:fill="203A5B"/>
            <w:vAlign w:val="center"/>
            <w:tcMar>
              <w:top w:w="95" w:type="dxa"/>
              <w:start w:w="110" w:type="dxa"/>
              <w:bottom w:w="95" w:type="dxa"/>
              <w:end w:w="110" w:type="dxa"/>
            </w:tcMar>
          </w:tcPr>
          <w:p>
            <w:pPr>
              <w:spacing w:after="0"/>
            </w:pPr>
            <w:r>
              <w:rPr>
                <w:rFonts w:ascii="Aptos" w:hAnsi="Aptos"/>
                <w:b/>
                <w:color w:val="FFFFFF"/>
                <w:sz w:val="17"/>
              </w:rPr>
              <w:t>Password</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Scrutiny officer</w:t>
            </w:r>
          </w:p>
        </w:tc>
        <w:tc>
          <w:tcPr>
            <w:tcW w:type="dxa" w:w="5112"/>
            <w:vAlign w:val="center"/>
            <w:tcMar>
              <w:top w:w="95" w:type="dxa"/>
              <w:start w:w="110" w:type="dxa"/>
              <w:bottom w:w="95" w:type="dxa"/>
              <w:end w:w="110" w:type="dxa"/>
            </w:tcMar>
          </w:tcPr>
          <w:p>
            <w:pPr>
              <w:spacing w:after="0" w:line="240" w:lineRule="auto"/>
            </w:pPr>
            <w:r>
              <w:rPr>
                <w:rFonts w:ascii="Aptos" w:hAnsi="Aptos"/>
                <w:color w:val="28303C"/>
                <w:sz w:val="17"/>
              </w:rPr>
              <w:t>scrutiny@aicte-india.org</w:t>
            </w:r>
          </w:p>
        </w:tc>
        <w:tc>
          <w:tcPr>
            <w:tcW w:type="dxa" w:w="1728"/>
            <w:vAlign w:val="center"/>
            <w:tcMar>
              <w:top w:w="95" w:type="dxa"/>
              <w:start w:w="110" w:type="dxa"/>
              <w:bottom w:w="95" w:type="dxa"/>
              <w:end w:w="110" w:type="dxa"/>
            </w:tcMar>
          </w:tcPr>
          <w:p>
            <w:pPr>
              <w:spacing w:after="0" w:line="240" w:lineRule="auto"/>
            </w:pPr>
            <w:r>
              <w:rPr>
                <w:rFonts w:ascii="Aptos" w:hAnsi="Aptos"/>
                <w:color w:val="28303C"/>
                <w:sz w:val="17"/>
              </w:rPr>
              <w:t>scrutiny123</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Platform administrator</w:t>
            </w:r>
          </w:p>
        </w:tc>
        <w:tc>
          <w:tcPr>
            <w:tcW w:type="dxa" w:w="5112"/>
            <w:vAlign w:val="center"/>
            <w:tcMar>
              <w:top w:w="95" w:type="dxa"/>
              <w:start w:w="110" w:type="dxa"/>
              <w:bottom w:w="95" w:type="dxa"/>
              <w:end w:w="110" w:type="dxa"/>
            </w:tcMar>
            <w:shd w:fill="F3F6FA"/>
          </w:tcPr>
          <w:p>
            <w:pPr>
              <w:spacing w:after="0" w:line="240" w:lineRule="auto"/>
            </w:pPr>
            <w:r>
              <w:rPr>
                <w:rFonts w:ascii="Aptos" w:hAnsi="Aptos"/>
                <w:color w:val="28303C"/>
                <w:sz w:val="17"/>
              </w:rPr>
              <w:t>admin@aicte-india.org</w:t>
            </w:r>
          </w:p>
        </w:tc>
        <w:tc>
          <w:tcPr>
            <w:tcW w:type="dxa" w:w="1728"/>
            <w:vAlign w:val="center"/>
            <w:tcMar>
              <w:top w:w="95" w:type="dxa"/>
              <w:start w:w="110" w:type="dxa"/>
              <w:bottom w:w="95" w:type="dxa"/>
              <w:end w:w="110" w:type="dxa"/>
            </w:tcMar>
            <w:shd w:fill="F3F6FA"/>
          </w:tcPr>
          <w:p>
            <w:pPr>
              <w:spacing w:after="0" w:line="240" w:lineRule="auto"/>
            </w:pPr>
            <w:r>
              <w:rPr>
                <w:rFonts w:ascii="Aptos" w:hAnsi="Aptos"/>
                <w:color w:val="28303C"/>
                <w:sz w:val="17"/>
              </w:rPr>
              <w:t>admin123</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Expert committee</w:t>
            </w:r>
          </w:p>
        </w:tc>
        <w:tc>
          <w:tcPr>
            <w:tcW w:type="dxa" w:w="5112"/>
            <w:vAlign w:val="center"/>
            <w:tcMar>
              <w:top w:w="95" w:type="dxa"/>
              <w:start w:w="110" w:type="dxa"/>
              <w:bottom w:w="95" w:type="dxa"/>
              <w:end w:w="110" w:type="dxa"/>
            </w:tcMar>
          </w:tcPr>
          <w:p>
            <w:pPr>
              <w:spacing w:after="0" w:line="240" w:lineRule="auto"/>
            </w:pPr>
            <w:r>
              <w:rPr>
                <w:rFonts w:ascii="Aptos" w:hAnsi="Aptos"/>
                <w:color w:val="28303C"/>
                <w:sz w:val="17"/>
              </w:rPr>
              <w:t>expert@aicte-india.org</w:t>
            </w:r>
          </w:p>
        </w:tc>
        <w:tc>
          <w:tcPr>
            <w:tcW w:type="dxa" w:w="1728"/>
            <w:vAlign w:val="center"/>
            <w:tcMar>
              <w:top w:w="95" w:type="dxa"/>
              <w:start w:w="110" w:type="dxa"/>
              <w:bottom w:w="95" w:type="dxa"/>
              <w:end w:w="110" w:type="dxa"/>
            </w:tcMar>
          </w:tcPr>
          <w:p>
            <w:pPr>
              <w:spacing w:after="0" w:line="240" w:lineRule="auto"/>
            </w:pPr>
            <w:r>
              <w:rPr>
                <w:rFonts w:ascii="Aptos" w:hAnsi="Aptos"/>
                <w:color w:val="28303C"/>
                <w:sz w:val="17"/>
              </w:rPr>
              <w:t>expert123</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Apex institution</w:t>
            </w:r>
          </w:p>
        </w:tc>
        <w:tc>
          <w:tcPr>
            <w:tcW w:type="dxa" w:w="5112"/>
            <w:vAlign w:val="center"/>
            <w:tcMar>
              <w:top w:w="95" w:type="dxa"/>
              <w:start w:w="110" w:type="dxa"/>
              <w:bottom w:w="95" w:type="dxa"/>
              <w:end w:w="110" w:type="dxa"/>
            </w:tcMar>
            <w:shd w:fill="F3F6FA"/>
          </w:tcPr>
          <w:p>
            <w:pPr>
              <w:spacing w:after="0" w:line="240" w:lineRule="auto"/>
            </w:pPr>
            <w:r>
              <w:rPr>
                <w:rFonts w:ascii="Aptos" w:hAnsi="Aptos"/>
                <w:color w:val="28303C"/>
                <w:sz w:val="17"/>
              </w:rPr>
              <w:t>principal@apex.edu.in</w:t>
            </w:r>
          </w:p>
        </w:tc>
        <w:tc>
          <w:tcPr>
            <w:tcW w:type="dxa" w:w="1728"/>
            <w:vAlign w:val="center"/>
            <w:tcMar>
              <w:top w:w="95" w:type="dxa"/>
              <w:start w:w="110" w:type="dxa"/>
              <w:bottom w:w="95" w:type="dxa"/>
              <w:end w:w="110" w:type="dxa"/>
            </w:tcMar>
            <w:shd w:fill="F3F6FA"/>
          </w:tcPr>
          <w:p>
            <w:pPr>
              <w:spacing w:after="0" w:line="240" w:lineRule="auto"/>
            </w:pPr>
            <w:r>
              <w:rPr>
                <w:rFonts w:ascii="Aptos" w:hAnsi="Aptos"/>
                <w:color w:val="28303C"/>
                <w:sz w:val="17"/>
              </w:rPr>
              <w:t>apex123</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Zenith institution</w:t>
            </w:r>
          </w:p>
        </w:tc>
        <w:tc>
          <w:tcPr>
            <w:tcW w:type="dxa" w:w="5112"/>
            <w:vAlign w:val="center"/>
            <w:tcMar>
              <w:top w:w="95" w:type="dxa"/>
              <w:start w:w="110" w:type="dxa"/>
              <w:bottom w:w="95" w:type="dxa"/>
              <w:end w:w="110" w:type="dxa"/>
            </w:tcMar>
          </w:tcPr>
          <w:p>
            <w:pPr>
              <w:spacing w:after="0" w:line="240" w:lineRule="auto"/>
            </w:pPr>
            <w:r>
              <w:rPr>
                <w:rFonts w:ascii="Aptos" w:hAnsi="Aptos"/>
                <w:color w:val="28303C"/>
                <w:sz w:val="17"/>
              </w:rPr>
              <w:t>principal@zenith.edu.in</w:t>
            </w:r>
          </w:p>
        </w:tc>
        <w:tc>
          <w:tcPr>
            <w:tcW w:type="dxa" w:w="1728"/>
            <w:vAlign w:val="center"/>
            <w:tcMar>
              <w:top w:w="95" w:type="dxa"/>
              <w:start w:w="110" w:type="dxa"/>
              <w:bottom w:w="95" w:type="dxa"/>
              <w:end w:w="110" w:type="dxa"/>
            </w:tcMar>
          </w:tcPr>
          <w:p>
            <w:pPr>
              <w:spacing w:after="0" w:line="240" w:lineRule="auto"/>
            </w:pPr>
            <w:r>
              <w:rPr>
                <w:rFonts w:ascii="Aptos" w:hAnsi="Aptos"/>
                <w:color w:val="28303C"/>
                <w:sz w:val="17"/>
              </w:rPr>
              <w:t>zenith123</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Crescent institution</w:t>
            </w:r>
          </w:p>
        </w:tc>
        <w:tc>
          <w:tcPr>
            <w:tcW w:type="dxa" w:w="5112"/>
            <w:vAlign w:val="center"/>
            <w:tcMar>
              <w:top w:w="95" w:type="dxa"/>
              <w:start w:w="110" w:type="dxa"/>
              <w:bottom w:w="95" w:type="dxa"/>
              <w:end w:w="110" w:type="dxa"/>
            </w:tcMar>
            <w:shd w:fill="F3F6FA"/>
          </w:tcPr>
          <w:p>
            <w:pPr>
              <w:spacing w:after="0" w:line="240" w:lineRule="auto"/>
            </w:pPr>
            <w:r>
              <w:rPr>
                <w:rFonts w:ascii="Aptos" w:hAnsi="Aptos"/>
                <w:color w:val="28303C"/>
                <w:sz w:val="17"/>
              </w:rPr>
              <w:t>principal@crescent.edu.in</w:t>
            </w:r>
          </w:p>
        </w:tc>
        <w:tc>
          <w:tcPr>
            <w:tcW w:type="dxa" w:w="1728"/>
            <w:vAlign w:val="center"/>
            <w:tcMar>
              <w:top w:w="95" w:type="dxa"/>
              <w:start w:w="110" w:type="dxa"/>
              <w:bottom w:w="95" w:type="dxa"/>
              <w:end w:w="110" w:type="dxa"/>
            </w:tcMar>
            <w:shd w:fill="F3F6FA"/>
          </w:tcPr>
          <w:p>
            <w:pPr>
              <w:spacing w:after="0" w:line="240" w:lineRule="auto"/>
            </w:pPr>
            <w:r>
              <w:rPr>
                <w:rFonts w:ascii="Aptos" w:hAnsi="Aptos"/>
                <w:color w:val="28303C"/>
                <w:sz w:val="17"/>
              </w:rPr>
              <w:t>crescent123</w:t>
            </w:r>
          </w:p>
        </w:tc>
      </w:tr>
    </w:tbl>
    <w:p>
      <w:pPr>
        <w:spacing w:after="20"/>
      </w:pPr>
    </w:p>
    <w:p>
      <w:pPr>
        <w:pStyle w:val="Heading1"/>
      </w:pPr>
      <w:r>
        <w:t>What each role can do</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997"/>
        <w:gridCol w:w="4997"/>
      </w:tblGrid>
      <w:tr>
        <w:trPr>
          <w:tblHeader w:val="true"/>
        </w:trPr>
        <w:tc>
          <w:tcPr>
            <w:tcW w:type="dxa" w:w="2160"/>
            <w:shd w:fill="203A5B"/>
            <w:vAlign w:val="center"/>
            <w:tcMar>
              <w:top w:w="95" w:type="dxa"/>
              <w:start w:w="110" w:type="dxa"/>
              <w:bottom w:w="95" w:type="dxa"/>
              <w:end w:w="110" w:type="dxa"/>
            </w:tcMar>
          </w:tcPr>
          <w:p>
            <w:pPr>
              <w:spacing w:after="0"/>
            </w:pPr>
            <w:r>
              <w:rPr>
                <w:rFonts w:ascii="Aptos" w:hAnsi="Aptos"/>
                <w:b/>
                <w:color w:val="FFFFFF"/>
                <w:sz w:val="17"/>
              </w:rPr>
              <w:t>Role</w:t>
            </w:r>
          </w:p>
        </w:tc>
        <w:tc>
          <w:tcPr>
            <w:tcW w:type="dxa" w:w="6912"/>
            <w:shd w:fill="203A5B"/>
            <w:vAlign w:val="center"/>
            <w:tcMar>
              <w:top w:w="95" w:type="dxa"/>
              <w:start w:w="110" w:type="dxa"/>
              <w:bottom w:w="95" w:type="dxa"/>
              <w:end w:w="110" w:type="dxa"/>
            </w:tcMar>
          </w:tcPr>
          <w:p>
            <w:pPr>
              <w:spacing w:after="0"/>
            </w:pPr>
            <w:r>
              <w:rPr>
                <w:rFonts w:ascii="Aptos" w:hAnsi="Aptos"/>
                <w:b/>
                <w:color w:val="FFFFFF"/>
                <w:sz w:val="17"/>
              </w:rPr>
              <w:t>Main workspace and permissions</w:t>
            </w:r>
          </w:p>
        </w:tc>
      </w:tr>
      <w:tr>
        <w:tc>
          <w:tcPr>
            <w:tcW w:type="dxa" w:w="2160"/>
            <w:vAlign w:val="center"/>
            <w:tcMar>
              <w:top w:w="95" w:type="dxa"/>
              <w:start w:w="110" w:type="dxa"/>
              <w:bottom w:w="95" w:type="dxa"/>
              <w:end w:w="110" w:type="dxa"/>
            </w:tcMar>
          </w:tcPr>
          <w:p>
            <w:pPr>
              <w:spacing w:after="0" w:line="240" w:lineRule="auto"/>
            </w:pPr>
            <w:r>
              <w:rPr>
                <w:rFonts w:ascii="Aptos" w:hAnsi="Aptos"/>
                <w:color w:val="28303C"/>
                <w:sz w:val="17"/>
              </w:rPr>
              <w:t>Institution user</w:t>
            </w:r>
          </w:p>
        </w:tc>
        <w:tc>
          <w:tcPr>
            <w:tcW w:type="dxa" w:w="6912"/>
            <w:vAlign w:val="center"/>
            <w:tcMar>
              <w:top w:w="95" w:type="dxa"/>
              <w:start w:w="110" w:type="dxa"/>
              <w:bottom w:w="95" w:type="dxa"/>
              <w:end w:w="110" w:type="dxa"/>
            </w:tcMar>
          </w:tcPr>
          <w:p>
            <w:pPr>
              <w:spacing w:after="0" w:line="240" w:lineRule="auto"/>
            </w:pPr>
            <w:r>
              <w:rPr>
                <w:rFonts w:ascii="Aptos" w:hAnsi="Aptos"/>
                <w:color w:val="28303C"/>
                <w:sz w:val="17"/>
              </w:rPr>
              <w:t>Create/edit own drafts, upload evidence, submit or resubmit, read encrypted clarification requests, acknowledge notices, and track own deadlines.</w:t>
            </w:r>
          </w:p>
        </w:tc>
      </w:tr>
      <w:tr>
        <w:tc>
          <w:tcPr>
            <w:tcW w:type="dxa" w:w="2160"/>
            <w:vAlign w:val="center"/>
            <w:tcMar>
              <w:top w:w="95" w:type="dxa"/>
              <w:start w:w="110" w:type="dxa"/>
              <w:bottom w:w="95" w:type="dxa"/>
              <w:end w:w="110" w:type="dxa"/>
            </w:tcMar>
            <w:shd w:fill="F3F6FA"/>
          </w:tcPr>
          <w:p>
            <w:pPr>
              <w:spacing w:after="0" w:line="240" w:lineRule="auto"/>
            </w:pPr>
            <w:r>
              <w:rPr>
                <w:rFonts w:ascii="Aptos" w:hAnsi="Aptos"/>
                <w:color w:val="28303C"/>
                <w:sz w:val="17"/>
              </w:rPr>
              <w:t>Scrutiny officer</w:t>
            </w:r>
          </w:p>
        </w:tc>
        <w:tc>
          <w:tcPr>
            <w:tcW w:type="dxa" w:w="6912"/>
            <w:vAlign w:val="center"/>
            <w:tcMar>
              <w:top w:w="95" w:type="dxa"/>
              <w:start w:w="110" w:type="dxa"/>
              <w:bottom w:w="95" w:type="dxa"/>
              <w:end w:w="110" w:type="dxa"/>
            </w:tcMar>
            <w:shd w:fill="F3F6FA"/>
          </w:tcPr>
          <w:p>
            <w:pPr>
              <w:spacing w:after="0" w:line="240" w:lineRule="auto"/>
            </w:pPr>
            <w:r>
              <w:rPr>
                <w:rFonts w:ascii="Aptos" w:hAnsi="Aptos"/>
                <w:color w:val="28303C"/>
                <w:sz w:val="17"/>
              </w:rPr>
              <w:t>Review submitted applications, inspect findings/evidence, request clarification, manage EVC/workflow deadlines, record permitted decisions, view reports and audit.</w:t>
            </w:r>
          </w:p>
        </w:tc>
      </w:tr>
      <w:tr>
        <w:tc>
          <w:tcPr>
            <w:tcW w:type="dxa" w:w="2160"/>
            <w:vAlign w:val="center"/>
            <w:tcMar>
              <w:top w:w="95" w:type="dxa"/>
              <w:start w:w="110" w:type="dxa"/>
              <w:bottom w:w="95" w:type="dxa"/>
              <w:end w:w="110" w:type="dxa"/>
            </w:tcMar>
          </w:tcPr>
          <w:p>
            <w:pPr>
              <w:spacing w:after="0" w:line="240" w:lineRule="auto"/>
            </w:pPr>
            <w:r>
              <w:rPr>
                <w:rFonts w:ascii="Aptos" w:hAnsi="Aptos"/>
                <w:color w:val="28303C"/>
                <w:sz w:val="17"/>
              </w:rPr>
              <w:t>Expert committee</w:t>
            </w:r>
          </w:p>
        </w:tc>
        <w:tc>
          <w:tcPr>
            <w:tcW w:type="dxa" w:w="6912"/>
            <w:vAlign w:val="center"/>
            <w:tcMar>
              <w:top w:w="95" w:type="dxa"/>
              <w:start w:w="110" w:type="dxa"/>
              <w:bottom w:w="95" w:type="dxa"/>
              <w:end w:w="110" w:type="dxa"/>
            </w:tcMar>
          </w:tcPr>
          <w:p>
            <w:pPr>
              <w:spacing w:after="0" w:line="240" w:lineRule="auto"/>
            </w:pPr>
            <w:r>
              <w:rPr>
                <w:rFonts w:ascii="Aptos" w:hAnsi="Aptos"/>
                <w:color w:val="28303C"/>
                <w:sz w:val="17"/>
              </w:rPr>
              <w:t>Review assigned-style evidence, record finding reviews, and contribute scrutiny; final approval/rejection is restricted to scrutiny/admin.</w:t>
            </w:r>
          </w:p>
        </w:tc>
      </w:tr>
      <w:tr>
        <w:tc>
          <w:tcPr>
            <w:tcW w:type="dxa" w:w="2160"/>
            <w:vAlign w:val="center"/>
            <w:tcMar>
              <w:top w:w="95" w:type="dxa"/>
              <w:start w:w="110" w:type="dxa"/>
              <w:bottom w:w="95" w:type="dxa"/>
              <w:end w:w="110" w:type="dxa"/>
            </w:tcMar>
            <w:shd w:fill="F3F6FA"/>
          </w:tcPr>
          <w:p>
            <w:pPr>
              <w:spacing w:after="0" w:line="240" w:lineRule="auto"/>
            </w:pPr>
            <w:r>
              <w:rPr>
                <w:rFonts w:ascii="Aptos" w:hAnsi="Aptos"/>
                <w:color w:val="28303C"/>
                <w:sz w:val="17"/>
              </w:rPr>
              <w:t>Administrator</w:t>
            </w:r>
          </w:p>
        </w:tc>
        <w:tc>
          <w:tcPr>
            <w:tcW w:type="dxa" w:w="6912"/>
            <w:vAlign w:val="center"/>
            <w:tcMar>
              <w:top w:w="95" w:type="dxa"/>
              <w:start w:w="110" w:type="dxa"/>
              <w:bottom w:w="95" w:type="dxa"/>
              <w:end w:w="110" w:type="dxa"/>
            </w:tcMar>
            <w:shd w:fill="F3F6FA"/>
          </w:tcPr>
          <w:p>
            <w:pPr>
              <w:spacing w:after="0" w:line="240" w:lineRule="auto"/>
            </w:pPr>
            <w:r>
              <w:rPr>
                <w:rFonts w:ascii="Aptos" w:hAnsi="Aptos"/>
                <w:color w:val="28303C"/>
                <w:sz w:val="17"/>
              </w:rPr>
              <w:t>Manage official accounts, rules, workflow transition policy, simulated source controls, retention and system configuration. Admin status alone does not grant statutory approval authority.</w:t>
            </w:r>
          </w:p>
        </w:tc>
      </w:tr>
    </w:tbl>
    <w:p>
      <w:pPr>
        <w:spacing w:after="20"/>
      </w:pPr>
    </w:p>
    <w:p>
      <w:r>
        <w:br w:type="page"/>
      </w:r>
    </w:p>
    <w:p>
      <w:pPr>
        <w:pStyle w:val="Heading1"/>
      </w:pPr>
      <w:r>
        <w:t>Institution user workflow</w:t>
      </w:r>
    </w:p>
    <w:p>
      <w:r>
        <w:t>Institutions see a deliberately limited portal. They can track their own application records, but cannot see officer-only risk scores, forensic indicators or review findings.</w:t>
      </w:r>
    </w:p>
    <w:p>
      <w:pPr>
        <w:pStyle w:val="Heading2"/>
      </w:pPr>
      <w:r>
        <w:t>Create an application</w:t>
      </w:r>
    </w:p>
    <w:p>
      <w:pPr>
        <w:pStyle w:val="ListNumber"/>
        <w:spacing w:after="60"/>
      </w:pPr>
      <w:r>
        <w:t>Sign in with an institution account. The home page is My Applications.</w:t>
      </w:r>
    </w:p>
    <w:p>
      <w:pPr>
        <w:pStyle w:val="ListNumber"/>
        <w:spacing w:after="60"/>
      </w:pPr>
      <w:r>
        <w:t>Select New application. Choose the category, academic year, and optionally enter the permanent institute ID and requested intake.</w:t>
      </w:r>
    </w:p>
    <w:p>
      <w:pPr>
        <w:pStyle w:val="ListNumber"/>
        <w:spacing w:after="60"/>
      </w:pPr>
      <w:r>
        <w:t>Select Create draft. Open the application from the list to see the document checklist and upload slots.</w:t>
      </w:r>
    </w:p>
    <w:p>
      <w:pPr>
        <w:pStyle w:val="Heading2"/>
      </w:pPr>
      <w:r>
        <w:t>Upload and submit evidence</w:t>
      </w:r>
    </w:p>
    <w:p>
      <w:pPr>
        <w:pStyle w:val="ListNumber"/>
        <w:spacing w:after="60"/>
      </w:pPr>
      <w:r>
        <w:t>Choose the matching document slot and upload the original file. Use a clear, current copy; allowed file type and size are checked by the server.</w:t>
      </w:r>
    </w:p>
    <w:p>
      <w:pPr>
        <w:pStyle w:val="ListNumber"/>
        <w:spacing w:after="60"/>
      </w:pPr>
      <w:r>
        <w:t>Wait for the receipt state to finish before submitting. The institution upload response says the document was received; it does not confirm authenticity or compliance.</w:t>
      </w:r>
    </w:p>
    <w:p>
      <w:pPr>
        <w:pStyle w:val="ListNumber"/>
        <w:spacing w:after="60"/>
      </w:pPr>
      <w:r>
        <w:t>When required files are ready, select Submit. Validex screens the application and adds it to the officials' work queue. Screening does not approve or reject it.</w:t>
      </w:r>
    </w:p>
    <w:p>
      <w:r>
        <w:t>Current demo limits use a 25 MB default upload cap. The document pipeline may OCR text, compare dates and identifiers, check duplicate evidence, and run signed-QR/source checks where applicable. Original evidence is retained separately from extracted values.</w:t>
      </w:r>
    </w:p>
    <w:p>
      <w:pPr>
        <w:pStyle w:val="Heading2"/>
      </w:pPr>
      <w:r>
        <w:t>Respond to a clarification request</w:t>
      </w:r>
    </w:p>
    <w:p>
      <w:pPr>
        <w:pStyle w:val="ListNumber"/>
        <w:spacing w:after="60"/>
      </w:pPr>
      <w:r>
        <w:t>Open Clarification Requests from the left menu or bell icon. Open the request in the same browser profile that first created the secure inbox key.</w:t>
      </w:r>
    </w:p>
    <w:p>
      <w:pPr>
        <w:pStyle w:val="ListNumber"/>
        <w:spacing w:after="60"/>
      </w:pPr>
      <w:r>
        <w:t>Read the requested items and the What to do instructions. The request is encrypted to your browser key and lists only institution-actionable items.</w:t>
      </w:r>
    </w:p>
    <w:p>
      <w:pPr>
        <w:pStyle w:val="ListNumber"/>
        <w:spacing w:after="60"/>
      </w:pPr>
      <w:r>
        <w:t>Acknowledge the request, open the linked application, upload the requested replacement/current documents, then resubmit the application.</w:t>
      </w:r>
    </w:p>
    <w:tbl>
      <w:tblPr>
        <w:tblW w:type="auto" w:w="0"/>
        <w:jc w:val="center"/>
        <w:tblLook w:firstColumn="1" w:firstRow="1" w:lastColumn="0" w:lastRow="0" w:noHBand="0" w:noVBand="1" w:val="04A0"/>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994"/>
      </w:tblGrid>
      <w:tr>
        <w:tc>
          <w:tcPr>
            <w:tcW w:type="dxa" w:w="9994"/>
            <w:shd w:fill="FFF3D8"/>
            <w:tcMar>
              <w:top w:w="130" w:type="dxa"/>
              <w:start w:w="160" w:type="dxa"/>
              <w:bottom w:w="130" w:type="dxa"/>
              <w:end w:w="160" w:type="dxa"/>
            </w:tcMar>
          </w:tcPr>
          <w:p>
            <w:pPr>
              <w:spacing w:after="0"/>
            </w:pPr>
            <w:r>
              <w:rPr>
                <w:b/>
                <w:color w:val="203A5B"/>
              </w:rPr>
              <w:t xml:space="preserve">Browser key  </w:t>
            </w:r>
            <w:r>
              <w:t>The private key stays in browser storage. If the request was encrypted on another browser/device, it may not decrypt here; ask the officer to re-issue it. Do not clear site storage before saving anything you need.</w:t>
            </w:r>
          </w:p>
        </w:tc>
      </w:tr>
    </w:tbl>
    <w:p>
      <w:pPr>
        <w:spacing w:after="20"/>
      </w:pPr>
    </w:p>
    <w:p>
      <w:pPr>
        <w:pStyle w:val="Heading2"/>
      </w:pPr>
      <w:r>
        <w:t>Institution deadlines</w:t>
      </w:r>
    </w:p>
    <w:p>
      <w:r>
        <w:t>Open Deadlines &amp; Expiry to view and register undertaking, lease-expiry and document-expiry dates for your own application. Institution users cannot schedule EVC visits or assign official tasks. Mark a record complete only after the action is actually done; completion is audited.</w:t>
      </w:r>
    </w:p>
    <w:p>
      <w:r>
        <w:br w:type="page"/>
      </w:r>
    </w:p>
    <w:p>
      <w:pPr>
        <w:pStyle w:val="Heading1"/>
      </w:pPr>
      <w:r>
        <w:t>Officer application review</w:t>
      </w:r>
    </w:p>
    <w:p>
      <w:r>
        <w:t>Use the officer console to review the evidence and make a reasoned decision. The triage queue puts applications with unreviewed red findings first, then sorts by risk score.</w:t>
      </w:r>
    </w:p>
    <w:p>
      <w:pPr>
        <w:pStyle w:val="Heading2"/>
      </w:pPr>
      <w:r>
        <w:t>Find and open a case</w:t>
      </w:r>
    </w:p>
    <w:p>
      <w:pPr>
        <w:pStyle w:val="ListNumber"/>
        <w:spacing w:after="60"/>
      </w:pPr>
      <w:r>
        <w:t>Open Triage Queue. Search by institution/application number or filter by status.</w:t>
      </w:r>
    </w:p>
    <w:p>
      <w:pPr>
        <w:pStyle w:val="ListNumber"/>
        <w:spacing w:after="60"/>
      </w:pPr>
      <w:r>
        <w:t>Review the red and amber counts and advisory recommendation. These values help prioritize review; they are not a legal determination.</w:t>
      </w:r>
    </w:p>
    <w:p>
      <w:pPr>
        <w:pStyle w:val="ListNumber"/>
        <w:spacing w:after="60"/>
      </w:pPr>
      <w:r>
        <w:t>Open Review. Read each finding, its evidence reference, rule/check explanation and suggested next step. Use the tabs to inspect related records.</w:t>
      </w:r>
    </w:p>
    <w:p>
      <w:pPr>
        <w:pStyle w:val="Heading2"/>
      </w:pPr>
      <w:r>
        <w:t>Application detail tabs</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997"/>
        <w:gridCol w:w="4997"/>
      </w:tblGrid>
      <w:tr>
        <w:trPr>
          <w:tblHeader w:val="true"/>
        </w:trPr>
        <w:tc>
          <w:tcPr>
            <w:tcW w:type="dxa" w:w="1800"/>
            <w:shd w:fill="203A5B"/>
            <w:vAlign w:val="center"/>
            <w:tcMar>
              <w:top w:w="95" w:type="dxa"/>
              <w:start w:w="110" w:type="dxa"/>
              <w:bottom w:w="95" w:type="dxa"/>
              <w:end w:w="110" w:type="dxa"/>
            </w:tcMar>
          </w:tcPr>
          <w:p>
            <w:pPr>
              <w:spacing w:after="0"/>
            </w:pPr>
            <w:r>
              <w:rPr>
                <w:rFonts w:ascii="Aptos" w:hAnsi="Aptos"/>
                <w:b/>
                <w:color w:val="FFFFFF"/>
                <w:sz w:val="17"/>
              </w:rPr>
              <w:t>Tab</w:t>
            </w:r>
          </w:p>
        </w:tc>
        <w:tc>
          <w:tcPr>
            <w:tcW w:type="dxa" w:w="7272"/>
            <w:shd w:fill="203A5B"/>
            <w:vAlign w:val="center"/>
            <w:tcMar>
              <w:top w:w="95" w:type="dxa"/>
              <w:start w:w="110" w:type="dxa"/>
              <w:bottom w:w="95" w:type="dxa"/>
              <w:end w:w="110" w:type="dxa"/>
            </w:tcMar>
          </w:tcPr>
          <w:p>
            <w:pPr>
              <w:spacing w:after="0"/>
            </w:pPr>
            <w:r>
              <w:rPr>
                <w:rFonts w:ascii="Aptos" w:hAnsi="Aptos"/>
                <w:b/>
                <w:color w:val="FFFFFF"/>
                <w:sz w:val="17"/>
              </w:rPr>
              <w:t>Use it to</w:t>
            </w:r>
          </w:p>
        </w:tc>
      </w:tr>
      <w:tr>
        <w:tc>
          <w:tcPr>
            <w:tcW w:type="dxa" w:w="1800"/>
            <w:vAlign w:val="center"/>
            <w:tcMar>
              <w:top w:w="95" w:type="dxa"/>
              <w:start w:w="110" w:type="dxa"/>
              <w:bottom w:w="95" w:type="dxa"/>
              <w:end w:w="110" w:type="dxa"/>
            </w:tcMar>
          </w:tcPr>
          <w:p>
            <w:pPr>
              <w:spacing w:after="0" w:line="240" w:lineRule="auto"/>
            </w:pPr>
            <w:r>
              <w:rPr>
                <w:rFonts w:ascii="Aptos" w:hAnsi="Aptos"/>
                <w:color w:val="28303C"/>
                <w:sz w:val="17"/>
              </w:rPr>
              <w:t>Review</w:t>
            </w:r>
          </w:p>
        </w:tc>
        <w:tc>
          <w:tcPr>
            <w:tcW w:type="dxa" w:w="7272"/>
            <w:vAlign w:val="center"/>
            <w:tcMar>
              <w:top w:w="95" w:type="dxa"/>
              <w:start w:w="110" w:type="dxa"/>
              <w:bottom w:w="95" w:type="dxa"/>
              <w:end w:w="110" w:type="dxa"/>
            </w:tcMar>
          </w:tcPr>
          <w:p>
            <w:pPr>
              <w:spacing w:after="0" w:line="240" w:lineRule="auto"/>
            </w:pPr>
            <w:r>
              <w:rPr>
                <w:rFonts w:ascii="Aptos" w:hAnsi="Aptos"/>
                <w:color w:val="28303C"/>
                <w:sz w:val="17"/>
              </w:rPr>
              <w:t>Inspect findings and compliance outcomes. Expand a finding and record Confirm anomaly or Override with a written reason.</w:t>
            </w:r>
          </w:p>
        </w:tc>
      </w:tr>
      <w:tr>
        <w:tc>
          <w:tcPr>
            <w:tcW w:type="dxa" w:w="1800"/>
            <w:vAlign w:val="center"/>
            <w:tcMar>
              <w:top w:w="95" w:type="dxa"/>
              <w:start w:w="110" w:type="dxa"/>
              <w:bottom w:w="95" w:type="dxa"/>
              <w:end w:w="110" w:type="dxa"/>
            </w:tcMar>
            <w:shd w:fill="F3F6FA"/>
          </w:tcPr>
          <w:p>
            <w:pPr>
              <w:spacing w:after="0" w:line="240" w:lineRule="auto"/>
            </w:pPr>
            <w:r>
              <w:rPr>
                <w:rFonts w:ascii="Aptos" w:hAnsi="Aptos"/>
                <w:color w:val="28303C"/>
                <w:sz w:val="17"/>
              </w:rPr>
              <w:t>Rules</w:t>
            </w:r>
          </w:p>
        </w:tc>
        <w:tc>
          <w:tcPr>
            <w:tcW w:type="dxa" w:w="7272"/>
            <w:vAlign w:val="center"/>
            <w:tcMar>
              <w:top w:w="95" w:type="dxa"/>
              <w:start w:w="110" w:type="dxa"/>
              <w:bottom w:w="95" w:type="dxa"/>
              <w:end w:w="110" w:type="dxa"/>
            </w:tcMar>
            <w:shd w:fill="F3F6FA"/>
          </w:tcPr>
          <w:p>
            <w:pPr>
              <w:spacing w:after="0" w:line="240" w:lineRule="auto"/>
            </w:pPr>
            <w:r>
              <w:rPr>
                <w:rFonts w:ascii="Aptos" w:hAnsi="Aptos"/>
                <w:color w:val="28303C"/>
                <w:sz w:val="17"/>
              </w:rPr>
              <w:t>Compare applied rule outcomes, calculation traces and handbook references.</w:t>
            </w:r>
          </w:p>
        </w:tc>
      </w:tr>
      <w:tr>
        <w:tc>
          <w:tcPr>
            <w:tcW w:type="dxa" w:w="1800"/>
            <w:vAlign w:val="center"/>
            <w:tcMar>
              <w:top w:w="95" w:type="dxa"/>
              <w:start w:w="110" w:type="dxa"/>
              <w:bottom w:w="95" w:type="dxa"/>
              <w:end w:w="110" w:type="dxa"/>
            </w:tcMar>
          </w:tcPr>
          <w:p>
            <w:pPr>
              <w:spacing w:after="0" w:line="240" w:lineRule="auto"/>
            </w:pPr>
            <w:r>
              <w:rPr>
                <w:rFonts w:ascii="Aptos" w:hAnsi="Aptos"/>
                <w:color w:val="28303C"/>
                <w:sz w:val="17"/>
              </w:rPr>
              <w:t>Evidence</w:t>
            </w:r>
          </w:p>
        </w:tc>
        <w:tc>
          <w:tcPr>
            <w:tcW w:type="dxa" w:w="7272"/>
            <w:vAlign w:val="center"/>
            <w:tcMar>
              <w:top w:w="95" w:type="dxa"/>
              <w:start w:w="110" w:type="dxa"/>
              <w:bottom w:w="95" w:type="dxa"/>
              <w:end w:w="110" w:type="dxa"/>
            </w:tcMar>
          </w:tcPr>
          <w:p>
            <w:pPr>
              <w:spacing w:after="0" w:line="240" w:lineRule="auto"/>
            </w:pPr>
            <w:r>
              <w:rPr>
                <w:rFonts w:ascii="Aptos" w:hAnsi="Aptos"/>
                <w:color w:val="28303C"/>
                <w:sz w:val="17"/>
              </w:rPr>
              <w:t>Open uploaded documents, inspect pages/evidence images, run supported source verification, and review custody details.</w:t>
            </w:r>
          </w:p>
        </w:tc>
      </w:tr>
      <w:tr>
        <w:tc>
          <w:tcPr>
            <w:tcW w:type="dxa" w:w="1800"/>
            <w:vAlign w:val="center"/>
            <w:tcMar>
              <w:top w:w="95" w:type="dxa"/>
              <w:start w:w="110" w:type="dxa"/>
              <w:bottom w:w="95" w:type="dxa"/>
              <w:end w:w="110" w:type="dxa"/>
            </w:tcMar>
            <w:shd w:fill="F3F6FA"/>
          </w:tcPr>
          <w:p>
            <w:pPr>
              <w:spacing w:after="0" w:line="240" w:lineRule="auto"/>
            </w:pPr>
            <w:r>
              <w:rPr>
                <w:rFonts w:ascii="Aptos" w:hAnsi="Aptos"/>
                <w:color w:val="28303C"/>
                <w:sz w:val="17"/>
              </w:rPr>
              <w:t>Graph</w:t>
            </w:r>
          </w:p>
        </w:tc>
        <w:tc>
          <w:tcPr>
            <w:tcW w:type="dxa" w:w="7272"/>
            <w:vAlign w:val="center"/>
            <w:tcMar>
              <w:top w:w="95" w:type="dxa"/>
              <w:start w:w="110" w:type="dxa"/>
              <w:bottom w:w="95" w:type="dxa"/>
              <w:end w:w="110" w:type="dxa"/>
            </w:tcMar>
            <w:shd w:fill="F3F6FA"/>
          </w:tcPr>
          <w:p>
            <w:pPr>
              <w:spacing w:after="0" w:line="240" w:lineRule="auto"/>
            </w:pPr>
            <w:r>
              <w:rPr>
                <w:rFonts w:ascii="Aptos" w:hAnsi="Aptos"/>
                <w:color w:val="28303C"/>
                <w:sz w:val="17"/>
              </w:rPr>
              <w:t>Inspect shared faculty/equipment links between institutions. Identifiers are masked where applicable.</w:t>
            </w:r>
          </w:p>
        </w:tc>
      </w:tr>
      <w:tr>
        <w:tc>
          <w:tcPr>
            <w:tcW w:type="dxa" w:w="1800"/>
            <w:vAlign w:val="center"/>
            <w:tcMar>
              <w:top w:w="95" w:type="dxa"/>
              <w:start w:w="110" w:type="dxa"/>
              <w:bottom w:w="95" w:type="dxa"/>
              <w:end w:w="110" w:type="dxa"/>
            </w:tcMar>
          </w:tcPr>
          <w:p>
            <w:pPr>
              <w:spacing w:after="0" w:line="240" w:lineRule="auto"/>
            </w:pPr>
            <w:r>
              <w:rPr>
                <w:rFonts w:ascii="Aptos" w:hAnsi="Aptos"/>
                <w:color w:val="28303C"/>
                <w:sz w:val="17"/>
              </w:rPr>
              <w:t>Spatial</w:t>
            </w:r>
          </w:p>
        </w:tc>
        <w:tc>
          <w:tcPr>
            <w:tcW w:type="dxa" w:w="7272"/>
            <w:vAlign w:val="center"/>
            <w:tcMar>
              <w:top w:w="95" w:type="dxa"/>
              <w:start w:w="110" w:type="dxa"/>
              <w:bottom w:w="95" w:type="dxa"/>
              <w:end w:w="110" w:type="dxa"/>
            </w:tcMar>
          </w:tcPr>
          <w:p>
            <w:pPr>
              <w:spacing w:after="0" w:line="240" w:lineRule="auto"/>
            </w:pPr>
            <w:r>
              <w:rPr>
                <w:rFonts w:ascii="Aptos" w:hAnsi="Aptos"/>
                <w:color w:val="28303C"/>
                <w:sz w:val="17"/>
              </w:rPr>
              <w:t>Review campus-boundary and building/area analysis where spatial evidence exists.</w:t>
            </w:r>
          </w:p>
        </w:tc>
      </w:tr>
      <w:tr>
        <w:tc>
          <w:tcPr>
            <w:tcW w:type="dxa" w:w="1800"/>
            <w:vAlign w:val="center"/>
            <w:tcMar>
              <w:top w:w="95" w:type="dxa"/>
              <w:start w:w="110" w:type="dxa"/>
              <w:bottom w:w="95" w:type="dxa"/>
              <w:end w:w="110" w:type="dxa"/>
            </w:tcMar>
            <w:shd w:fill="F3F6FA"/>
          </w:tcPr>
          <w:p>
            <w:pPr>
              <w:spacing w:after="0" w:line="240" w:lineRule="auto"/>
            </w:pPr>
            <w:r>
              <w:rPr>
                <w:rFonts w:ascii="Aptos" w:hAnsi="Aptos"/>
                <w:color w:val="28303C"/>
                <w:sz w:val="17"/>
              </w:rPr>
              <w:t>Clarifications</w:t>
            </w:r>
          </w:p>
        </w:tc>
        <w:tc>
          <w:tcPr>
            <w:tcW w:type="dxa" w:w="7272"/>
            <w:vAlign w:val="center"/>
            <w:tcMar>
              <w:top w:w="95" w:type="dxa"/>
              <w:start w:w="110" w:type="dxa"/>
              <w:bottom w:w="95" w:type="dxa"/>
              <w:end w:w="110" w:type="dxa"/>
            </w:tcMar>
            <w:shd w:fill="F3F6FA"/>
          </w:tcPr>
          <w:p>
            <w:pPr>
              <w:spacing w:after="0" w:line="240" w:lineRule="auto"/>
            </w:pPr>
            <w:r>
              <w:rPr>
                <w:rFonts w:ascii="Aptos" w:hAnsi="Aptos"/>
                <w:color w:val="28303C"/>
                <w:sz w:val="17"/>
              </w:rPr>
              <w:t>Review requests already issued for this application.</w:t>
            </w:r>
          </w:p>
        </w:tc>
      </w:tr>
      <w:tr>
        <w:tc>
          <w:tcPr>
            <w:tcW w:type="dxa" w:w="1800"/>
            <w:vAlign w:val="center"/>
            <w:tcMar>
              <w:top w:w="95" w:type="dxa"/>
              <w:start w:w="110" w:type="dxa"/>
              <w:bottom w:w="95" w:type="dxa"/>
              <w:end w:w="110" w:type="dxa"/>
            </w:tcMar>
          </w:tcPr>
          <w:p>
            <w:pPr>
              <w:spacing w:after="0" w:line="240" w:lineRule="auto"/>
            </w:pPr>
            <w:r>
              <w:rPr>
                <w:rFonts w:ascii="Aptos" w:hAnsi="Aptos"/>
                <w:color w:val="28303C"/>
                <w:sz w:val="17"/>
              </w:rPr>
              <w:t>Audit</w:t>
            </w:r>
          </w:p>
        </w:tc>
        <w:tc>
          <w:tcPr>
            <w:tcW w:type="dxa" w:w="7272"/>
            <w:vAlign w:val="center"/>
            <w:tcMar>
              <w:top w:w="95" w:type="dxa"/>
              <w:start w:w="110" w:type="dxa"/>
              <w:bottom w:w="95" w:type="dxa"/>
              <w:end w:w="110" w:type="dxa"/>
            </w:tcMar>
          </w:tcPr>
          <w:p>
            <w:pPr>
              <w:spacing w:after="0" w:line="240" w:lineRule="auto"/>
            </w:pPr>
            <w:r>
              <w:rPr>
                <w:rFonts w:ascii="Aptos" w:hAnsi="Aptos"/>
                <w:color w:val="28303C"/>
                <w:sz w:val="17"/>
              </w:rPr>
              <w:t>Read the case's recorded actions and status history.</w:t>
            </w:r>
          </w:p>
        </w:tc>
      </w:tr>
    </w:tbl>
    <w:p>
      <w:pPr>
        <w:spacing w:after="20"/>
      </w:pPr>
    </w:p>
    <w:p>
      <w:pPr>
        <w:pStyle w:val="Heading2"/>
      </w:pPr>
      <w:r>
        <w:t>Resolve findings and request clarification</w:t>
      </w:r>
    </w:p>
    <w:p>
      <w:pPr>
        <w:pStyle w:val="ListBullet"/>
        <w:spacing w:after="40"/>
      </w:pPr>
      <w:r>
        <w:t>Red findings require an authorized officer's confirmation or override. The system asks for a reason; record what evidence supports the action.</w:t>
      </w:r>
    </w:p>
    <w:p>
      <w:pPr>
        <w:pStyle w:val="ListBullet"/>
        <w:spacing w:after="40"/>
      </w:pPr>
      <w:r>
        <w:t>Amber findings are institution-actionable items such as missing, expired or unreadable evidence. Select Request clarification, choose eligible items, add a note and due period, then send the encrypted request.</w:t>
      </w:r>
    </w:p>
    <w:p>
      <w:pPr>
        <w:pStyle w:val="ListBullet"/>
        <w:spacing w:after="40"/>
      </w:pPr>
      <w:r>
        <w:t>Red forensic details are not sent to institutions. Do not use clarification requests to disclose detector methods or officer-only analysis.</w:t>
      </w:r>
    </w:p>
    <w:p>
      <w:pPr>
        <w:pStyle w:val="ListBullet"/>
        <w:spacing w:after="40"/>
      </w:pPr>
      <w:r>
        <w:t>Use Re-run screening after corrected evidence arrives. Check whether the finding changed, then continue the review.</w:t>
      </w:r>
    </w:p>
    <w:p>
      <w:pPr>
        <w:pStyle w:val="Heading2"/>
      </w:pPr>
      <w:r>
        <w:t>Record a decision</w:t>
      </w:r>
    </w:p>
    <w:p>
      <w:r>
        <w:t>Select Record decision and choose the permitted status. Provide a written reason for adverse decisions and for decisions that differ from the AI advisory. Approval is blocked while processing is incomplete or unresolved red findings remain. Only scrutiny officers/admins can record final approval or rejection; experts cannot.</w:t>
      </w:r>
    </w:p>
    <w:tbl>
      <w:tblPr>
        <w:tblW w:type="auto" w:w="0"/>
        <w:jc w:val="center"/>
        <w:tblLook w:firstColumn="1" w:firstRow="1" w:lastColumn="0" w:lastRow="0" w:noHBand="0" w:noVBand="1" w:val="04A0"/>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994"/>
      </w:tblGrid>
      <w:tr>
        <w:tc>
          <w:tcPr>
            <w:tcW w:type="dxa" w:w="9994"/>
            <w:shd w:fill="EAF4EA"/>
            <w:tcMar>
              <w:top w:w="130" w:type="dxa"/>
              <w:start w:w="160" w:type="dxa"/>
              <w:bottom w:w="130" w:type="dxa"/>
              <w:end w:w="160" w:type="dxa"/>
            </w:tcMar>
          </w:tcPr>
          <w:p>
            <w:pPr>
              <w:spacing w:after="0"/>
            </w:pPr>
            <w:r>
              <w:rPr>
                <w:b/>
                <w:color w:val="203A5B"/>
              </w:rPr>
              <w:t xml:space="preserve">Decision boundary  </w:t>
            </w:r>
            <w:r>
              <w:t>Automated checks never independently approve or reject an application. Make the final determination using the applicable official process and verified evidence.</w:t>
            </w:r>
          </w:p>
        </w:tc>
      </w:tr>
    </w:tbl>
    <w:p>
      <w:pPr>
        <w:spacing w:after="20"/>
      </w:pPr>
    </w:p>
    <w:p>
      <w:r>
        <w:br w:type="page"/>
      </w:r>
    </w:p>
    <w:p>
      <w:pPr>
        <w:pStyle w:val="Heading1"/>
      </w:pPr>
      <w:r>
        <w:t>Compliance rules and workflow setup</w:t>
      </w:r>
    </w:p>
    <w:p>
      <w:pPr>
        <w:pStyle w:val="Heading2"/>
      </w:pPr>
      <w:r>
        <w:t>Review compliance rules</w:t>
      </w:r>
    </w:p>
    <w:p>
      <w:r>
        <w:t>Open Compliance Checklist &amp; Rules (called Rules Engine for admins). Officers can read active rules and inspect checklist outcomes for a case. Rules are configurable, versioned and recorded in audit history. The current handbook clause references and thresholds include illustrative/unconfirmed entries; do not treat them as authoritative without formal review.</w:t>
      </w:r>
    </w:p>
    <w:p>
      <w:pPr>
        <w:pStyle w:val="Heading2"/>
      </w:pPr>
      <w:r>
        <w:t>Change a rule as administrator</w:t>
      </w:r>
    </w:p>
    <w:p>
      <w:pPr>
        <w:pStyle w:val="ListNumber"/>
        <w:spacing w:after="60"/>
      </w:pPr>
      <w:r>
        <w:t>Open Rules Engine and select Edit beside the rule, or select New rule.</w:t>
      </w:r>
    </w:p>
    <w:p>
      <w:pPr>
        <w:pStyle w:val="ListNumber"/>
        <w:spacing w:after="60"/>
      </w:pPr>
      <w:r>
        <w:t>Enter the rule conditions, applicability and other required fields. The server rejects unknown document types, unsupported operators and unsafe expressions.</w:t>
      </w:r>
    </w:p>
    <w:p>
      <w:pPr>
        <w:pStyle w:val="ListNumber"/>
        <w:spacing w:after="60"/>
      </w:pPr>
      <w:r>
        <w:t>Enter a change reason and save. Existing findings retain the version used when they were created; rule history records prior values and the reason.</w:t>
      </w:r>
    </w:p>
    <w:p>
      <w:r>
        <w:t>Use a change reason that identifies the approved source/version. Re-run the affected application after changing a rule so the new version is evaluated explicitly.</w:t>
      </w:r>
    </w:p>
    <w:p>
      <w:pPr>
        <w:pStyle w:val="Heading2"/>
      </w:pPr>
      <w:r>
        <w:t>Configure approval transitions</w:t>
      </w:r>
    </w:p>
    <w:p>
      <w:pPr>
        <w:pStyle w:val="ListNumber"/>
        <w:spacing w:after="60"/>
      </w:pPr>
      <w:r>
        <w:t>Open Workflow Config as an administrator. The table shows allowed from/to status edges and the roles allowed to perform them.</w:t>
      </w:r>
    </w:p>
    <w:p>
      <w:pPr>
        <w:pStyle w:val="ListNumber"/>
        <w:spacing w:after="60"/>
      </w:pPr>
      <w:r>
        <w:t>To add or update an edge, choose the source status, destination status, allowed roles, and an explanatory change reason, then save.</w:t>
      </w:r>
    </w:p>
    <w:p>
      <w:pPr>
        <w:pStyle w:val="ListNumber"/>
        <w:spacing w:after="60"/>
      </w:pPr>
      <w:r>
        <w:t>Use Disable/Enable for an existing edge; the current reason field is required. Changes are audited and the server enforces the configured edge at transition time.</w:t>
      </w:r>
    </w:p>
    <w:tbl>
      <w:tblPr>
        <w:tblW w:type="auto" w:w="0"/>
        <w:jc w:val="center"/>
        <w:tblLook w:firstColumn="1" w:firstRow="1" w:lastColumn="0" w:lastRow="0" w:noHBand="0" w:noVBand="1" w:val="04A0"/>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994"/>
      </w:tblGrid>
      <w:tr>
        <w:tc>
          <w:tcPr>
            <w:tcW w:type="dxa" w:w="9994"/>
            <w:shd w:fill="FFF3D8"/>
            <w:tcMar>
              <w:top w:w="130" w:type="dxa"/>
              <w:start w:w="160" w:type="dxa"/>
              <w:bottom w:w="130" w:type="dxa"/>
              <w:end w:w="160" w:type="dxa"/>
            </w:tcMar>
          </w:tcPr>
          <w:p>
            <w:pPr>
              <w:spacing w:after="0"/>
            </w:pPr>
            <w:r>
              <w:rPr>
                <w:b/>
                <w:color w:val="203A5B"/>
              </w:rPr>
              <w:t xml:space="preserve">Existing status set  </w:t>
            </w:r>
            <w:r>
              <w:t>The prototype configures transitions among its current application statuses. It does not let admins invent arbitrary new stage names. Keep institution submission, system screening and statutory decision permissions intact when changing the graph.</w:t>
            </w:r>
          </w:p>
        </w:tc>
      </w:tr>
    </w:tbl>
    <w:p>
      <w:pPr>
        <w:spacing w:after="20"/>
      </w:pPr>
    </w:p>
    <w:p>
      <w:r>
        <w:br w:type="page"/>
      </w:r>
    </w:p>
    <w:p>
      <w:pPr>
        <w:pStyle w:val="Heading1"/>
      </w:pPr>
      <w:r>
        <w:t>Deadlines, EVC and notifications</w:t>
      </w:r>
    </w:p>
    <w:p>
      <w:pPr>
        <w:pStyle w:val="Heading2"/>
      </w:pPr>
      <w:r>
        <w:t>Create and track a deadline</w:t>
      </w:r>
    </w:p>
    <w:p>
      <w:pPr>
        <w:pStyle w:val="ListNumber"/>
        <w:spacing w:after="60"/>
      </w:pPr>
      <w:r>
        <w:t>Open Deadlines &amp; EVC. Choose an application and record type: Workflow deadline, EVC visit, Undertaking, Lease expiry, or Document expiry (available types depend on your role).</w:t>
      </w:r>
    </w:p>
    <w:p>
      <w:pPr>
        <w:pStyle w:val="ListNumber"/>
        <w:spacing w:after="60"/>
      </w:pPr>
      <w:r>
        <w:t>Enter a title, due date/time and optional details. Reminder lead time and escalation interval default to 24 hours each in the current screen/API configuration.</w:t>
      </w:r>
    </w:p>
    <w:p>
      <w:pPr>
        <w:pStyle w:val="ListNumber"/>
        <w:spacing w:after="60"/>
      </w:pPr>
      <w:r>
        <w:t>Save. The record is persistent and visible to the application institution and authorized officers. Complete it when finished; status changes are audited.</w:t>
      </w:r>
    </w:p>
    <w:p>
      <w:pPr>
        <w:pStyle w:val="Heading2"/>
      </w:pPr>
      <w:r>
        <w:t>Run reminders and escalation</w:t>
      </w:r>
    </w:p>
    <w:p>
      <w:r>
        <w:t>Officers can select Run due sweep to process deadlines immediately for a demo/operations check. The processor writes in-app notifications for upcoming deadlines and escalation alerts for overdue items. Reminder state and escalation level are stored to prevent repeats. When Celery beat and Redis are enabled, the background sweep runs every five minutes. In direct local mode there is no always-running scheduler, so use the button or API endpoint.</w:t>
      </w:r>
    </w:p>
    <w:p>
      <w:r>
        <w:t>Notifications appear in the app. The header refreshes recipient-specific notification counts about every 30 seconds; this is polling, not WebSocket/push delivery. A notification count or SMTP handoff is not proof that a person read the notice.</w:t>
      </w:r>
    </w:p>
    <w:p>
      <w:pPr>
        <w:pStyle w:val="Heading2"/>
      </w:pPr>
      <w:r>
        <w:t>Email configuration</w:t>
      </w:r>
    </w:p>
    <w:p>
      <w:r>
        <w:t>Email is optional. Configure SMTP_HOST, SMTP_PORT, SMTP_USER, SMTP_PASSWORD and SMTP_FROM in the backend environment. Without SMTP_HOST, clarification requests remain in-app. A successful SMTP operation means the server accepted the message for handoff; Validex cannot confirm mailbox delivery unless the mail provider supplies a delivery receipt.</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997"/>
        <w:gridCol w:w="4997"/>
      </w:tblGrid>
      <w:tr>
        <w:trPr>
          <w:tblHeader w:val="true"/>
        </w:trPr>
        <w:tc>
          <w:tcPr>
            <w:tcW w:type="dxa" w:w="3168"/>
            <w:shd w:fill="203A5B"/>
            <w:vAlign w:val="center"/>
            <w:tcMar>
              <w:top w:w="95" w:type="dxa"/>
              <w:start w:w="110" w:type="dxa"/>
              <w:bottom w:w="95" w:type="dxa"/>
              <w:end w:w="110" w:type="dxa"/>
            </w:tcMar>
          </w:tcPr>
          <w:p>
            <w:pPr>
              <w:spacing w:after="0"/>
            </w:pPr>
            <w:r>
              <w:rPr>
                <w:rFonts w:ascii="Aptos" w:hAnsi="Aptos"/>
                <w:b/>
                <w:color w:val="FFFFFF"/>
                <w:sz w:val="17"/>
              </w:rPr>
              <w:t>Setting</w:t>
            </w:r>
          </w:p>
        </w:tc>
        <w:tc>
          <w:tcPr>
            <w:tcW w:type="dxa" w:w="5904"/>
            <w:shd w:fill="203A5B"/>
            <w:vAlign w:val="center"/>
            <w:tcMar>
              <w:top w:w="95" w:type="dxa"/>
              <w:start w:w="110" w:type="dxa"/>
              <w:bottom w:w="95" w:type="dxa"/>
              <w:end w:w="110" w:type="dxa"/>
            </w:tcMar>
          </w:tcPr>
          <w:p>
            <w:pPr>
              <w:spacing w:after="0"/>
            </w:pPr>
            <w:r>
              <w:rPr>
                <w:rFonts w:ascii="Aptos" w:hAnsi="Aptos"/>
                <w:b/>
                <w:color w:val="FFFFFF"/>
                <w:sz w:val="17"/>
              </w:rPr>
              <w:t>Purpose</w:t>
            </w:r>
          </w:p>
        </w:tc>
      </w:tr>
      <w:tr>
        <w:tc>
          <w:tcPr>
            <w:tcW w:type="dxa" w:w="3168"/>
            <w:vAlign w:val="center"/>
            <w:tcMar>
              <w:top w:w="95" w:type="dxa"/>
              <w:start w:w="110" w:type="dxa"/>
              <w:bottom w:w="95" w:type="dxa"/>
              <w:end w:w="110" w:type="dxa"/>
            </w:tcMar>
          </w:tcPr>
          <w:p>
            <w:pPr>
              <w:spacing w:after="0" w:line="240" w:lineRule="auto"/>
            </w:pPr>
            <w:r>
              <w:rPr>
                <w:rFonts w:ascii="Aptos" w:hAnsi="Aptos"/>
                <w:color w:val="28303C"/>
                <w:sz w:val="17"/>
              </w:rPr>
              <w:t>SMTP_HOST</w:t>
            </w:r>
          </w:p>
        </w:tc>
        <w:tc>
          <w:tcPr>
            <w:tcW w:type="dxa" w:w="5904"/>
            <w:vAlign w:val="center"/>
            <w:tcMar>
              <w:top w:w="95" w:type="dxa"/>
              <w:start w:w="110" w:type="dxa"/>
              <w:bottom w:w="95" w:type="dxa"/>
              <w:end w:w="110" w:type="dxa"/>
            </w:tcMar>
          </w:tcPr>
          <w:p>
            <w:pPr>
              <w:spacing w:after="0" w:line="240" w:lineRule="auto"/>
            </w:pPr>
            <w:r>
              <w:rPr>
                <w:rFonts w:ascii="Aptos" w:hAnsi="Aptos"/>
                <w:color w:val="28303C"/>
                <w:sz w:val="17"/>
              </w:rPr>
              <w:t>Authorized SMTP server hostname; blank disables email.</w:t>
            </w:r>
          </w:p>
        </w:tc>
      </w:tr>
      <w:tr>
        <w:tc>
          <w:tcPr>
            <w:tcW w:type="dxa" w:w="3168"/>
            <w:vAlign w:val="center"/>
            <w:tcMar>
              <w:top w:w="95" w:type="dxa"/>
              <w:start w:w="110" w:type="dxa"/>
              <w:bottom w:w="95" w:type="dxa"/>
              <w:end w:w="110" w:type="dxa"/>
            </w:tcMar>
            <w:shd w:fill="F3F6FA"/>
          </w:tcPr>
          <w:p>
            <w:pPr>
              <w:spacing w:after="0" w:line="240" w:lineRule="auto"/>
            </w:pPr>
            <w:r>
              <w:rPr>
                <w:rFonts w:ascii="Aptos" w:hAnsi="Aptos"/>
                <w:color w:val="28303C"/>
                <w:sz w:val="17"/>
              </w:rPr>
              <w:t>SMTP_PORT</w:t>
            </w:r>
          </w:p>
        </w:tc>
        <w:tc>
          <w:tcPr>
            <w:tcW w:type="dxa" w:w="5904"/>
            <w:vAlign w:val="center"/>
            <w:tcMar>
              <w:top w:w="95" w:type="dxa"/>
              <w:start w:w="110" w:type="dxa"/>
              <w:bottom w:w="95" w:type="dxa"/>
              <w:end w:w="110" w:type="dxa"/>
            </w:tcMar>
            <w:shd w:fill="F3F6FA"/>
          </w:tcPr>
          <w:p>
            <w:pPr>
              <w:spacing w:after="0" w:line="240" w:lineRule="auto"/>
            </w:pPr>
            <w:r>
              <w:rPr>
                <w:rFonts w:ascii="Aptos" w:hAnsi="Aptos"/>
                <w:color w:val="28303C"/>
                <w:sz w:val="17"/>
              </w:rPr>
              <w:t>SMTP port; default is 587 with STARTTLS.</w:t>
            </w:r>
          </w:p>
        </w:tc>
      </w:tr>
      <w:tr>
        <w:tc>
          <w:tcPr>
            <w:tcW w:type="dxa" w:w="3168"/>
            <w:vAlign w:val="center"/>
            <w:tcMar>
              <w:top w:w="95" w:type="dxa"/>
              <w:start w:w="110" w:type="dxa"/>
              <w:bottom w:w="95" w:type="dxa"/>
              <w:end w:w="110" w:type="dxa"/>
            </w:tcMar>
          </w:tcPr>
          <w:p>
            <w:pPr>
              <w:spacing w:after="0" w:line="240" w:lineRule="auto"/>
            </w:pPr>
            <w:r>
              <w:rPr>
                <w:rFonts w:ascii="Aptos" w:hAnsi="Aptos"/>
                <w:color w:val="28303C"/>
                <w:sz w:val="17"/>
              </w:rPr>
              <w:t>SMTP_USER / SMTP_PASSWORD</w:t>
            </w:r>
          </w:p>
        </w:tc>
        <w:tc>
          <w:tcPr>
            <w:tcW w:type="dxa" w:w="5904"/>
            <w:vAlign w:val="center"/>
            <w:tcMar>
              <w:top w:w="95" w:type="dxa"/>
              <w:start w:w="110" w:type="dxa"/>
              <w:bottom w:w="95" w:type="dxa"/>
              <w:end w:w="110" w:type="dxa"/>
            </w:tcMar>
          </w:tcPr>
          <w:p>
            <w:pPr>
              <w:spacing w:after="0" w:line="240" w:lineRule="auto"/>
            </w:pPr>
            <w:r>
              <w:rPr>
                <w:rFonts w:ascii="Aptos" w:hAnsi="Aptos"/>
                <w:color w:val="28303C"/>
                <w:sz w:val="17"/>
              </w:rPr>
              <w:t>Optional SMTP account credentials.</w:t>
            </w:r>
          </w:p>
        </w:tc>
      </w:tr>
      <w:tr>
        <w:tc>
          <w:tcPr>
            <w:tcW w:type="dxa" w:w="3168"/>
            <w:vAlign w:val="center"/>
            <w:tcMar>
              <w:top w:w="95" w:type="dxa"/>
              <w:start w:w="110" w:type="dxa"/>
              <w:bottom w:w="95" w:type="dxa"/>
              <w:end w:w="110" w:type="dxa"/>
            </w:tcMar>
            <w:shd w:fill="F3F6FA"/>
          </w:tcPr>
          <w:p>
            <w:pPr>
              <w:spacing w:after="0" w:line="240" w:lineRule="auto"/>
            </w:pPr>
            <w:r>
              <w:rPr>
                <w:rFonts w:ascii="Aptos" w:hAnsi="Aptos"/>
                <w:color w:val="28303C"/>
                <w:sz w:val="17"/>
              </w:rPr>
              <w:t>SMTP_FROM</w:t>
            </w:r>
          </w:p>
        </w:tc>
        <w:tc>
          <w:tcPr>
            <w:tcW w:type="dxa" w:w="5904"/>
            <w:vAlign w:val="center"/>
            <w:tcMar>
              <w:top w:w="95" w:type="dxa"/>
              <w:start w:w="110" w:type="dxa"/>
              <w:bottom w:w="95" w:type="dxa"/>
              <w:end w:w="110" w:type="dxa"/>
            </w:tcMar>
            <w:shd w:fill="F3F6FA"/>
          </w:tcPr>
          <w:p>
            <w:pPr>
              <w:spacing w:after="0" w:line="240" w:lineRule="auto"/>
            </w:pPr>
            <w:r>
              <w:rPr>
                <w:rFonts w:ascii="Aptos" w:hAnsi="Aptos"/>
                <w:color w:val="28303C"/>
                <w:sz w:val="17"/>
              </w:rPr>
              <w:t>Sender address shown on the email.</w:t>
            </w:r>
          </w:p>
        </w:tc>
      </w:tr>
    </w:tbl>
    <w:p>
      <w:pPr>
        <w:spacing w:after="20"/>
      </w:pPr>
    </w:p>
    <w:p>
      <w:r>
        <w:br w:type="page"/>
      </w:r>
    </w:p>
    <w:p>
      <w:pPr>
        <w:pStyle w:val="Heading1"/>
      </w:pPr>
      <w:r>
        <w:t>Document verification and QR demo</w:t>
      </w:r>
    </w:p>
    <w:p>
      <w:pPr>
        <w:pStyle w:val="Heading2"/>
      </w:pPr>
      <w:r>
        <w:t>Verify an uploaded document</w:t>
      </w:r>
    </w:p>
    <w:p>
      <w:pPr>
        <w:pStyle w:val="ListNumber"/>
        <w:spacing w:after="60"/>
      </w:pPr>
      <w:r>
        <w:t>As an officer, open the case and select Evidence. Choose a supported document and select Verify now when available.</w:t>
      </w:r>
    </w:p>
    <w:p>
      <w:pPr>
        <w:pStyle w:val="ListNumber"/>
        <w:spacing w:after="60"/>
      </w:pPr>
      <w:r>
        <w:t>Read the saved result and method: signed QR, authority lookup, or manual review. Inspect comparison fields, source name, timestamp and reason.</w:t>
      </w:r>
    </w:p>
    <w:p>
      <w:pPr>
        <w:pStyle w:val="ListNumber"/>
        <w:spacing w:after="60"/>
      </w:pPr>
      <w:r>
        <w:t>Treat source unavailable, pending and manual review as unresolved. Never describe those states as verified. OCR-extracted values are claims to check, not verified source data.</w:t>
      </w:r>
    </w:p>
    <w:p>
      <w:r>
        <w:t>The local demo uses simulated issuer registries and deterministic demo signing keys. A cryptographically valid signature proves only that the payload matches the configured key; it does not establish that an official issuer issued it.</w:t>
      </w:r>
    </w:p>
    <w:p>
      <w:pPr>
        <w:pStyle w:val="Heading2"/>
      </w:pPr>
      <w:r>
        <w:t>Generate a demo QR through the API</w:t>
      </w:r>
    </w:p>
    <w:p>
      <w:r>
        <w:t>The demo QR route is admin-only and disabled in production. In API docs, authorize as admin and call POST /api/verification/demo-qr with a small synthetic payload, for example:</w:t>
      </w:r>
    </w:p>
    <w:p>
      <w:pPr>
        <w:spacing w:before="80" w:after="140"/>
        <w:ind w:left="317" w:right="317"/>
      </w:pPr>
      <w:r>
        <w:rPr>
          <w:rFonts w:ascii="Cascadia Mono" w:hAnsi="Cascadia Mono"/>
          <w:sz w:val="17"/>
        </w:rPr>
        <w:t>{"issuer":"fire_services","data":{"id":"DEMO-QR-001","holder":"Synthetic Institute"}}</w:t>
      </w:r>
    </w:p>
    <w:tbl>
      <w:tblPr>
        <w:tblW w:type="auto" w:w="0"/>
        <w:jc w:val="center"/>
        <w:tblLook w:firstColumn="1" w:firstRow="1" w:lastColumn="0" w:lastRow="0" w:noHBand="0" w:noVBand="1" w:val="04A0"/>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994"/>
      </w:tblGrid>
      <w:tr>
        <w:tc>
          <w:tcPr>
            <w:tcW w:type="dxa" w:w="9994"/>
            <w:shd w:fill="FFF3D8"/>
            <w:tcMar>
              <w:top w:w="130" w:type="dxa"/>
              <w:start w:w="160" w:type="dxa"/>
              <w:bottom w:w="130" w:type="dxa"/>
              <w:end w:w="160" w:type="dxa"/>
            </w:tcMar>
          </w:tcPr>
          <w:p>
            <w:pPr>
              <w:spacing w:after="0"/>
            </w:pPr>
            <w:r>
              <w:rPr>
                <w:b/>
                <w:color w:val="203A5B"/>
              </w:rPr>
              <w:t xml:space="preserve">Demo only  </w:t>
            </w:r>
            <w:r>
              <w:t>The response includes simulated=true, a non-official label, the signed payload, a base64 PNG QR, and the server's signature-check result. Do not present it as an official certificate.</w:t>
            </w:r>
          </w:p>
        </w:tc>
      </w:tr>
    </w:tbl>
    <w:p>
      <w:pPr>
        <w:spacing w:after="20"/>
      </w:pPr>
    </w:p>
    <w:p>
      <w:pPr>
        <w:pStyle w:val="Heading2"/>
      </w:pPr>
      <w:r>
        <w:t>Infrastructure CV Studio</w:t>
      </w:r>
    </w:p>
    <w:p>
      <w:r>
        <w:t>Officers can upload a JPEG/PNG lab photo or MP4 walkthrough under Infrastructure CV Studio. Review evidence quality, detected objects, configured norms and any manual-review flags. Detector outputs are advisory; the demo model may misclassify equipment or fail to detect it. A lack of detections is not proof that equipment is absent.</w:t>
      </w:r>
    </w:p>
    <w:p>
      <w:r>
        <w:br w:type="page"/>
      </w:r>
    </w:p>
    <w:p>
      <w:pPr>
        <w:pStyle w:val="Heading1"/>
      </w:pPr>
      <w:r>
        <w:t>Dashboards, reports and audit history</w:t>
      </w:r>
    </w:p>
    <w:p>
      <w:pPr>
        <w:pStyle w:val="Heading2"/>
      </w:pPr>
      <w:r>
        <w:t>Dashboard and CSV report</w:t>
      </w:r>
    </w:p>
    <w:p>
      <w:r>
        <w:t>The officer dashboard summarizes persisted applications, review counts, overdue rectifications, alerts, processing metrics and recent activity. Values are computed from the current database; empty data can produce empty/blank metrics.</w:t>
      </w:r>
    </w:p>
    <w:p>
      <w:pPr>
        <w:pStyle w:val="ListNumber"/>
        <w:spacing w:after="60"/>
      </w:pPr>
      <w:r>
        <w:t>Select CSV report on the dashboard to download application rows from the database.</w:t>
      </w:r>
    </w:p>
    <w:p>
      <w:pPr>
        <w:pStyle w:val="ListNumber"/>
        <w:spacing w:after="60"/>
      </w:pPr>
      <w:r>
        <w:t>For filtered exports, use GET /api/dashboard/report.csv in API docs with optional date_from, date_to, status and search parameters. The endpoint is restricted to official roles and logs the export action.</w:t>
      </w:r>
    </w:p>
    <w:p>
      <w:r>
        <w:t>The prototype supplies CSV export. It does not currently generate PDF reports.</w:t>
      </w:r>
    </w:p>
    <w:p>
      <w:pPr>
        <w:pStyle w:val="Heading2"/>
      </w:pPr>
      <w:r>
        <w:t>Audit ledger</w:t>
      </w:r>
    </w:p>
    <w:p>
      <w:pPr>
        <w:pStyle w:val="ListNumber"/>
        <w:spacing w:after="60"/>
      </w:pPr>
      <w:r>
        <w:t>Open Audit Ledger to inspect recent system events, actor, application and timestamp.</w:t>
      </w:r>
    </w:p>
    <w:p>
      <w:pPr>
        <w:pStyle w:val="ListNumber"/>
        <w:spacing w:after="60"/>
      </w:pPr>
      <w:r>
        <w:t>Open a case's Audit tab for its case-level history, including status changes, decisions, clarification requests and relevant evidence actions.</w:t>
      </w:r>
    </w:p>
    <w:p>
      <w:pPr>
        <w:pStyle w:val="ListNumber"/>
        <w:spacing w:after="60"/>
      </w:pPr>
      <w:r>
        <w:t>Select Verify chain integrity to recompute the stored hash links. A valid result means the checked database chain is internally consistent; it is not an external legal signature or independent archive.</w:t>
      </w:r>
    </w:p>
    <w:p>
      <w:pPr>
        <w:pStyle w:val="Heading2"/>
      </w:pPr>
      <w:r>
        <w:t>Administrator tools</w:t>
      </w:r>
    </w:p>
    <w:p>
      <w:pPr>
        <w:pStyle w:val="ListBullet"/>
        <w:spacing w:after="40"/>
      </w:pPr>
      <w:r>
        <w:t>Accounts: create official scrutiny, expert or admin accounts and activate/deactivate users. Institution registration follows the institution registration flow.</w:t>
      </w:r>
    </w:p>
    <w:p>
      <w:pPr>
        <w:pStyle w:val="ListBullet"/>
        <w:spacing w:after="40"/>
      </w:pPr>
      <w:r>
        <w:t>Simulated issuing authorities: simulate an outage, observe source unavailable/retry states, then restore the demo source. This control changes only the simulated connector.</w:t>
      </w:r>
    </w:p>
    <w:p>
      <w:pPr>
        <w:pStyle w:val="ListBullet"/>
        <w:spacing w:after="40"/>
      </w:pPr>
      <w:r>
        <w:t>Data retention: run Dry run first. Purge now deletes eligible stored files after the configured retention period; metadata, findings and audit entries remain. Review the affected count before any destructive purge.</w:t>
      </w:r>
    </w:p>
    <w:p>
      <w:r>
        <w:br w:type="page"/>
      </w:r>
    </w:p>
    <w:p>
      <w:pPr>
        <w:pStyle w:val="Heading1"/>
      </w:pPr>
      <w:r>
        <w:t>Troubleshooting and safe demo practice</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997"/>
        <w:gridCol w:w="4997"/>
      </w:tblGrid>
      <w:tr>
        <w:trPr>
          <w:tblHeader w:val="true"/>
        </w:trPr>
        <w:tc>
          <w:tcPr>
            <w:tcW w:type="dxa" w:w="2232"/>
            <w:shd w:fill="203A5B"/>
            <w:vAlign w:val="center"/>
            <w:tcMar>
              <w:top w:w="95" w:type="dxa"/>
              <w:start w:w="110" w:type="dxa"/>
              <w:bottom w:w="95" w:type="dxa"/>
              <w:end w:w="110" w:type="dxa"/>
            </w:tcMar>
          </w:tcPr>
          <w:p>
            <w:pPr>
              <w:spacing w:after="0"/>
            </w:pPr>
            <w:r>
              <w:rPr>
                <w:rFonts w:ascii="Aptos" w:hAnsi="Aptos"/>
                <w:b/>
                <w:color w:val="FFFFFF"/>
                <w:sz w:val="17"/>
              </w:rPr>
              <w:t>Symptom</w:t>
            </w:r>
          </w:p>
        </w:tc>
        <w:tc>
          <w:tcPr>
            <w:tcW w:type="dxa" w:w="6840"/>
            <w:shd w:fill="203A5B"/>
            <w:vAlign w:val="center"/>
            <w:tcMar>
              <w:top w:w="95" w:type="dxa"/>
              <w:start w:w="110" w:type="dxa"/>
              <w:bottom w:w="95" w:type="dxa"/>
              <w:end w:w="110" w:type="dxa"/>
            </w:tcMar>
          </w:tcPr>
          <w:p>
            <w:pPr>
              <w:spacing w:after="0"/>
            </w:pPr>
            <w:r>
              <w:rPr>
                <w:rFonts w:ascii="Aptos" w:hAnsi="Aptos"/>
                <w:b/>
                <w:color w:val="FFFFFF"/>
                <w:sz w:val="17"/>
              </w:rPr>
              <w:t>What to check</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Login fails</w:t>
            </w:r>
          </w:p>
        </w:tc>
        <w:tc>
          <w:tcPr>
            <w:tcW w:type="dxa" w:w="6840"/>
            <w:vAlign w:val="center"/>
            <w:tcMar>
              <w:top w:w="95" w:type="dxa"/>
              <w:start w:w="110" w:type="dxa"/>
              <w:bottom w:w="95" w:type="dxa"/>
              <w:end w:w="110" w:type="dxa"/>
            </w:tcMar>
          </w:tcPr>
          <w:p>
            <w:pPr>
              <w:spacing w:after="0" w:line="240" w:lineRule="auto"/>
            </w:pPr>
            <w:r>
              <w:rPr>
                <w:rFonts w:ascii="Aptos" w:hAnsi="Aptos"/>
                <w:color w:val="28303C"/>
                <w:sz w:val="17"/>
              </w:rPr>
              <w:t>Use a listed demo account and confirm the local backend is running at port 8000. Demo users are seeded only outside production.</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Document still processing</w:t>
            </w:r>
          </w:p>
        </w:tc>
        <w:tc>
          <w:tcPr>
            <w:tcW w:type="dxa" w:w="6840"/>
            <w:vAlign w:val="center"/>
            <w:tcMar>
              <w:top w:w="95" w:type="dxa"/>
              <w:start w:w="110" w:type="dxa"/>
              <w:bottom w:w="95" w:type="dxa"/>
              <w:end w:w="110" w:type="dxa"/>
            </w:tcMar>
            <w:shd w:fill="F3F6FA"/>
          </w:tcPr>
          <w:p>
            <w:pPr>
              <w:spacing w:after="0" w:line="240" w:lineRule="auto"/>
            </w:pPr>
            <w:r>
              <w:rPr>
                <w:rFonts w:ascii="Aptos" w:hAnsi="Aptos"/>
                <w:color w:val="28303C"/>
                <w:sz w:val="17"/>
              </w:rPr>
              <w:t>Wait briefly and refresh the application. Do not submit while current uploads are pending.</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Clarification will not decrypt</w:t>
            </w:r>
          </w:p>
        </w:tc>
        <w:tc>
          <w:tcPr>
            <w:tcW w:type="dxa" w:w="6840"/>
            <w:vAlign w:val="center"/>
            <w:tcMar>
              <w:top w:w="95" w:type="dxa"/>
              <w:start w:w="110" w:type="dxa"/>
              <w:bottom w:w="95" w:type="dxa"/>
              <w:end w:w="110" w:type="dxa"/>
            </w:tcMar>
          </w:tcPr>
          <w:p>
            <w:pPr>
              <w:spacing w:after="0" w:line="240" w:lineRule="auto"/>
            </w:pPr>
            <w:r>
              <w:rPr>
                <w:rFonts w:ascii="Aptos" w:hAnsi="Aptos"/>
                <w:color w:val="28303C"/>
                <w:sz w:val="17"/>
              </w:rPr>
              <w:t>Use the original browser profile that created the secure inbox key; otherwise ask for re-issue.</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Source unavailable</w:t>
            </w:r>
          </w:p>
        </w:tc>
        <w:tc>
          <w:tcPr>
            <w:tcW w:type="dxa" w:w="6840"/>
            <w:vAlign w:val="center"/>
            <w:tcMar>
              <w:top w:w="95" w:type="dxa"/>
              <w:start w:w="110" w:type="dxa"/>
              <w:bottom w:w="95" w:type="dxa"/>
              <w:end w:w="110" w:type="dxa"/>
            </w:tcMar>
            <w:shd w:fill="F3F6FA"/>
          </w:tcPr>
          <w:p>
            <w:pPr>
              <w:spacing w:after="0" w:line="240" w:lineRule="auto"/>
            </w:pPr>
            <w:r>
              <w:rPr>
                <w:rFonts w:ascii="Aptos" w:hAnsi="Aptos"/>
                <w:color w:val="28303C"/>
                <w:sz w:val="17"/>
              </w:rPr>
              <w:t>This may be a simulated outage or absent external source. Restore the demo source or wait for retry; do not mark it verified.</w:t>
            </w:r>
          </w:p>
        </w:tc>
      </w:tr>
      <w:tr>
        <w:tc>
          <w:tcPr>
            <w:tcW w:type="dxa" w:w="2232"/>
            <w:vAlign w:val="center"/>
            <w:tcMar>
              <w:top w:w="95" w:type="dxa"/>
              <w:start w:w="110" w:type="dxa"/>
              <w:bottom w:w="95" w:type="dxa"/>
              <w:end w:w="110" w:type="dxa"/>
            </w:tcMar>
          </w:tcPr>
          <w:p>
            <w:pPr>
              <w:spacing w:after="0" w:line="240" w:lineRule="auto"/>
            </w:pPr>
            <w:r>
              <w:rPr>
                <w:rFonts w:ascii="Aptos" w:hAnsi="Aptos"/>
                <w:color w:val="28303C"/>
                <w:sz w:val="17"/>
              </w:rPr>
              <w:t>Deadline did not alert</w:t>
            </w:r>
          </w:p>
        </w:tc>
        <w:tc>
          <w:tcPr>
            <w:tcW w:type="dxa" w:w="6840"/>
            <w:vAlign w:val="center"/>
            <w:tcMar>
              <w:top w:w="95" w:type="dxa"/>
              <w:start w:w="110" w:type="dxa"/>
              <w:bottom w:w="95" w:type="dxa"/>
              <w:end w:w="110" w:type="dxa"/>
            </w:tcMar>
          </w:tcPr>
          <w:p>
            <w:pPr>
              <w:spacing w:after="0" w:line="240" w:lineRule="auto"/>
            </w:pPr>
            <w:r>
              <w:rPr>
                <w:rFonts w:ascii="Aptos" w:hAnsi="Aptos"/>
                <w:color w:val="28303C"/>
                <w:sz w:val="17"/>
              </w:rPr>
              <w:t>Confirm it is open, check its reminder window, then run the due sweep. Automatic five-minute processing requires Celery beat and Redis.</w:t>
            </w:r>
          </w:p>
        </w:tc>
      </w:tr>
      <w:tr>
        <w:tc>
          <w:tcPr>
            <w:tcW w:type="dxa" w:w="2232"/>
            <w:vAlign w:val="center"/>
            <w:tcMar>
              <w:top w:w="95" w:type="dxa"/>
              <w:start w:w="110" w:type="dxa"/>
              <w:bottom w:w="95" w:type="dxa"/>
              <w:end w:w="110" w:type="dxa"/>
            </w:tcMar>
            <w:shd w:fill="F3F6FA"/>
          </w:tcPr>
          <w:p>
            <w:pPr>
              <w:spacing w:after="0" w:line="240" w:lineRule="auto"/>
            </w:pPr>
            <w:r>
              <w:rPr>
                <w:rFonts w:ascii="Aptos" w:hAnsi="Aptos"/>
                <w:color w:val="28303C"/>
                <w:sz w:val="17"/>
              </w:rPr>
              <w:t>No detector result</w:t>
            </w:r>
          </w:p>
        </w:tc>
        <w:tc>
          <w:tcPr>
            <w:tcW w:type="dxa" w:w="6840"/>
            <w:vAlign w:val="center"/>
            <w:tcMar>
              <w:top w:w="95" w:type="dxa"/>
              <w:start w:w="110" w:type="dxa"/>
              <w:bottom w:w="95" w:type="dxa"/>
              <w:end w:w="110" w:type="dxa"/>
            </w:tcMar>
            <w:shd w:fill="F3F6FA"/>
          </w:tcPr>
          <w:p>
            <w:pPr>
              <w:spacing w:after="0" w:line="240" w:lineRule="auto"/>
            </w:pPr>
            <w:r>
              <w:rPr>
                <w:rFonts w:ascii="Aptos" w:hAnsi="Aptos"/>
                <w:color w:val="28303C"/>
                <w:sz w:val="17"/>
              </w:rPr>
              <w:t>Check file format, image/video quality and whether the detector engine is available. Manual review may still be necessary.</w:t>
            </w:r>
          </w:p>
        </w:tc>
      </w:tr>
    </w:tbl>
    <w:p>
      <w:pPr>
        <w:spacing w:after="20"/>
      </w:pPr>
    </w:p>
    <w:p>
      <w:pPr>
        <w:pStyle w:val="Heading2"/>
      </w:pPr>
      <w:r>
        <w:t>Local setup reference</w:t>
      </w:r>
    </w:p>
    <w:p>
      <w:r>
        <w:t>From the project folder, start the backend in one PowerShell window:</w:t>
      </w:r>
    </w:p>
    <w:p>
      <w:pPr>
        <w:ind w:left="317"/>
      </w:pPr>
      <w:r>
        <w:rPr>
          <w:rFonts w:ascii="Cascadia Mono" w:hAnsi="Cascadia Mono"/>
          <w:sz w:val="17"/>
        </w:rPr>
        <w:t>Copy-Item .env.example .env</w:t>
        <w:br/>
        <w:t>Set-Location backend</w:t>
        <w:br/>
        <w:t>python -m venv .venv</w:t>
        <w:br/>
        <w:t>.venv\Scripts\Activate.ps1</w:t>
        <w:br/>
        <w:t>pip install -r requirements.txt</w:t>
        <w:br/>
        <w:t>python ..\scripts\generate_demo_data.py</w:t>
        <w:br/>
        <w:t>python -m uvicorn app.main:app --port 8000</w:t>
      </w:r>
    </w:p>
    <w:p>
      <w:r>
        <w:t>Start the frontend in another PowerShell window:</w:t>
      </w:r>
    </w:p>
    <w:p>
      <w:pPr>
        <w:ind w:left="317"/>
      </w:pPr>
      <w:r>
        <w:rPr>
          <w:rFonts w:ascii="Cascadia Mono" w:hAnsi="Cascadia Mono"/>
          <w:sz w:val="17"/>
        </w:rPr>
        <w:t>Set-Location frontend</w:t>
        <w:br/>
        <w:t>npm ci</w:t>
        <w:br/>
        <w:t>npm run dev</w:t>
      </w:r>
    </w:p>
    <w:p>
      <w:r>
        <w:t>Open http://127.0.0.1:3000/. Local defaults use SQLite, local disk storage, background tasks and simulated authorities. Celery, Redis, MinIO, Postgres and real SMTP/issuer connectors are optional; they require separate services and authorized configuration.</w:t>
      </w:r>
    </w:p>
    <w:p>
      <w:pPr>
        <w:pStyle w:val="Heading2"/>
      </w:pPr>
      <w:r>
        <w:t>Data handling</w:t>
      </w:r>
    </w:p>
    <w:p>
      <w:r>
        <w:t>Use the synthetic demo data for presentations. Do not upload real institutional or personal records to this prototype unless you have authorization and have configured the required security, retention, storage, legal and integration controls. Never use the demo credentials in a public deployment.</w:t>
      </w:r>
    </w:p>
    <w:sectPr w:rsidR="00FC693F" w:rsidRPr="0006063C" w:rsidSect="00034616">
      <w:headerReference w:type="default" r:id="rId9"/>
      <w:footerReference w:type="default" r:id="rId10"/>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775"/>
        <w:sz w:val="16"/>
      </w:rPr>
      <w:t xml:space="preserve">User Guide  •  Independent prototype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85B71"/>
        <w:sz w:val="16"/>
      </w:rPr>
      <w:t>VALIDEX  |  SIH26262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Validex User Guide</dc:title>
  <dc:subject>Instructions for using the Validex SIH26262 prototype</dc:subject>
  <dc:creator>Validex Project</dc:creator>
  <cp:keywords>Validex, SIH26262, user guide, prototype</cp:keywords>
  <dc:description>generated by python-docx</dc:description>
  <cp:lastModifiedBy/>
  <cp:revision>1</cp:revision>
  <dcterms:created xsi:type="dcterms:W3CDTF">2013-12-23T23:15:00Z</dcterms:created>
  <dcterms:modified xsi:type="dcterms:W3CDTF">2013-12-23T23:15:00Z</dcterms:modified>
  <cp:category/>
</cp:coreProperties>
</file>