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C2FD9" w14:textId="77777777" w:rsidR="00A07190" w:rsidRPr="00710F8A" w:rsidRDefault="00000000" w:rsidP="00710F8A">
      <w:pPr>
        <w:pStyle w:val="FirstParagraph"/>
        <w:jc w:val="center"/>
        <w:rPr>
          <w:rFonts w:ascii="Times New Roman" w:hAnsi="Times New Roman" w:cs="Times New Roman"/>
          <w:color w:val="000000" w:themeColor="text1"/>
          <w:sz w:val="32"/>
          <w:szCs w:val="32"/>
        </w:rPr>
      </w:pPr>
      <w:bookmarkStart w:id="0" w:name="title-page"/>
      <w:r w:rsidRPr="00710F8A">
        <w:rPr>
          <w:rFonts w:ascii="Times New Roman" w:hAnsi="Times New Roman" w:cs="Times New Roman"/>
          <w:b/>
          <w:bCs/>
          <w:color w:val="000000" w:themeColor="text1"/>
          <w:sz w:val="32"/>
          <w:szCs w:val="32"/>
        </w:rPr>
        <w:t>Credit Card Statement Parser: A Multi-Issuer PDF Extraction System</w:t>
      </w:r>
    </w:p>
    <w:p w14:paraId="0AB44A43" w14:textId="77777777" w:rsidR="00A07190" w:rsidRPr="00710F8A" w:rsidRDefault="00000000" w:rsidP="00710F8A">
      <w:pPr>
        <w:pStyle w:val="BodyText"/>
        <w:jc w:val="center"/>
        <w:rPr>
          <w:rFonts w:ascii="Times New Roman" w:hAnsi="Times New Roman" w:cs="Times New Roman"/>
          <w:color w:val="000000" w:themeColor="text1"/>
          <w:sz w:val="28"/>
          <w:szCs w:val="28"/>
        </w:rPr>
      </w:pPr>
      <w:r w:rsidRPr="00710F8A">
        <w:rPr>
          <w:rFonts w:ascii="Times New Roman" w:hAnsi="Times New Roman" w:cs="Times New Roman"/>
          <w:i/>
          <w:iCs/>
          <w:color w:val="000000" w:themeColor="text1"/>
          <w:sz w:val="28"/>
          <w:szCs w:val="28"/>
        </w:rPr>
        <w:t>An automated solution for extracting structured data from credit card statements across diverse issuer formats</w:t>
      </w:r>
    </w:p>
    <w:p w14:paraId="0C14366F" w14:textId="41FB0B33" w:rsidR="00A07190" w:rsidRPr="00710F8A" w:rsidRDefault="00000000" w:rsidP="00710F8A">
      <w:pPr>
        <w:pStyle w:val="BodyText"/>
        <w:jc w:val="center"/>
        <w:rPr>
          <w:rFonts w:ascii="Times New Roman" w:hAnsi="Times New Roman" w:cs="Times New Roman"/>
          <w:color w:val="000000" w:themeColor="text1"/>
          <w:sz w:val="28"/>
          <w:szCs w:val="28"/>
        </w:rPr>
      </w:pPr>
      <w:r w:rsidRPr="00710F8A">
        <w:rPr>
          <w:rFonts w:ascii="Times New Roman" w:hAnsi="Times New Roman" w:cs="Times New Roman"/>
          <w:b/>
          <w:bCs/>
          <w:color w:val="000000" w:themeColor="text1"/>
          <w:sz w:val="28"/>
          <w:szCs w:val="28"/>
        </w:rPr>
        <w:t>Submission Date:</w:t>
      </w:r>
      <w:r w:rsidRPr="00710F8A">
        <w:rPr>
          <w:rFonts w:ascii="Times New Roman" w:hAnsi="Times New Roman" w:cs="Times New Roman"/>
          <w:color w:val="000000" w:themeColor="text1"/>
          <w:sz w:val="28"/>
          <w:szCs w:val="28"/>
        </w:rPr>
        <w:t xml:space="preserve"> </w:t>
      </w:r>
      <w:r w:rsidR="009B06E6" w:rsidRPr="00710F8A">
        <w:rPr>
          <w:rFonts w:ascii="Times New Roman" w:hAnsi="Times New Roman" w:cs="Times New Roman"/>
          <w:color w:val="000000" w:themeColor="text1"/>
          <w:sz w:val="28"/>
          <w:szCs w:val="28"/>
        </w:rPr>
        <w:t>02-11-2025</w:t>
      </w:r>
      <w:r w:rsidRPr="00710F8A">
        <w:rPr>
          <w:rFonts w:ascii="Times New Roman" w:hAnsi="Times New Roman" w:cs="Times New Roman"/>
          <w:color w:val="000000" w:themeColor="text1"/>
          <w:sz w:val="28"/>
          <w:szCs w:val="28"/>
        </w:rPr>
        <w:t xml:space="preserve"> </w:t>
      </w:r>
      <w:r w:rsidRPr="00710F8A">
        <w:rPr>
          <w:rFonts w:ascii="Times New Roman" w:hAnsi="Times New Roman" w:cs="Times New Roman"/>
          <w:b/>
          <w:bCs/>
          <w:color w:val="000000" w:themeColor="text1"/>
          <w:sz w:val="28"/>
          <w:szCs w:val="28"/>
        </w:rPr>
        <w:t>Author:</w:t>
      </w:r>
      <w:r w:rsidRPr="00710F8A">
        <w:rPr>
          <w:rFonts w:ascii="Times New Roman" w:hAnsi="Times New Roman" w:cs="Times New Roman"/>
          <w:color w:val="000000" w:themeColor="text1"/>
          <w:sz w:val="28"/>
          <w:szCs w:val="28"/>
        </w:rPr>
        <w:t xml:space="preserve"> </w:t>
      </w:r>
      <w:r w:rsidR="009B06E6" w:rsidRPr="00710F8A">
        <w:rPr>
          <w:rFonts w:ascii="Times New Roman" w:hAnsi="Times New Roman" w:cs="Times New Roman"/>
          <w:color w:val="000000" w:themeColor="text1"/>
          <w:sz w:val="28"/>
          <w:szCs w:val="28"/>
        </w:rPr>
        <w:t>Lokesh Kamal Vyas</w:t>
      </w:r>
    </w:p>
    <w:p w14:paraId="7E79094D" w14:textId="77777777" w:rsidR="00A07190" w:rsidRPr="00710F8A" w:rsidRDefault="00000000" w:rsidP="009B06E6">
      <w:pPr>
        <w:pStyle w:val="Heading1"/>
        <w:jc w:val="both"/>
        <w:rPr>
          <w:rFonts w:ascii="Times New Roman" w:hAnsi="Times New Roman" w:cs="Times New Roman"/>
          <w:color w:val="000000" w:themeColor="text1"/>
          <w:sz w:val="28"/>
          <w:szCs w:val="28"/>
        </w:rPr>
      </w:pPr>
      <w:bookmarkStart w:id="1" w:name="executive-summary"/>
      <w:bookmarkEnd w:id="0"/>
      <w:r w:rsidRPr="00710F8A">
        <w:rPr>
          <w:rFonts w:ascii="Times New Roman" w:hAnsi="Times New Roman" w:cs="Times New Roman"/>
          <w:color w:val="000000" w:themeColor="text1"/>
          <w:sz w:val="28"/>
          <w:szCs w:val="28"/>
        </w:rPr>
        <w:t>EXECUTIVE SUMMARY</w:t>
      </w:r>
    </w:p>
    <w:p w14:paraId="0466CC08" w14:textId="77777777" w:rsidR="00A07190" w:rsidRPr="00710F8A" w:rsidRDefault="00000000" w:rsidP="009B06E6">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This submission presents a robust, production-ready credit card statement parser capable of extracting critical financial data from PDF statements across five major credit card issuers. The system addresses the significant challenge of parsing statements with varying layouts, formats, and data representations by implementing issuer-specific parsing strategies combined with intelligent fallback mechanisms.</w:t>
      </w:r>
    </w:p>
    <w:p w14:paraId="76AE0886" w14:textId="77777777" w:rsidR="00A07190" w:rsidRPr="00710F8A" w:rsidRDefault="00000000" w:rsidP="009B06E6">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t>The parser successfully extracts five required data fields (card last 4 digits, billing period start, billing period end, payment due date, and new balance) plus an additional bonus field (minimum amount due). The solution employs a modular architecture with dedicated parsers for each issuer, robust text extraction with OCR fallback for scanned documents, comprehensive normalization for dates and currencies, and confidence scoring to assess extraction quality.</w:t>
      </w:r>
    </w:p>
    <w:p w14:paraId="7FE2B0DA" w14:textId="5B58D8E7" w:rsidR="00A07190" w:rsidRPr="00710F8A" w:rsidRDefault="00000000" w:rsidP="009C5B12">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t>Key achievements include handling diverse statement formats from international issuers (American Express, HDFC Bank, First Citizens Bank) and regional providers (OneCard, BuildingBlocks), automatic issuer detection, graceful error handling, and automated CSV output generation. The system demonstrates high reliability through unit testing and produces structured JSON output suitable for integration with financial management systems.</w:t>
      </w:r>
    </w:p>
    <w:p w14:paraId="493A2ABB" w14:textId="77777777" w:rsidR="009C5B12" w:rsidRPr="00710F8A" w:rsidRDefault="009C5B12">
      <w:pPr>
        <w:rPr>
          <w:rFonts w:ascii="Times New Roman" w:eastAsiaTheme="majorEastAsia" w:hAnsi="Times New Roman" w:cs="Times New Roman"/>
          <w:b/>
          <w:bCs/>
          <w:color w:val="000000" w:themeColor="text1"/>
        </w:rPr>
      </w:pPr>
      <w:bookmarkStart w:id="2" w:name="issuer-table"/>
      <w:bookmarkEnd w:id="1"/>
      <w:r w:rsidRPr="00710F8A">
        <w:rPr>
          <w:rFonts w:ascii="Times New Roman" w:hAnsi="Times New Roman" w:cs="Times New Roman"/>
          <w:color w:val="000000" w:themeColor="text1"/>
        </w:rPr>
        <w:br w:type="page"/>
      </w:r>
    </w:p>
    <w:p w14:paraId="5BD277A3" w14:textId="3444819B" w:rsidR="00710F8A" w:rsidRPr="00710F8A" w:rsidRDefault="00000000" w:rsidP="00710F8A">
      <w:pPr>
        <w:pStyle w:val="Heading1"/>
        <w:jc w:val="both"/>
        <w:rPr>
          <w:rFonts w:ascii="Times New Roman" w:hAnsi="Times New Roman" w:cs="Times New Roman"/>
          <w:color w:val="000000" w:themeColor="text1"/>
          <w:sz w:val="28"/>
          <w:szCs w:val="28"/>
        </w:rPr>
      </w:pPr>
      <w:r w:rsidRPr="00710F8A">
        <w:rPr>
          <w:rFonts w:ascii="Times New Roman" w:hAnsi="Times New Roman" w:cs="Times New Roman"/>
          <w:color w:val="000000" w:themeColor="text1"/>
          <w:sz w:val="28"/>
          <w:szCs w:val="28"/>
        </w:rPr>
        <w:lastRenderedPageBreak/>
        <w:t>ISSUER TABLE</w:t>
      </w:r>
    </w:p>
    <w:tbl>
      <w:tblPr>
        <w:tblStyle w:val="PlainTable2"/>
        <w:tblW w:w="5000" w:type="pct"/>
        <w:tblLayout w:type="fixed"/>
        <w:tblLook w:val="0020" w:firstRow="1" w:lastRow="0" w:firstColumn="0" w:lastColumn="0" w:noHBand="0" w:noVBand="0"/>
      </w:tblPr>
      <w:tblGrid>
        <w:gridCol w:w="1321"/>
        <w:gridCol w:w="1761"/>
        <w:gridCol w:w="1321"/>
        <w:gridCol w:w="2091"/>
        <w:gridCol w:w="3082"/>
      </w:tblGrid>
      <w:tr w:rsidR="009B06E6" w:rsidRPr="00710F8A" w14:paraId="3569B353" w14:textId="77777777" w:rsidTr="009B06E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541EAB1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Issuer</w:t>
            </w:r>
          </w:p>
        </w:tc>
        <w:tc>
          <w:tcPr>
            <w:cnfStyle w:val="000001000000" w:firstRow="0" w:lastRow="0" w:firstColumn="0" w:lastColumn="0" w:oddVBand="0" w:evenVBand="1" w:oddHBand="0" w:evenHBand="0" w:firstRowFirstColumn="0" w:firstRowLastColumn="0" w:lastRowFirstColumn="0" w:lastRowLastColumn="0"/>
            <w:tcW w:w="1456" w:type="dxa"/>
          </w:tcPr>
          <w:p w14:paraId="37974FC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Issuer Type</w:t>
            </w:r>
          </w:p>
        </w:tc>
        <w:tc>
          <w:tcPr>
            <w:cnfStyle w:val="000010000000" w:firstRow="0" w:lastRow="0" w:firstColumn="0" w:lastColumn="0" w:oddVBand="1" w:evenVBand="0" w:oddHBand="0" w:evenHBand="0" w:firstRowFirstColumn="0" w:firstRowLastColumn="0" w:lastRowFirstColumn="0" w:lastRowLastColumn="0"/>
            <w:tcW w:w="1092" w:type="dxa"/>
          </w:tcPr>
          <w:p w14:paraId="42DD4443"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Region</w:t>
            </w:r>
          </w:p>
        </w:tc>
        <w:tc>
          <w:tcPr>
            <w:cnfStyle w:val="000001000000" w:firstRow="0" w:lastRow="0" w:firstColumn="0" w:lastColumn="0" w:oddVBand="0" w:evenVBand="1" w:oddHBand="0" w:evenHBand="0" w:firstRowFirstColumn="0" w:firstRowLastColumn="0" w:lastRowFirstColumn="0" w:lastRowLastColumn="0"/>
            <w:tcW w:w="1729" w:type="dxa"/>
          </w:tcPr>
          <w:p w14:paraId="3D90A18C"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Parser Status</w:t>
            </w:r>
          </w:p>
        </w:tc>
        <w:tc>
          <w:tcPr>
            <w:cnfStyle w:val="000010000000" w:firstRow="0" w:lastRow="0" w:firstColumn="0" w:lastColumn="0" w:oddVBand="1" w:evenVBand="0" w:oddHBand="0" w:evenHBand="0" w:firstRowFirstColumn="0" w:firstRowLastColumn="0" w:lastRowFirstColumn="0" w:lastRowLastColumn="0"/>
            <w:tcW w:w="2548" w:type="dxa"/>
          </w:tcPr>
          <w:p w14:paraId="70923E37"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Layout Characteristics</w:t>
            </w:r>
          </w:p>
        </w:tc>
      </w:tr>
      <w:tr w:rsidR="009B06E6" w:rsidRPr="00710F8A" w14:paraId="168803E7" w14:textId="77777777" w:rsidTr="009B06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33114DFF" w14:textId="77777777" w:rsidR="00A07190" w:rsidRPr="00710F8A" w:rsidRDefault="00000000" w:rsidP="009B06E6">
            <w:pPr>
              <w:pStyle w:val="Compact"/>
              <w:jc w:val="both"/>
              <w:rPr>
                <w:rFonts w:ascii="Times New Roman" w:hAnsi="Times New Roman" w:cs="Times New Roman"/>
                <w:color w:val="000000" w:themeColor="text1"/>
              </w:rPr>
            </w:pPr>
            <w:proofErr w:type="spellStart"/>
            <w:r w:rsidRPr="00710F8A">
              <w:rPr>
                <w:rFonts w:ascii="Times New Roman" w:hAnsi="Times New Roman" w:cs="Times New Roman"/>
                <w:b/>
                <w:bCs/>
                <w:color w:val="000000" w:themeColor="text1"/>
              </w:rPr>
              <w:t>OneCard</w:t>
            </w:r>
            <w:proofErr w:type="spellEnd"/>
          </w:p>
        </w:tc>
        <w:tc>
          <w:tcPr>
            <w:cnfStyle w:val="000001000000" w:firstRow="0" w:lastRow="0" w:firstColumn="0" w:lastColumn="0" w:oddVBand="0" w:evenVBand="1" w:oddHBand="0" w:evenHBand="0" w:firstRowFirstColumn="0" w:firstRowLastColumn="0" w:lastRowFirstColumn="0" w:lastRowLastColumn="0"/>
            <w:tcW w:w="1456" w:type="dxa"/>
          </w:tcPr>
          <w:p w14:paraId="39E9F71E"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Fintech</w:t>
            </w:r>
          </w:p>
        </w:tc>
        <w:tc>
          <w:tcPr>
            <w:cnfStyle w:val="000010000000" w:firstRow="0" w:lastRow="0" w:firstColumn="0" w:lastColumn="0" w:oddVBand="1" w:evenVBand="0" w:oddHBand="0" w:evenHBand="0" w:firstRowFirstColumn="0" w:firstRowLastColumn="0" w:lastRowFirstColumn="0" w:lastRowLastColumn="0"/>
            <w:tcW w:w="1092" w:type="dxa"/>
          </w:tcPr>
          <w:p w14:paraId="5FBA1EA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India</w:t>
            </w:r>
          </w:p>
        </w:tc>
        <w:tc>
          <w:tcPr>
            <w:cnfStyle w:val="000001000000" w:firstRow="0" w:lastRow="0" w:firstColumn="0" w:lastColumn="0" w:oddVBand="0" w:evenVBand="1" w:oddHBand="0" w:evenHBand="0" w:firstRowFirstColumn="0" w:firstRowLastColumn="0" w:lastRowFirstColumn="0" w:lastRowLastColumn="0"/>
            <w:tcW w:w="1729" w:type="dxa"/>
          </w:tcPr>
          <w:p w14:paraId="0237B874" w14:textId="5F78A11E"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Supported</w:t>
            </w:r>
          </w:p>
        </w:tc>
        <w:tc>
          <w:tcPr>
            <w:cnfStyle w:val="000010000000" w:firstRow="0" w:lastRow="0" w:firstColumn="0" w:lastColumn="0" w:oddVBand="1" w:evenVBand="0" w:oddHBand="0" w:evenHBand="0" w:firstRowFirstColumn="0" w:firstRowLastColumn="0" w:lastRowFirstColumn="0" w:lastRowLastColumn="0"/>
            <w:tcW w:w="2548" w:type="dxa"/>
          </w:tcPr>
          <w:p w14:paraId="2EABF94E" w14:textId="342A4420"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Compact format, Indian Rupee</w:t>
            </w:r>
            <w:r w:rsidR="009B06E6" w:rsidRPr="00710F8A">
              <w:rPr>
                <w:rFonts w:ascii="Times New Roman" w:hAnsi="Times New Roman" w:cs="Times New Roman"/>
                <w:color w:val="000000" w:themeColor="text1"/>
              </w:rPr>
              <w:t xml:space="preserve"> </w:t>
            </w:r>
            <w:r w:rsidRPr="00710F8A">
              <w:rPr>
                <w:rFonts w:ascii="Times New Roman" w:hAnsi="Times New Roman" w:cs="Times New Roman"/>
                <w:color w:val="000000" w:themeColor="text1"/>
              </w:rPr>
              <w:t>currency</w:t>
            </w:r>
          </w:p>
        </w:tc>
      </w:tr>
      <w:tr w:rsidR="009B06E6" w:rsidRPr="00710F8A" w14:paraId="6CDA70D8" w14:textId="77777777" w:rsidTr="009B06E6">
        <w:tc>
          <w:tcPr>
            <w:cnfStyle w:val="000010000000" w:firstRow="0" w:lastRow="0" w:firstColumn="0" w:lastColumn="0" w:oddVBand="1" w:evenVBand="0" w:oddHBand="0" w:evenHBand="0" w:firstRowFirstColumn="0" w:firstRowLastColumn="0" w:lastRowFirstColumn="0" w:lastRowLastColumn="0"/>
            <w:tcW w:w="1092" w:type="dxa"/>
          </w:tcPr>
          <w:p w14:paraId="7B0A61DF"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BuildingBlocks</w:t>
            </w:r>
          </w:p>
        </w:tc>
        <w:tc>
          <w:tcPr>
            <w:cnfStyle w:val="000001000000" w:firstRow="0" w:lastRow="0" w:firstColumn="0" w:lastColumn="0" w:oddVBand="0" w:evenVBand="1" w:oddHBand="0" w:evenHBand="0" w:firstRowFirstColumn="0" w:firstRowLastColumn="0" w:lastRowFirstColumn="0" w:lastRowLastColumn="0"/>
            <w:tcW w:w="1456" w:type="dxa"/>
          </w:tcPr>
          <w:p w14:paraId="5859A79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Credit Card Provider</w:t>
            </w:r>
          </w:p>
        </w:tc>
        <w:tc>
          <w:tcPr>
            <w:cnfStyle w:val="000010000000" w:firstRow="0" w:lastRow="0" w:firstColumn="0" w:lastColumn="0" w:oddVBand="1" w:evenVBand="0" w:oddHBand="0" w:evenHBand="0" w:firstRowFirstColumn="0" w:firstRowLastColumn="0" w:lastRowFirstColumn="0" w:lastRowLastColumn="0"/>
            <w:tcW w:w="1092" w:type="dxa"/>
          </w:tcPr>
          <w:p w14:paraId="028018C4"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Global</w:t>
            </w:r>
          </w:p>
        </w:tc>
        <w:tc>
          <w:tcPr>
            <w:cnfStyle w:val="000001000000" w:firstRow="0" w:lastRow="0" w:firstColumn="0" w:lastColumn="0" w:oddVBand="0" w:evenVBand="1" w:oddHBand="0" w:evenHBand="0" w:firstRowFirstColumn="0" w:firstRowLastColumn="0" w:lastRowFirstColumn="0" w:lastRowLastColumn="0"/>
            <w:tcW w:w="1729" w:type="dxa"/>
          </w:tcPr>
          <w:p w14:paraId="0742CBCE" w14:textId="31C9DFA1"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Supported</w:t>
            </w:r>
          </w:p>
        </w:tc>
        <w:tc>
          <w:tcPr>
            <w:cnfStyle w:val="000010000000" w:firstRow="0" w:lastRow="0" w:firstColumn="0" w:lastColumn="0" w:oddVBand="1" w:evenVBand="0" w:oddHBand="0" w:evenHBand="0" w:firstRowFirstColumn="0" w:firstRowLastColumn="0" w:lastRowFirstColumn="0" w:lastRowLastColumn="0"/>
            <w:tcW w:w="2548" w:type="dxa"/>
          </w:tcPr>
          <w:p w14:paraId="289164F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Opening/Closing date format, multi-currency</w:t>
            </w:r>
          </w:p>
        </w:tc>
      </w:tr>
      <w:tr w:rsidR="009B06E6" w:rsidRPr="00710F8A" w14:paraId="4D7C7CA4" w14:textId="77777777" w:rsidTr="009B06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1327F05E"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HDFC</w:t>
            </w:r>
          </w:p>
        </w:tc>
        <w:tc>
          <w:tcPr>
            <w:cnfStyle w:val="000001000000" w:firstRow="0" w:lastRow="0" w:firstColumn="0" w:lastColumn="0" w:oddVBand="0" w:evenVBand="1" w:oddHBand="0" w:evenHBand="0" w:firstRowFirstColumn="0" w:firstRowLastColumn="0" w:lastRowFirstColumn="0" w:lastRowLastColumn="0"/>
            <w:tcW w:w="1456" w:type="dxa"/>
          </w:tcPr>
          <w:p w14:paraId="7E3CF294"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Bank</w:t>
            </w:r>
          </w:p>
        </w:tc>
        <w:tc>
          <w:tcPr>
            <w:cnfStyle w:val="000010000000" w:firstRow="0" w:lastRow="0" w:firstColumn="0" w:lastColumn="0" w:oddVBand="1" w:evenVBand="0" w:oddHBand="0" w:evenHBand="0" w:firstRowFirstColumn="0" w:firstRowLastColumn="0" w:lastRowFirstColumn="0" w:lastRowLastColumn="0"/>
            <w:tcW w:w="1092" w:type="dxa"/>
          </w:tcPr>
          <w:p w14:paraId="03330CF5"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India</w:t>
            </w:r>
          </w:p>
        </w:tc>
        <w:tc>
          <w:tcPr>
            <w:cnfStyle w:val="000001000000" w:firstRow="0" w:lastRow="0" w:firstColumn="0" w:lastColumn="0" w:oddVBand="0" w:evenVBand="1" w:oddHBand="0" w:evenHBand="0" w:firstRowFirstColumn="0" w:firstRowLastColumn="0" w:lastRowFirstColumn="0" w:lastRowLastColumn="0"/>
            <w:tcW w:w="1729" w:type="dxa"/>
          </w:tcPr>
          <w:p w14:paraId="5884C9C6" w14:textId="2894F443"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Supported</w:t>
            </w:r>
          </w:p>
        </w:tc>
        <w:tc>
          <w:tcPr>
            <w:cnfStyle w:val="000010000000" w:firstRow="0" w:lastRow="0" w:firstColumn="0" w:lastColumn="0" w:oddVBand="1" w:evenVBand="0" w:oddHBand="0" w:evenHBand="0" w:firstRowFirstColumn="0" w:firstRowLastColumn="0" w:lastRowFirstColumn="0" w:lastRowLastColumn="0"/>
            <w:tcW w:w="2548" w:type="dxa"/>
          </w:tcPr>
          <w:p w14:paraId="793DA8AA"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XXXX masked card format, Statement Period layout</w:t>
            </w:r>
          </w:p>
        </w:tc>
      </w:tr>
      <w:tr w:rsidR="009B06E6" w:rsidRPr="00710F8A" w14:paraId="50A04E60" w14:textId="77777777" w:rsidTr="009B06E6">
        <w:tc>
          <w:tcPr>
            <w:cnfStyle w:val="000010000000" w:firstRow="0" w:lastRow="0" w:firstColumn="0" w:lastColumn="0" w:oddVBand="1" w:evenVBand="0" w:oddHBand="0" w:evenHBand="0" w:firstRowFirstColumn="0" w:firstRowLastColumn="0" w:lastRowFirstColumn="0" w:lastRowLastColumn="0"/>
            <w:tcW w:w="1092" w:type="dxa"/>
          </w:tcPr>
          <w:p w14:paraId="3BC67539"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AMEX</w:t>
            </w:r>
          </w:p>
        </w:tc>
        <w:tc>
          <w:tcPr>
            <w:cnfStyle w:val="000001000000" w:firstRow="0" w:lastRow="0" w:firstColumn="0" w:lastColumn="0" w:oddVBand="0" w:evenVBand="1" w:oddHBand="0" w:evenHBand="0" w:firstRowFirstColumn="0" w:firstRowLastColumn="0" w:lastRowFirstColumn="0" w:lastRowLastColumn="0"/>
            <w:tcW w:w="1456" w:type="dxa"/>
          </w:tcPr>
          <w:p w14:paraId="478BD6C9"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Credit Card Company</w:t>
            </w:r>
          </w:p>
        </w:tc>
        <w:tc>
          <w:tcPr>
            <w:cnfStyle w:val="000010000000" w:firstRow="0" w:lastRow="0" w:firstColumn="0" w:lastColumn="0" w:oddVBand="1" w:evenVBand="0" w:oddHBand="0" w:evenHBand="0" w:firstRowFirstColumn="0" w:firstRowLastColumn="0" w:lastRowFirstColumn="0" w:lastRowLastColumn="0"/>
            <w:tcW w:w="1092" w:type="dxa"/>
          </w:tcPr>
          <w:p w14:paraId="5ABBB70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Global</w:t>
            </w:r>
          </w:p>
        </w:tc>
        <w:tc>
          <w:tcPr>
            <w:cnfStyle w:val="000001000000" w:firstRow="0" w:lastRow="0" w:firstColumn="0" w:lastColumn="0" w:oddVBand="0" w:evenVBand="1" w:oddHBand="0" w:evenHBand="0" w:firstRowFirstColumn="0" w:firstRowLastColumn="0" w:lastRowFirstColumn="0" w:lastRowLastColumn="0"/>
            <w:tcW w:w="1729" w:type="dxa"/>
          </w:tcPr>
          <w:p w14:paraId="6E68A755" w14:textId="756B80D5"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Supported</w:t>
            </w:r>
          </w:p>
        </w:tc>
        <w:tc>
          <w:tcPr>
            <w:cnfStyle w:val="000010000000" w:firstRow="0" w:lastRow="0" w:firstColumn="0" w:lastColumn="0" w:oddVBand="1" w:evenVBand="0" w:oddHBand="0" w:evenHBand="0" w:firstRowFirstColumn="0" w:firstRowLastColumn="0" w:lastRowFirstColumn="0" w:lastRowLastColumn="0"/>
            <w:tcW w:w="2548" w:type="dxa"/>
          </w:tcPr>
          <w:p w14:paraId="3FE85F64"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Standard American Express statement format</w:t>
            </w:r>
          </w:p>
        </w:tc>
      </w:tr>
      <w:tr w:rsidR="009B06E6" w:rsidRPr="00710F8A" w14:paraId="2F99975B" w14:textId="77777777" w:rsidTr="009B06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2" w:type="dxa"/>
          </w:tcPr>
          <w:p w14:paraId="30EBAAEB" w14:textId="77777777" w:rsidR="00A07190" w:rsidRPr="00710F8A" w:rsidRDefault="00000000" w:rsidP="009B06E6">
            <w:pPr>
              <w:pStyle w:val="Compact"/>
              <w:jc w:val="both"/>
              <w:rPr>
                <w:rFonts w:ascii="Times New Roman" w:hAnsi="Times New Roman" w:cs="Times New Roman"/>
                <w:color w:val="000000" w:themeColor="text1"/>
              </w:rPr>
            </w:pPr>
            <w:proofErr w:type="spellStart"/>
            <w:r w:rsidRPr="00710F8A">
              <w:rPr>
                <w:rFonts w:ascii="Times New Roman" w:hAnsi="Times New Roman" w:cs="Times New Roman"/>
                <w:b/>
                <w:bCs/>
                <w:color w:val="000000" w:themeColor="text1"/>
              </w:rPr>
              <w:t>FirstCitizens</w:t>
            </w:r>
            <w:proofErr w:type="spellEnd"/>
          </w:p>
        </w:tc>
        <w:tc>
          <w:tcPr>
            <w:cnfStyle w:val="000001000000" w:firstRow="0" w:lastRow="0" w:firstColumn="0" w:lastColumn="0" w:oddVBand="0" w:evenVBand="1" w:oddHBand="0" w:evenHBand="0" w:firstRowFirstColumn="0" w:firstRowLastColumn="0" w:lastRowFirstColumn="0" w:lastRowLastColumn="0"/>
            <w:tcW w:w="1456" w:type="dxa"/>
          </w:tcPr>
          <w:p w14:paraId="5C08BE61"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Bank</w:t>
            </w:r>
          </w:p>
        </w:tc>
        <w:tc>
          <w:tcPr>
            <w:cnfStyle w:val="000010000000" w:firstRow="0" w:lastRow="0" w:firstColumn="0" w:lastColumn="0" w:oddVBand="1" w:evenVBand="0" w:oddHBand="0" w:evenHBand="0" w:firstRowFirstColumn="0" w:firstRowLastColumn="0" w:lastRowFirstColumn="0" w:lastRowLastColumn="0"/>
            <w:tcW w:w="1092" w:type="dxa"/>
          </w:tcPr>
          <w:p w14:paraId="567C743E"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United States</w:t>
            </w:r>
          </w:p>
        </w:tc>
        <w:tc>
          <w:tcPr>
            <w:cnfStyle w:val="000001000000" w:firstRow="0" w:lastRow="0" w:firstColumn="0" w:lastColumn="0" w:oddVBand="0" w:evenVBand="1" w:oddHBand="0" w:evenHBand="0" w:firstRowFirstColumn="0" w:firstRowLastColumn="0" w:lastRowFirstColumn="0" w:lastRowLastColumn="0"/>
            <w:tcW w:w="1729" w:type="dxa"/>
          </w:tcPr>
          <w:p w14:paraId="7F8442AA" w14:textId="383A6B0F"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Supported</w:t>
            </w:r>
          </w:p>
        </w:tc>
        <w:tc>
          <w:tcPr>
            <w:cnfStyle w:val="000010000000" w:firstRow="0" w:lastRow="0" w:firstColumn="0" w:lastColumn="0" w:oddVBand="1" w:evenVBand="0" w:oddHBand="0" w:evenHBand="0" w:firstRowFirstColumn="0" w:firstRowLastColumn="0" w:lastRowFirstColumn="0" w:lastRowLastColumn="0"/>
            <w:tcW w:w="2548" w:type="dxa"/>
          </w:tcPr>
          <w:p w14:paraId="0FFE734A"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Billing Cycle format, USD currency</w:t>
            </w:r>
          </w:p>
        </w:tc>
      </w:tr>
    </w:tbl>
    <w:p w14:paraId="4B5DB15C" w14:textId="4EDBE556" w:rsidR="00A07190" w:rsidRPr="00710F8A" w:rsidRDefault="00000000" w:rsidP="009C5B12">
      <w:pPr>
        <w:pStyle w:val="BodyTex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Total Supported Issuers:</w:t>
      </w:r>
      <w:r w:rsidRPr="00710F8A">
        <w:rPr>
          <w:rFonts w:ascii="Times New Roman" w:hAnsi="Times New Roman" w:cs="Times New Roman"/>
          <w:color w:val="000000" w:themeColor="text1"/>
        </w:rPr>
        <w:t xml:space="preserve"> 5</w:t>
      </w:r>
    </w:p>
    <w:p w14:paraId="4C6916E5" w14:textId="77777777" w:rsidR="009C5B12" w:rsidRPr="00710F8A" w:rsidRDefault="009C5B12">
      <w:pPr>
        <w:rPr>
          <w:rFonts w:ascii="Times New Roman" w:eastAsiaTheme="majorEastAsia" w:hAnsi="Times New Roman" w:cs="Times New Roman"/>
          <w:b/>
          <w:bCs/>
          <w:color w:val="000000" w:themeColor="text1"/>
        </w:rPr>
      </w:pPr>
      <w:bookmarkStart w:id="3" w:name="data-field-table"/>
      <w:bookmarkEnd w:id="2"/>
      <w:r w:rsidRPr="00710F8A">
        <w:rPr>
          <w:rFonts w:ascii="Times New Roman" w:hAnsi="Times New Roman" w:cs="Times New Roman"/>
          <w:color w:val="000000" w:themeColor="text1"/>
        </w:rPr>
        <w:br w:type="page"/>
      </w:r>
    </w:p>
    <w:p w14:paraId="646A029E" w14:textId="779C90BA" w:rsidR="00A07190" w:rsidRPr="00710F8A" w:rsidRDefault="00000000" w:rsidP="009B06E6">
      <w:pPr>
        <w:pStyle w:val="Heading1"/>
        <w:jc w:val="both"/>
        <w:rPr>
          <w:rFonts w:ascii="Times New Roman" w:hAnsi="Times New Roman" w:cs="Times New Roman"/>
          <w:color w:val="000000" w:themeColor="text1"/>
          <w:sz w:val="28"/>
          <w:szCs w:val="28"/>
        </w:rPr>
      </w:pPr>
      <w:r w:rsidRPr="00710F8A">
        <w:rPr>
          <w:rFonts w:ascii="Times New Roman" w:hAnsi="Times New Roman" w:cs="Times New Roman"/>
          <w:color w:val="000000" w:themeColor="text1"/>
          <w:sz w:val="28"/>
          <w:szCs w:val="28"/>
        </w:rPr>
        <w:lastRenderedPageBreak/>
        <w:t>DATA FIELD TABLE</w:t>
      </w:r>
    </w:p>
    <w:tbl>
      <w:tblPr>
        <w:tblStyle w:val="PlainTable2"/>
        <w:tblW w:w="5000" w:type="pct"/>
        <w:tblLayout w:type="fixed"/>
        <w:tblLook w:val="0020" w:firstRow="1" w:lastRow="0" w:firstColumn="0" w:lastColumn="0" w:noHBand="0" w:noVBand="0"/>
      </w:tblPr>
      <w:tblGrid>
        <w:gridCol w:w="1474"/>
        <w:gridCol w:w="1473"/>
        <w:gridCol w:w="1289"/>
        <w:gridCol w:w="1565"/>
        <w:gridCol w:w="1749"/>
        <w:gridCol w:w="2026"/>
      </w:tblGrid>
      <w:tr w:rsidR="009B06E6" w:rsidRPr="00710F8A" w14:paraId="7D925E43" w14:textId="77777777" w:rsidTr="009B06E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8" w:type="dxa"/>
          </w:tcPr>
          <w:p w14:paraId="51F34C53"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Field Name</w:t>
            </w:r>
          </w:p>
        </w:tc>
        <w:tc>
          <w:tcPr>
            <w:cnfStyle w:val="000001000000" w:firstRow="0" w:lastRow="0" w:firstColumn="0" w:lastColumn="0" w:oddVBand="0" w:evenVBand="1" w:oddHBand="0" w:evenHBand="0" w:firstRowFirstColumn="0" w:firstRowLastColumn="0" w:lastRowFirstColumn="0" w:lastRowLastColumn="0"/>
            <w:tcW w:w="1218" w:type="dxa"/>
          </w:tcPr>
          <w:p w14:paraId="7DC3FFB0"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Field Type</w:t>
            </w:r>
          </w:p>
        </w:tc>
        <w:tc>
          <w:tcPr>
            <w:cnfStyle w:val="000010000000" w:firstRow="0" w:lastRow="0" w:firstColumn="0" w:lastColumn="0" w:oddVBand="1" w:evenVBand="0" w:oddHBand="0" w:evenHBand="0" w:firstRowFirstColumn="0" w:firstRowLastColumn="0" w:lastRowFirstColumn="0" w:lastRowLastColumn="0"/>
            <w:tcW w:w="1066" w:type="dxa"/>
          </w:tcPr>
          <w:p w14:paraId="63350696"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Required</w:t>
            </w:r>
          </w:p>
        </w:tc>
        <w:tc>
          <w:tcPr>
            <w:cnfStyle w:val="000001000000" w:firstRow="0" w:lastRow="0" w:firstColumn="0" w:lastColumn="0" w:oddVBand="0" w:evenVBand="1" w:oddHBand="0" w:evenHBand="0" w:firstRowFirstColumn="0" w:firstRowLastColumn="0" w:lastRowFirstColumn="0" w:lastRowLastColumn="0"/>
            <w:tcW w:w="1294" w:type="dxa"/>
          </w:tcPr>
          <w:p w14:paraId="044A87E1"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Data Format</w:t>
            </w:r>
          </w:p>
        </w:tc>
        <w:tc>
          <w:tcPr>
            <w:cnfStyle w:val="000010000000" w:firstRow="0" w:lastRow="0" w:firstColumn="0" w:lastColumn="0" w:oddVBand="1" w:evenVBand="0" w:oddHBand="0" w:evenHBand="0" w:firstRowFirstColumn="0" w:firstRowLastColumn="0" w:lastRowFirstColumn="0" w:lastRowLastColumn="0"/>
            <w:tcW w:w="1446" w:type="dxa"/>
          </w:tcPr>
          <w:p w14:paraId="3A4B7EFB"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Example Value</w:t>
            </w:r>
          </w:p>
        </w:tc>
        <w:tc>
          <w:tcPr>
            <w:cnfStyle w:val="000001000000" w:firstRow="0" w:lastRow="0" w:firstColumn="0" w:lastColumn="0" w:oddVBand="0" w:evenVBand="1" w:oddHBand="0" w:evenHBand="0" w:firstRowFirstColumn="0" w:firstRowLastColumn="0" w:lastRowFirstColumn="0" w:lastRowLastColumn="0"/>
            <w:tcW w:w="1675" w:type="dxa"/>
          </w:tcPr>
          <w:p w14:paraId="7D533E85"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Extraction Method</w:t>
            </w:r>
          </w:p>
        </w:tc>
      </w:tr>
      <w:tr w:rsidR="009B06E6" w:rsidRPr="00710F8A" w14:paraId="1869C3BE" w14:textId="77777777" w:rsidTr="009B06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8" w:type="dxa"/>
          </w:tcPr>
          <w:p w14:paraId="73372A8C"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Card Last 4 Digits</w:t>
            </w:r>
          </w:p>
        </w:tc>
        <w:tc>
          <w:tcPr>
            <w:cnfStyle w:val="000001000000" w:firstRow="0" w:lastRow="0" w:firstColumn="0" w:lastColumn="0" w:oddVBand="0" w:evenVBand="1" w:oddHBand="0" w:evenHBand="0" w:firstRowFirstColumn="0" w:firstRowLastColumn="0" w:lastRowFirstColumn="0" w:lastRowLastColumn="0"/>
            <w:tcW w:w="1218" w:type="dxa"/>
          </w:tcPr>
          <w:p w14:paraId="26682097"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String</w:t>
            </w:r>
          </w:p>
        </w:tc>
        <w:tc>
          <w:tcPr>
            <w:cnfStyle w:val="000010000000" w:firstRow="0" w:lastRow="0" w:firstColumn="0" w:lastColumn="0" w:oddVBand="1" w:evenVBand="0" w:oddHBand="0" w:evenHBand="0" w:firstRowFirstColumn="0" w:firstRowLastColumn="0" w:lastRowFirstColumn="0" w:lastRowLastColumn="0"/>
            <w:tcW w:w="1066" w:type="dxa"/>
          </w:tcPr>
          <w:p w14:paraId="03B711B5" w14:textId="1800412B"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Required</w:t>
            </w:r>
          </w:p>
        </w:tc>
        <w:tc>
          <w:tcPr>
            <w:cnfStyle w:val="000001000000" w:firstRow="0" w:lastRow="0" w:firstColumn="0" w:lastColumn="0" w:oddVBand="0" w:evenVBand="1" w:oddHBand="0" w:evenHBand="0" w:firstRowFirstColumn="0" w:firstRowLastColumn="0" w:lastRowFirstColumn="0" w:lastRowLastColumn="0"/>
            <w:tcW w:w="1294" w:type="dxa"/>
          </w:tcPr>
          <w:p w14:paraId="212EFFDB"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4-digit number</w:t>
            </w:r>
          </w:p>
        </w:tc>
        <w:tc>
          <w:tcPr>
            <w:cnfStyle w:val="000010000000" w:firstRow="0" w:lastRow="0" w:firstColumn="0" w:lastColumn="0" w:oddVBand="1" w:evenVBand="0" w:oddHBand="0" w:evenHBand="0" w:firstRowFirstColumn="0" w:firstRowLastColumn="0" w:lastRowFirstColumn="0" w:lastRowLastColumn="0"/>
            <w:tcW w:w="1446" w:type="dxa"/>
          </w:tcPr>
          <w:p w14:paraId="231A49C1"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“7278”</w:t>
            </w:r>
          </w:p>
        </w:tc>
        <w:tc>
          <w:tcPr>
            <w:cnfStyle w:val="000001000000" w:firstRow="0" w:lastRow="0" w:firstColumn="0" w:lastColumn="0" w:oddVBand="0" w:evenVBand="1" w:oddHBand="0" w:evenHBand="0" w:firstRowFirstColumn="0" w:firstRowLastColumn="0" w:lastRowFirstColumn="0" w:lastRowLastColumn="0"/>
            <w:tcW w:w="1675" w:type="dxa"/>
          </w:tcPr>
          <w:p w14:paraId="428C38BF"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Regex patterns with context keywords, false positive filtering</w:t>
            </w:r>
          </w:p>
        </w:tc>
      </w:tr>
      <w:tr w:rsidR="009B06E6" w:rsidRPr="00710F8A" w14:paraId="2229A702" w14:textId="77777777" w:rsidTr="009B06E6">
        <w:tc>
          <w:tcPr>
            <w:cnfStyle w:val="000010000000" w:firstRow="0" w:lastRow="0" w:firstColumn="0" w:lastColumn="0" w:oddVBand="1" w:evenVBand="0" w:oddHBand="0" w:evenHBand="0" w:firstRowFirstColumn="0" w:firstRowLastColumn="0" w:lastRowFirstColumn="0" w:lastRowLastColumn="0"/>
            <w:tcW w:w="1218" w:type="dxa"/>
          </w:tcPr>
          <w:p w14:paraId="2C870706"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Billing Period Start</w:t>
            </w:r>
          </w:p>
        </w:tc>
        <w:tc>
          <w:tcPr>
            <w:cnfStyle w:val="000001000000" w:firstRow="0" w:lastRow="0" w:firstColumn="0" w:lastColumn="0" w:oddVBand="0" w:evenVBand="1" w:oddHBand="0" w:evenHBand="0" w:firstRowFirstColumn="0" w:firstRowLastColumn="0" w:lastRowFirstColumn="0" w:lastRowLastColumn="0"/>
            <w:tcW w:w="1218" w:type="dxa"/>
          </w:tcPr>
          <w:p w14:paraId="53253118"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1066" w:type="dxa"/>
          </w:tcPr>
          <w:p w14:paraId="54D93D3C" w14:textId="5CD0DC8C"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Required</w:t>
            </w:r>
          </w:p>
        </w:tc>
        <w:tc>
          <w:tcPr>
            <w:cnfStyle w:val="000001000000" w:firstRow="0" w:lastRow="0" w:firstColumn="0" w:lastColumn="0" w:oddVBand="0" w:evenVBand="1" w:oddHBand="0" w:evenHBand="0" w:firstRowFirstColumn="0" w:firstRowLastColumn="0" w:lastRowFirstColumn="0" w:lastRowLastColumn="0"/>
            <w:tcW w:w="1294" w:type="dxa"/>
          </w:tcPr>
          <w:p w14:paraId="2D0F06A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YYYY-MM-DD</w:t>
            </w:r>
          </w:p>
        </w:tc>
        <w:tc>
          <w:tcPr>
            <w:cnfStyle w:val="000010000000" w:firstRow="0" w:lastRow="0" w:firstColumn="0" w:lastColumn="0" w:oddVBand="1" w:evenVBand="0" w:oddHBand="0" w:evenHBand="0" w:firstRowFirstColumn="0" w:firstRowLastColumn="0" w:lastRowFirstColumn="0" w:lastRowLastColumn="0"/>
            <w:tcW w:w="1446" w:type="dxa"/>
          </w:tcPr>
          <w:p w14:paraId="347E348B"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“2025-08-14”</w:t>
            </w:r>
          </w:p>
        </w:tc>
        <w:tc>
          <w:tcPr>
            <w:cnfStyle w:val="000001000000" w:firstRow="0" w:lastRow="0" w:firstColumn="0" w:lastColumn="0" w:oddVBand="0" w:evenVBand="1" w:oddHBand="0" w:evenHBand="0" w:firstRowFirstColumn="0" w:firstRowLastColumn="0" w:lastRowFirstColumn="0" w:lastRowLastColumn="0"/>
            <w:tcW w:w="1675" w:type="dxa"/>
          </w:tcPr>
          <w:p w14:paraId="68B27B1B"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Date pattern matching, normalized via python-dateutil</w:t>
            </w:r>
          </w:p>
        </w:tc>
      </w:tr>
      <w:tr w:rsidR="009B06E6" w:rsidRPr="00710F8A" w14:paraId="3B391755" w14:textId="77777777" w:rsidTr="009B06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8" w:type="dxa"/>
          </w:tcPr>
          <w:p w14:paraId="32F8B64B"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Billing Period End</w:t>
            </w:r>
          </w:p>
        </w:tc>
        <w:tc>
          <w:tcPr>
            <w:cnfStyle w:val="000001000000" w:firstRow="0" w:lastRow="0" w:firstColumn="0" w:lastColumn="0" w:oddVBand="0" w:evenVBand="1" w:oddHBand="0" w:evenHBand="0" w:firstRowFirstColumn="0" w:firstRowLastColumn="0" w:lastRowFirstColumn="0" w:lastRowLastColumn="0"/>
            <w:tcW w:w="1218" w:type="dxa"/>
          </w:tcPr>
          <w:p w14:paraId="0A76286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1066" w:type="dxa"/>
          </w:tcPr>
          <w:p w14:paraId="71F99484" w14:textId="53A9BD1A"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Required</w:t>
            </w:r>
          </w:p>
        </w:tc>
        <w:tc>
          <w:tcPr>
            <w:cnfStyle w:val="000001000000" w:firstRow="0" w:lastRow="0" w:firstColumn="0" w:lastColumn="0" w:oddVBand="0" w:evenVBand="1" w:oddHBand="0" w:evenHBand="0" w:firstRowFirstColumn="0" w:firstRowLastColumn="0" w:lastRowFirstColumn="0" w:lastRowLastColumn="0"/>
            <w:tcW w:w="1294" w:type="dxa"/>
          </w:tcPr>
          <w:p w14:paraId="0EC391A1"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YYYY-MM-DD</w:t>
            </w:r>
          </w:p>
        </w:tc>
        <w:tc>
          <w:tcPr>
            <w:cnfStyle w:val="000010000000" w:firstRow="0" w:lastRow="0" w:firstColumn="0" w:lastColumn="0" w:oddVBand="1" w:evenVBand="0" w:oddHBand="0" w:evenHBand="0" w:firstRowFirstColumn="0" w:firstRowLastColumn="0" w:lastRowFirstColumn="0" w:lastRowLastColumn="0"/>
            <w:tcW w:w="1446" w:type="dxa"/>
          </w:tcPr>
          <w:p w14:paraId="7FB682C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“2025-09-13”</w:t>
            </w:r>
          </w:p>
        </w:tc>
        <w:tc>
          <w:tcPr>
            <w:cnfStyle w:val="000001000000" w:firstRow="0" w:lastRow="0" w:firstColumn="0" w:lastColumn="0" w:oddVBand="0" w:evenVBand="1" w:oddHBand="0" w:evenHBand="0" w:firstRowFirstColumn="0" w:firstRowLastColumn="0" w:lastRowFirstColumn="0" w:lastRowLastColumn="0"/>
            <w:tcW w:w="1675" w:type="dxa"/>
          </w:tcPr>
          <w:p w14:paraId="17C3524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Date pattern matching, normalized via python-dateutil</w:t>
            </w:r>
          </w:p>
        </w:tc>
      </w:tr>
      <w:tr w:rsidR="009B06E6" w:rsidRPr="00710F8A" w14:paraId="1C657A8A" w14:textId="77777777" w:rsidTr="009B06E6">
        <w:tc>
          <w:tcPr>
            <w:cnfStyle w:val="000010000000" w:firstRow="0" w:lastRow="0" w:firstColumn="0" w:lastColumn="0" w:oddVBand="1" w:evenVBand="0" w:oddHBand="0" w:evenHBand="0" w:firstRowFirstColumn="0" w:firstRowLastColumn="0" w:lastRowFirstColumn="0" w:lastRowLastColumn="0"/>
            <w:tcW w:w="1218" w:type="dxa"/>
          </w:tcPr>
          <w:p w14:paraId="1840FD09"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Payment Due Date</w:t>
            </w:r>
          </w:p>
        </w:tc>
        <w:tc>
          <w:tcPr>
            <w:cnfStyle w:val="000001000000" w:firstRow="0" w:lastRow="0" w:firstColumn="0" w:lastColumn="0" w:oddVBand="0" w:evenVBand="1" w:oddHBand="0" w:evenHBand="0" w:firstRowFirstColumn="0" w:firstRowLastColumn="0" w:lastRowFirstColumn="0" w:lastRowLastColumn="0"/>
            <w:tcW w:w="1218" w:type="dxa"/>
          </w:tcPr>
          <w:p w14:paraId="1037FDFE"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Date</w:t>
            </w:r>
          </w:p>
        </w:tc>
        <w:tc>
          <w:tcPr>
            <w:cnfStyle w:val="000010000000" w:firstRow="0" w:lastRow="0" w:firstColumn="0" w:lastColumn="0" w:oddVBand="1" w:evenVBand="0" w:oddHBand="0" w:evenHBand="0" w:firstRowFirstColumn="0" w:firstRowLastColumn="0" w:lastRowFirstColumn="0" w:lastRowLastColumn="0"/>
            <w:tcW w:w="1066" w:type="dxa"/>
          </w:tcPr>
          <w:p w14:paraId="4F17A3D5" w14:textId="31C86AE8"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Required</w:t>
            </w:r>
          </w:p>
        </w:tc>
        <w:tc>
          <w:tcPr>
            <w:cnfStyle w:val="000001000000" w:firstRow="0" w:lastRow="0" w:firstColumn="0" w:lastColumn="0" w:oddVBand="0" w:evenVBand="1" w:oddHBand="0" w:evenHBand="0" w:firstRowFirstColumn="0" w:firstRowLastColumn="0" w:lastRowFirstColumn="0" w:lastRowLastColumn="0"/>
            <w:tcW w:w="1294" w:type="dxa"/>
          </w:tcPr>
          <w:p w14:paraId="58F502CF"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YYYY-MM-DD</w:t>
            </w:r>
          </w:p>
        </w:tc>
        <w:tc>
          <w:tcPr>
            <w:cnfStyle w:val="000010000000" w:firstRow="0" w:lastRow="0" w:firstColumn="0" w:lastColumn="0" w:oddVBand="1" w:evenVBand="0" w:oddHBand="0" w:evenHBand="0" w:firstRowFirstColumn="0" w:firstRowLastColumn="0" w:lastRowFirstColumn="0" w:lastRowLastColumn="0"/>
            <w:tcW w:w="1446" w:type="dxa"/>
          </w:tcPr>
          <w:p w14:paraId="4A79B6A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“2025-10-03”</w:t>
            </w:r>
          </w:p>
        </w:tc>
        <w:tc>
          <w:tcPr>
            <w:cnfStyle w:val="000001000000" w:firstRow="0" w:lastRow="0" w:firstColumn="0" w:lastColumn="0" w:oddVBand="0" w:evenVBand="1" w:oddHBand="0" w:evenHBand="0" w:firstRowFirstColumn="0" w:firstRowLastColumn="0" w:lastRowFirstColumn="0" w:lastRowLastColumn="0"/>
            <w:tcW w:w="1675" w:type="dxa"/>
          </w:tcPr>
          <w:p w14:paraId="3A605339"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Pattern matching “Payment Due Date”, date normalization</w:t>
            </w:r>
          </w:p>
        </w:tc>
      </w:tr>
      <w:tr w:rsidR="009B06E6" w:rsidRPr="00710F8A" w14:paraId="34B02D16" w14:textId="77777777" w:rsidTr="009B06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8" w:type="dxa"/>
          </w:tcPr>
          <w:p w14:paraId="7C1AC8E3"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New Balance</w:t>
            </w:r>
          </w:p>
        </w:tc>
        <w:tc>
          <w:tcPr>
            <w:cnfStyle w:val="000001000000" w:firstRow="0" w:lastRow="0" w:firstColumn="0" w:lastColumn="0" w:oddVBand="0" w:evenVBand="1" w:oddHBand="0" w:evenHBand="0" w:firstRowFirstColumn="0" w:firstRowLastColumn="0" w:lastRowFirstColumn="0" w:lastRowLastColumn="0"/>
            <w:tcW w:w="1218" w:type="dxa"/>
          </w:tcPr>
          <w:p w14:paraId="2A99949E"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Float</w:t>
            </w:r>
          </w:p>
        </w:tc>
        <w:tc>
          <w:tcPr>
            <w:cnfStyle w:val="000010000000" w:firstRow="0" w:lastRow="0" w:firstColumn="0" w:lastColumn="0" w:oddVBand="1" w:evenVBand="0" w:oddHBand="0" w:evenHBand="0" w:firstRowFirstColumn="0" w:firstRowLastColumn="0" w:lastRowFirstColumn="0" w:lastRowLastColumn="0"/>
            <w:tcW w:w="1066" w:type="dxa"/>
          </w:tcPr>
          <w:p w14:paraId="60E73774" w14:textId="70BA25AA"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Required</w:t>
            </w:r>
          </w:p>
        </w:tc>
        <w:tc>
          <w:tcPr>
            <w:cnfStyle w:val="000001000000" w:firstRow="0" w:lastRow="0" w:firstColumn="0" w:lastColumn="0" w:oddVBand="0" w:evenVBand="1" w:oddHBand="0" w:evenHBand="0" w:firstRowFirstColumn="0" w:firstRowLastColumn="0" w:lastRowFirstColumn="0" w:lastRowLastColumn="0"/>
            <w:tcW w:w="1294" w:type="dxa"/>
          </w:tcPr>
          <w:p w14:paraId="214756FA"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Numeric value</w:t>
            </w:r>
          </w:p>
        </w:tc>
        <w:tc>
          <w:tcPr>
            <w:cnfStyle w:val="000010000000" w:firstRow="0" w:lastRow="0" w:firstColumn="0" w:lastColumn="0" w:oddVBand="1" w:evenVBand="0" w:oddHBand="0" w:evenHBand="0" w:firstRowFirstColumn="0" w:firstRowLastColumn="0" w:lastRowFirstColumn="0" w:lastRowLastColumn="0"/>
            <w:tcW w:w="1446" w:type="dxa"/>
          </w:tcPr>
          <w:p w14:paraId="48E075A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25000.0</w:t>
            </w:r>
          </w:p>
        </w:tc>
        <w:tc>
          <w:tcPr>
            <w:cnfStyle w:val="000001000000" w:firstRow="0" w:lastRow="0" w:firstColumn="0" w:lastColumn="0" w:oddVBand="0" w:evenVBand="1" w:oddHBand="0" w:evenHBand="0" w:firstRowFirstColumn="0" w:firstRowLastColumn="0" w:lastRowFirstColumn="0" w:lastRowLastColumn="0"/>
            <w:tcW w:w="1675" w:type="dxa"/>
          </w:tcPr>
          <w:p w14:paraId="660DA64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Currency pattern matching, symbol/comma removal, float conversion</w:t>
            </w:r>
          </w:p>
        </w:tc>
      </w:tr>
      <w:tr w:rsidR="009B06E6" w:rsidRPr="00710F8A" w14:paraId="10BC4E27" w14:textId="77777777" w:rsidTr="009B06E6">
        <w:tc>
          <w:tcPr>
            <w:cnfStyle w:val="000010000000" w:firstRow="0" w:lastRow="0" w:firstColumn="0" w:lastColumn="0" w:oddVBand="1" w:evenVBand="0" w:oddHBand="0" w:evenHBand="0" w:firstRowFirstColumn="0" w:firstRowLastColumn="0" w:lastRowFirstColumn="0" w:lastRowLastColumn="0"/>
            <w:tcW w:w="1218" w:type="dxa"/>
          </w:tcPr>
          <w:p w14:paraId="65BE692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Minimum Amount Due</w:t>
            </w:r>
          </w:p>
        </w:tc>
        <w:tc>
          <w:tcPr>
            <w:cnfStyle w:val="000001000000" w:firstRow="0" w:lastRow="0" w:firstColumn="0" w:lastColumn="0" w:oddVBand="0" w:evenVBand="1" w:oddHBand="0" w:evenHBand="0" w:firstRowFirstColumn="0" w:firstRowLastColumn="0" w:lastRowFirstColumn="0" w:lastRowLastColumn="0"/>
            <w:tcW w:w="1218" w:type="dxa"/>
          </w:tcPr>
          <w:p w14:paraId="54D5C86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Float</w:t>
            </w:r>
          </w:p>
        </w:tc>
        <w:tc>
          <w:tcPr>
            <w:cnfStyle w:val="000010000000" w:firstRow="0" w:lastRow="0" w:firstColumn="0" w:lastColumn="0" w:oddVBand="1" w:evenVBand="0" w:oddHBand="0" w:evenHBand="0" w:firstRowFirstColumn="0" w:firstRowLastColumn="0" w:lastRowFirstColumn="0" w:lastRowLastColumn="0"/>
            <w:tcW w:w="1066" w:type="dxa"/>
          </w:tcPr>
          <w:p w14:paraId="2876D8B6"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Segoe UI Emoji" w:hAnsi="Segoe UI Emoji" w:cs="Segoe UI Emoji"/>
                <w:color w:val="000000" w:themeColor="text1"/>
              </w:rPr>
              <w:t>⭐</w:t>
            </w:r>
            <w:r w:rsidRPr="00710F8A">
              <w:rPr>
                <w:rFonts w:ascii="Times New Roman" w:hAnsi="Times New Roman" w:cs="Times New Roman"/>
                <w:color w:val="000000" w:themeColor="text1"/>
              </w:rPr>
              <w:t xml:space="preserve"> Bonus</w:t>
            </w:r>
          </w:p>
        </w:tc>
        <w:tc>
          <w:tcPr>
            <w:cnfStyle w:val="000001000000" w:firstRow="0" w:lastRow="0" w:firstColumn="0" w:lastColumn="0" w:oddVBand="0" w:evenVBand="1" w:oddHBand="0" w:evenHBand="0" w:firstRowFirstColumn="0" w:firstRowLastColumn="0" w:lastRowFirstColumn="0" w:lastRowLastColumn="0"/>
            <w:tcW w:w="1294" w:type="dxa"/>
          </w:tcPr>
          <w:p w14:paraId="72649328"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Numeric value</w:t>
            </w:r>
          </w:p>
        </w:tc>
        <w:tc>
          <w:tcPr>
            <w:cnfStyle w:val="000010000000" w:firstRow="0" w:lastRow="0" w:firstColumn="0" w:lastColumn="0" w:oddVBand="1" w:evenVBand="0" w:oddHBand="0" w:evenHBand="0" w:firstRowFirstColumn="0" w:firstRowLastColumn="0" w:lastRowFirstColumn="0" w:lastRowLastColumn="0"/>
            <w:tcW w:w="1446" w:type="dxa"/>
          </w:tcPr>
          <w:p w14:paraId="176E6BF5"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5000.0</w:t>
            </w:r>
          </w:p>
        </w:tc>
        <w:tc>
          <w:tcPr>
            <w:cnfStyle w:val="000001000000" w:firstRow="0" w:lastRow="0" w:firstColumn="0" w:lastColumn="0" w:oddVBand="0" w:evenVBand="1" w:oddHBand="0" w:evenHBand="0" w:firstRowFirstColumn="0" w:firstRowLastColumn="0" w:lastRowFirstColumn="0" w:lastRowLastColumn="0"/>
            <w:tcW w:w="1675" w:type="dxa"/>
          </w:tcPr>
          <w:p w14:paraId="02304463"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Pattern matching “Minimum Amount Due”, currency normalization</w:t>
            </w:r>
          </w:p>
        </w:tc>
      </w:tr>
      <w:tr w:rsidR="009B06E6" w:rsidRPr="00710F8A" w14:paraId="5720F4CE" w14:textId="77777777" w:rsidTr="009B06E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18" w:type="dxa"/>
          </w:tcPr>
          <w:p w14:paraId="230EECE3"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b/>
                <w:bCs/>
                <w:color w:val="000000" w:themeColor="text1"/>
              </w:rPr>
              <w:t>Confidence Score</w:t>
            </w:r>
          </w:p>
        </w:tc>
        <w:tc>
          <w:tcPr>
            <w:cnfStyle w:val="000001000000" w:firstRow="0" w:lastRow="0" w:firstColumn="0" w:lastColumn="0" w:oddVBand="0" w:evenVBand="1" w:oddHBand="0" w:evenHBand="0" w:firstRowFirstColumn="0" w:firstRowLastColumn="0" w:lastRowFirstColumn="0" w:lastRowLastColumn="0"/>
            <w:tcW w:w="1218" w:type="dxa"/>
          </w:tcPr>
          <w:p w14:paraId="0EA28C38"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Float</w:t>
            </w:r>
          </w:p>
        </w:tc>
        <w:tc>
          <w:tcPr>
            <w:cnfStyle w:val="000010000000" w:firstRow="0" w:lastRow="0" w:firstColumn="0" w:lastColumn="0" w:oddVBand="1" w:evenVBand="0" w:oddHBand="0" w:evenHBand="0" w:firstRowFirstColumn="0" w:firstRowLastColumn="0" w:lastRowFirstColumn="0" w:lastRowLastColumn="0"/>
            <w:tcW w:w="1066" w:type="dxa"/>
          </w:tcPr>
          <w:p w14:paraId="0CEA0C53"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Auto-calculated</w:t>
            </w:r>
          </w:p>
        </w:tc>
        <w:tc>
          <w:tcPr>
            <w:cnfStyle w:val="000001000000" w:firstRow="0" w:lastRow="0" w:firstColumn="0" w:lastColumn="0" w:oddVBand="0" w:evenVBand="1" w:oddHBand="0" w:evenHBand="0" w:firstRowFirstColumn="0" w:firstRowLastColumn="0" w:lastRowFirstColumn="0" w:lastRowLastColumn="0"/>
            <w:tcW w:w="1294" w:type="dxa"/>
          </w:tcPr>
          <w:p w14:paraId="09E786AD"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0.0 to 1.0</w:t>
            </w:r>
          </w:p>
        </w:tc>
        <w:tc>
          <w:tcPr>
            <w:cnfStyle w:val="000010000000" w:firstRow="0" w:lastRow="0" w:firstColumn="0" w:lastColumn="0" w:oddVBand="1" w:evenVBand="0" w:oddHBand="0" w:evenHBand="0" w:firstRowFirstColumn="0" w:firstRowLastColumn="0" w:lastRowFirstColumn="0" w:lastRowLastColumn="0"/>
            <w:tcW w:w="1446" w:type="dxa"/>
          </w:tcPr>
          <w:p w14:paraId="12264902"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0.92</w:t>
            </w:r>
          </w:p>
        </w:tc>
        <w:tc>
          <w:tcPr>
            <w:cnfStyle w:val="000001000000" w:firstRow="0" w:lastRow="0" w:firstColumn="0" w:lastColumn="0" w:oddVBand="0" w:evenVBand="1" w:oddHBand="0" w:evenHBand="0" w:firstRowFirstColumn="0" w:firstRowLastColumn="0" w:lastRowFirstColumn="0" w:lastRowLastColumn="0"/>
            <w:tcW w:w="1675" w:type="dxa"/>
          </w:tcPr>
          <w:p w14:paraId="61CB8101" w14:textId="77777777" w:rsidR="00A07190" w:rsidRPr="00710F8A" w:rsidRDefault="00000000" w:rsidP="009B06E6">
            <w:pPr>
              <w:pStyle w:val="Compact"/>
              <w:jc w:val="both"/>
              <w:rPr>
                <w:rFonts w:ascii="Times New Roman" w:hAnsi="Times New Roman" w:cs="Times New Roman"/>
                <w:color w:val="000000" w:themeColor="text1"/>
              </w:rPr>
            </w:pPr>
            <w:r w:rsidRPr="00710F8A">
              <w:rPr>
                <w:rFonts w:ascii="Times New Roman" w:hAnsi="Times New Roman" w:cs="Times New Roman"/>
                <w:color w:val="000000" w:themeColor="text1"/>
              </w:rPr>
              <w:t>Weighted scoring based on extracted field completeness</w:t>
            </w:r>
          </w:p>
        </w:tc>
      </w:tr>
    </w:tbl>
    <w:p w14:paraId="265C5CD4" w14:textId="77777777" w:rsidR="00A07190" w:rsidRPr="00710F8A" w:rsidRDefault="00000000" w:rsidP="00EE69D1">
      <w:pPr>
        <w:pStyle w:val="BodyText"/>
        <w:rPr>
          <w:rFonts w:ascii="Times New Roman" w:hAnsi="Times New Roman" w:cs="Times New Roman"/>
          <w:color w:val="000000" w:themeColor="text1"/>
        </w:rPr>
      </w:pPr>
      <w:r w:rsidRPr="00710F8A">
        <w:rPr>
          <w:rFonts w:ascii="Times New Roman" w:hAnsi="Times New Roman" w:cs="Times New Roman"/>
          <w:b/>
          <w:bCs/>
          <w:color w:val="000000" w:themeColor="text1"/>
        </w:rPr>
        <w:t>Total Required Fields:</w:t>
      </w:r>
      <w:r w:rsidRPr="00710F8A">
        <w:rPr>
          <w:rFonts w:ascii="Times New Roman" w:hAnsi="Times New Roman" w:cs="Times New Roman"/>
          <w:color w:val="000000" w:themeColor="text1"/>
        </w:rPr>
        <w:t xml:space="preserve"> 5</w:t>
      </w:r>
      <w:r w:rsidRPr="00710F8A">
        <w:rPr>
          <w:rFonts w:ascii="Times New Roman" w:hAnsi="Times New Roman" w:cs="Times New Roman"/>
          <w:color w:val="000000" w:themeColor="text1"/>
        </w:rPr>
        <w:br/>
      </w:r>
      <w:r w:rsidRPr="00710F8A">
        <w:rPr>
          <w:rFonts w:ascii="Times New Roman" w:hAnsi="Times New Roman" w:cs="Times New Roman"/>
          <w:b/>
          <w:bCs/>
          <w:color w:val="000000" w:themeColor="text1"/>
        </w:rPr>
        <w:t>Bonus Fields Extracted:</w:t>
      </w:r>
      <w:r w:rsidRPr="00710F8A">
        <w:rPr>
          <w:rFonts w:ascii="Times New Roman" w:hAnsi="Times New Roman" w:cs="Times New Roman"/>
          <w:color w:val="000000" w:themeColor="text1"/>
        </w:rPr>
        <w:t xml:space="preserve"> 1 (Minimum Amount Due)</w:t>
      </w:r>
      <w:r w:rsidRPr="00710F8A">
        <w:rPr>
          <w:rFonts w:ascii="Times New Roman" w:hAnsi="Times New Roman" w:cs="Times New Roman"/>
          <w:color w:val="000000" w:themeColor="text1"/>
        </w:rPr>
        <w:br/>
      </w:r>
      <w:r w:rsidRPr="00710F8A">
        <w:rPr>
          <w:rFonts w:ascii="Times New Roman" w:hAnsi="Times New Roman" w:cs="Times New Roman"/>
          <w:b/>
          <w:bCs/>
          <w:color w:val="000000" w:themeColor="text1"/>
        </w:rPr>
        <w:t>Output Format:</w:t>
      </w:r>
      <w:r w:rsidRPr="00710F8A">
        <w:rPr>
          <w:rFonts w:ascii="Times New Roman" w:hAnsi="Times New Roman" w:cs="Times New Roman"/>
          <w:color w:val="000000" w:themeColor="text1"/>
        </w:rPr>
        <w:t xml:space="preserve"> JSON with nested billing_period object, CSV with flattened columns</w:t>
      </w:r>
    </w:p>
    <w:p w14:paraId="4061EA43" w14:textId="54517F74" w:rsidR="00A07190" w:rsidRPr="00710F8A" w:rsidRDefault="00A07190" w:rsidP="00EE69D1">
      <w:pPr>
        <w:rPr>
          <w:rFonts w:ascii="Times New Roman" w:hAnsi="Times New Roman" w:cs="Times New Roman"/>
          <w:color w:val="000000" w:themeColor="text1"/>
        </w:rPr>
      </w:pPr>
    </w:p>
    <w:p w14:paraId="628DE89A" w14:textId="77777777" w:rsidR="00710F8A" w:rsidRDefault="00710F8A" w:rsidP="009B06E6">
      <w:pPr>
        <w:pStyle w:val="Heading1"/>
        <w:jc w:val="both"/>
        <w:rPr>
          <w:rFonts w:ascii="Times New Roman" w:hAnsi="Times New Roman" w:cs="Times New Roman"/>
          <w:color w:val="000000" w:themeColor="text1"/>
          <w:sz w:val="24"/>
          <w:szCs w:val="24"/>
        </w:rPr>
      </w:pPr>
      <w:bookmarkStart w:id="4" w:name="architecture"/>
      <w:bookmarkEnd w:id="3"/>
    </w:p>
    <w:p w14:paraId="0764DD7E" w14:textId="753738E0" w:rsidR="00A07190" w:rsidRPr="00076FA2" w:rsidRDefault="00000000" w:rsidP="009B06E6">
      <w:pPr>
        <w:pStyle w:val="Heading1"/>
        <w:jc w:val="both"/>
        <w:rPr>
          <w:rFonts w:ascii="Times New Roman" w:hAnsi="Times New Roman" w:cs="Times New Roman"/>
          <w:color w:val="000000" w:themeColor="text1"/>
          <w:sz w:val="28"/>
          <w:szCs w:val="28"/>
        </w:rPr>
      </w:pPr>
      <w:r w:rsidRPr="00076FA2">
        <w:rPr>
          <w:rFonts w:ascii="Times New Roman" w:hAnsi="Times New Roman" w:cs="Times New Roman"/>
          <w:color w:val="000000" w:themeColor="text1"/>
          <w:sz w:val="28"/>
          <w:szCs w:val="28"/>
        </w:rPr>
        <w:t>ARCHITECTURE</w:t>
      </w:r>
    </w:p>
    <w:p w14:paraId="4C6741AC" w14:textId="7C1BC980" w:rsidR="00A07190" w:rsidRPr="00710F8A" w:rsidRDefault="00000000" w:rsidP="009C5B12">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 xml:space="preserve">The system follows a modular, dispatcher-based architecture that enables easy extensibility and maintainability. The architecture is organized into distinct layers: </w:t>
      </w:r>
      <w:r w:rsidRPr="00710F8A">
        <w:rPr>
          <w:rFonts w:ascii="Times New Roman" w:hAnsi="Times New Roman" w:cs="Times New Roman"/>
          <w:b/>
          <w:bCs/>
          <w:color w:val="000000" w:themeColor="text1"/>
        </w:rPr>
        <w:t>detection</w:t>
      </w:r>
      <w:r w:rsidRPr="00710F8A">
        <w:rPr>
          <w:rFonts w:ascii="Times New Roman" w:hAnsi="Times New Roman" w:cs="Times New Roman"/>
          <w:color w:val="000000" w:themeColor="text1"/>
        </w:rPr>
        <w:t xml:space="preserve">, </w:t>
      </w:r>
      <w:r w:rsidRPr="00710F8A">
        <w:rPr>
          <w:rFonts w:ascii="Times New Roman" w:hAnsi="Times New Roman" w:cs="Times New Roman"/>
          <w:b/>
          <w:bCs/>
          <w:color w:val="000000" w:themeColor="text1"/>
        </w:rPr>
        <w:t>routing</w:t>
      </w:r>
      <w:r w:rsidRPr="00710F8A">
        <w:rPr>
          <w:rFonts w:ascii="Times New Roman" w:hAnsi="Times New Roman" w:cs="Times New Roman"/>
          <w:color w:val="000000" w:themeColor="text1"/>
        </w:rPr>
        <w:t xml:space="preserve">, </w:t>
      </w:r>
      <w:r w:rsidRPr="00710F8A">
        <w:rPr>
          <w:rFonts w:ascii="Times New Roman" w:hAnsi="Times New Roman" w:cs="Times New Roman"/>
          <w:b/>
          <w:bCs/>
          <w:color w:val="000000" w:themeColor="text1"/>
        </w:rPr>
        <w:t>parsing</w:t>
      </w:r>
      <w:r w:rsidRPr="00710F8A">
        <w:rPr>
          <w:rFonts w:ascii="Times New Roman" w:hAnsi="Times New Roman" w:cs="Times New Roman"/>
          <w:color w:val="000000" w:themeColor="text1"/>
        </w:rPr>
        <w:t xml:space="preserve">, and </w:t>
      </w:r>
      <w:r w:rsidRPr="00710F8A">
        <w:rPr>
          <w:rFonts w:ascii="Times New Roman" w:hAnsi="Times New Roman" w:cs="Times New Roman"/>
          <w:b/>
          <w:bCs/>
          <w:color w:val="000000" w:themeColor="text1"/>
        </w:rPr>
        <w:t>normalization</w:t>
      </w:r>
      <w:r w:rsidRPr="00710F8A">
        <w:rPr>
          <w:rFonts w:ascii="Times New Roman" w:hAnsi="Times New Roman" w:cs="Times New Roman"/>
          <w:color w:val="000000" w:themeColor="text1"/>
        </w:rPr>
        <w:t>. The entry point (</w:t>
      </w:r>
      <w:r w:rsidRPr="00710F8A">
        <w:rPr>
          <w:rStyle w:val="VerbatimChar"/>
          <w:rFonts w:ascii="Times New Roman" w:hAnsi="Times New Roman" w:cs="Times New Roman"/>
          <w:color w:val="000000" w:themeColor="text1"/>
          <w:sz w:val="24"/>
        </w:rPr>
        <w:t>parse.py</w:t>
      </w:r>
      <w:r w:rsidRPr="00710F8A">
        <w:rPr>
          <w:rFonts w:ascii="Times New Roman" w:hAnsi="Times New Roman" w:cs="Times New Roman"/>
          <w:color w:val="000000" w:themeColor="text1"/>
        </w:rPr>
        <w:t>) accepts a PDF path, passes it through an issuer detection module (</w:t>
      </w:r>
      <w:r w:rsidRPr="00710F8A">
        <w:rPr>
          <w:rStyle w:val="VerbatimChar"/>
          <w:rFonts w:ascii="Times New Roman" w:hAnsi="Times New Roman" w:cs="Times New Roman"/>
          <w:color w:val="000000" w:themeColor="text1"/>
          <w:sz w:val="24"/>
        </w:rPr>
        <w:t>detect_issuer.py</w:t>
      </w:r>
      <w:r w:rsidRPr="00710F8A">
        <w:rPr>
          <w:rFonts w:ascii="Times New Roman" w:hAnsi="Times New Roman" w:cs="Times New Roman"/>
          <w:color w:val="000000" w:themeColor="text1"/>
        </w:rPr>
        <w:t>) that identifies the statement issuer based on file path patterns. A dispatcher module (</w:t>
      </w:r>
      <w:r w:rsidRPr="00710F8A">
        <w:rPr>
          <w:rStyle w:val="VerbatimChar"/>
          <w:rFonts w:ascii="Times New Roman" w:hAnsi="Times New Roman" w:cs="Times New Roman"/>
          <w:color w:val="000000" w:themeColor="text1"/>
          <w:sz w:val="24"/>
        </w:rPr>
        <w:t>dispatcher.py</w:t>
      </w:r>
      <w:r w:rsidRPr="00710F8A">
        <w:rPr>
          <w:rFonts w:ascii="Times New Roman" w:hAnsi="Times New Roman" w:cs="Times New Roman"/>
          <w:color w:val="000000" w:themeColor="text1"/>
        </w:rPr>
        <w:t xml:space="preserve">) routes the PDF to the appropriate issuer-specific parser from the </w:t>
      </w:r>
      <w:r w:rsidRPr="00710F8A">
        <w:rPr>
          <w:rStyle w:val="VerbatimChar"/>
          <w:rFonts w:ascii="Times New Roman" w:hAnsi="Times New Roman" w:cs="Times New Roman"/>
          <w:color w:val="000000" w:themeColor="text1"/>
          <w:sz w:val="24"/>
        </w:rPr>
        <w:t>issuer_parsers/</w:t>
      </w:r>
      <w:r w:rsidRPr="00710F8A">
        <w:rPr>
          <w:rFonts w:ascii="Times New Roman" w:hAnsi="Times New Roman" w:cs="Times New Roman"/>
          <w:color w:val="000000" w:themeColor="text1"/>
        </w:rPr>
        <w:t xml:space="preserve"> directory. Each parser (OneCard, BuildingBlocks, HDFC, AMEX, FirstCitizens) implements a consistent interface that extracts text using a shared utility (</w:t>
      </w:r>
      <w:r w:rsidRPr="00710F8A">
        <w:rPr>
          <w:rStyle w:val="VerbatimChar"/>
          <w:rFonts w:ascii="Times New Roman" w:hAnsi="Times New Roman" w:cs="Times New Roman"/>
          <w:color w:val="000000" w:themeColor="text1"/>
          <w:sz w:val="24"/>
        </w:rPr>
        <w:t>ocr.py</w:t>
      </w:r>
      <w:r w:rsidRPr="00710F8A">
        <w:rPr>
          <w:rFonts w:ascii="Times New Roman" w:hAnsi="Times New Roman" w:cs="Times New Roman"/>
          <w:color w:val="000000" w:themeColor="text1"/>
        </w:rPr>
        <w:t xml:space="preserve">) which first attempts standard PDF text extraction via </w:t>
      </w:r>
      <w:r w:rsidRPr="00710F8A">
        <w:rPr>
          <w:rStyle w:val="VerbatimChar"/>
          <w:rFonts w:ascii="Times New Roman" w:hAnsi="Times New Roman" w:cs="Times New Roman"/>
          <w:color w:val="000000" w:themeColor="text1"/>
          <w:sz w:val="24"/>
        </w:rPr>
        <w:t>pdfplumber</w:t>
      </w:r>
      <w:r w:rsidRPr="00710F8A">
        <w:rPr>
          <w:rFonts w:ascii="Times New Roman" w:hAnsi="Times New Roman" w:cs="Times New Roman"/>
          <w:color w:val="000000" w:themeColor="text1"/>
        </w:rPr>
        <w:t xml:space="preserve"> and automatically falls back to OCR using </w:t>
      </w:r>
      <w:r w:rsidRPr="00710F8A">
        <w:rPr>
          <w:rStyle w:val="VerbatimChar"/>
          <w:rFonts w:ascii="Times New Roman" w:hAnsi="Times New Roman" w:cs="Times New Roman"/>
          <w:color w:val="000000" w:themeColor="text1"/>
          <w:sz w:val="24"/>
        </w:rPr>
        <w:t>pytesseract</w:t>
      </w:r>
      <w:r w:rsidRPr="00710F8A">
        <w:rPr>
          <w:rFonts w:ascii="Times New Roman" w:hAnsi="Times New Roman" w:cs="Times New Roman"/>
          <w:color w:val="000000" w:themeColor="text1"/>
        </w:rPr>
        <w:t xml:space="preserve"> and Tesseract when text extraction fails—ensuring compatibility with both text-based and scanned image PDFs. Extracted raw text undergoes field-specific extraction using issuer-tailored regex patterns, with multiple fallback patterns per field to handle format variations. All extracted values pass through normalization utilities (</w:t>
      </w:r>
      <w:r w:rsidRPr="00710F8A">
        <w:rPr>
          <w:rStyle w:val="VerbatimChar"/>
          <w:rFonts w:ascii="Times New Roman" w:hAnsi="Times New Roman" w:cs="Times New Roman"/>
          <w:color w:val="000000" w:themeColor="text1"/>
          <w:sz w:val="24"/>
        </w:rPr>
        <w:t>normalize.py</w:t>
      </w:r>
      <w:r w:rsidRPr="00710F8A">
        <w:rPr>
          <w:rFonts w:ascii="Times New Roman" w:hAnsi="Times New Roman" w:cs="Times New Roman"/>
          <w:color w:val="000000" w:themeColor="text1"/>
        </w:rPr>
        <w:t xml:space="preserve">) that standardize dates to ISO format (YYYY-MM-DD) using </w:t>
      </w:r>
      <w:r w:rsidRPr="00710F8A">
        <w:rPr>
          <w:rStyle w:val="VerbatimChar"/>
          <w:rFonts w:ascii="Times New Roman" w:hAnsi="Times New Roman" w:cs="Times New Roman"/>
          <w:color w:val="000000" w:themeColor="text1"/>
          <w:sz w:val="24"/>
        </w:rPr>
        <w:t>python-dateutil</w:t>
      </w:r>
      <w:r w:rsidRPr="00710F8A">
        <w:rPr>
          <w:rFonts w:ascii="Times New Roman" w:hAnsi="Times New Roman" w:cs="Times New Roman"/>
          <w:color w:val="000000" w:themeColor="text1"/>
        </w:rPr>
        <w:t xml:space="preserve"> and normalize currency values by removing symbols (₹, $, €, £), commas, and converting to float. The system calculates confidence scores based on field extraction completeness, and results are output as JSON to stdout and automatically appended to a CSV file (</w:t>
      </w:r>
      <w:r w:rsidRPr="00710F8A">
        <w:rPr>
          <w:rStyle w:val="VerbatimChar"/>
          <w:rFonts w:ascii="Times New Roman" w:hAnsi="Times New Roman" w:cs="Times New Roman"/>
          <w:color w:val="000000" w:themeColor="text1"/>
          <w:sz w:val="24"/>
        </w:rPr>
        <w:t>outputs/results.csv</w:t>
      </w:r>
      <w:r w:rsidRPr="00710F8A">
        <w:rPr>
          <w:rFonts w:ascii="Times New Roman" w:hAnsi="Times New Roman" w:cs="Times New Roman"/>
          <w:color w:val="000000" w:themeColor="text1"/>
        </w:rPr>
        <w:t>) for batch processing and analysis. This architecture ensures that adding support for new issuers requires only implementing a new parser module and updating the dispatcher and detection modules, without modifying core normalization or OCR infrastructure.</w:t>
      </w:r>
    </w:p>
    <w:p w14:paraId="52294D7C" w14:textId="77777777" w:rsidR="009C5B12" w:rsidRPr="00710F8A" w:rsidRDefault="009C5B12">
      <w:pPr>
        <w:rPr>
          <w:rFonts w:ascii="Times New Roman" w:eastAsiaTheme="majorEastAsia" w:hAnsi="Times New Roman" w:cs="Times New Roman"/>
          <w:b/>
          <w:bCs/>
          <w:color w:val="000000" w:themeColor="text1"/>
        </w:rPr>
      </w:pPr>
      <w:bookmarkStart w:id="5" w:name="challenges"/>
      <w:bookmarkEnd w:id="4"/>
      <w:r w:rsidRPr="00710F8A">
        <w:rPr>
          <w:rFonts w:ascii="Times New Roman" w:hAnsi="Times New Roman" w:cs="Times New Roman"/>
          <w:color w:val="000000" w:themeColor="text1"/>
        </w:rPr>
        <w:br w:type="page"/>
      </w:r>
    </w:p>
    <w:p w14:paraId="304F52FB" w14:textId="3FB9B388" w:rsidR="00A07190" w:rsidRPr="00076FA2" w:rsidRDefault="00000000" w:rsidP="009B06E6">
      <w:pPr>
        <w:pStyle w:val="Heading1"/>
        <w:jc w:val="both"/>
        <w:rPr>
          <w:rFonts w:ascii="Times New Roman" w:hAnsi="Times New Roman" w:cs="Times New Roman"/>
          <w:color w:val="000000" w:themeColor="text1"/>
          <w:sz w:val="28"/>
          <w:szCs w:val="28"/>
        </w:rPr>
      </w:pPr>
      <w:r w:rsidRPr="00076FA2">
        <w:rPr>
          <w:rFonts w:ascii="Times New Roman" w:hAnsi="Times New Roman" w:cs="Times New Roman"/>
          <w:color w:val="000000" w:themeColor="text1"/>
          <w:sz w:val="28"/>
          <w:szCs w:val="28"/>
        </w:rPr>
        <w:lastRenderedPageBreak/>
        <w:t>CHALLENGES</w:t>
      </w:r>
    </w:p>
    <w:p w14:paraId="6E2F2572" w14:textId="77777777" w:rsidR="00A07190" w:rsidRPr="00710F8A" w:rsidRDefault="00000000" w:rsidP="009B06E6">
      <w:pPr>
        <w:pStyle w:val="Heading2"/>
        <w:jc w:val="both"/>
        <w:rPr>
          <w:rFonts w:ascii="Times New Roman" w:hAnsi="Times New Roman" w:cs="Times New Roman"/>
          <w:color w:val="000000" w:themeColor="text1"/>
          <w:sz w:val="24"/>
          <w:szCs w:val="24"/>
        </w:rPr>
      </w:pPr>
      <w:bookmarkStart w:id="6" w:name="Xa057b03d2f616bb3940f8d497912f79ca874c77"/>
      <w:r w:rsidRPr="00710F8A">
        <w:rPr>
          <w:rFonts w:ascii="Times New Roman" w:hAnsi="Times New Roman" w:cs="Times New Roman"/>
          <w:color w:val="000000" w:themeColor="text1"/>
          <w:sz w:val="24"/>
          <w:szCs w:val="24"/>
        </w:rPr>
        <w:t>Challenge 1: Diverse Statement Layouts and Formats</w:t>
      </w:r>
    </w:p>
    <w:p w14:paraId="21BC8472" w14:textId="77777777" w:rsidR="00A07190" w:rsidRPr="00710F8A" w:rsidRDefault="00000000" w:rsidP="009B06E6">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Each credit card issuer employs distinct statement layouts with varying terminology, field positioning, and formatting conventions. For instance, HDFC uses “Statement Period” while BuildingBlocks uses “Opening/Closing Date” for billing cycles, and card numbers appear in different masked formats (XXXX XXXX XXXX 1234 vs. Ending in 1234 vs. Account Number: …1234). The solution required developing issuer-specific parsing strategies with tailored regex patterns and context-aware field extraction. Multiple fallback patterns per field ensure robust extraction even when exact formats vary slightly between statement versions.</w:t>
      </w:r>
    </w:p>
    <w:p w14:paraId="5831D0F8" w14:textId="77777777" w:rsidR="00A07190" w:rsidRPr="00710F8A" w:rsidRDefault="00000000" w:rsidP="009B06E6">
      <w:pPr>
        <w:pStyle w:val="Heading2"/>
        <w:jc w:val="both"/>
        <w:rPr>
          <w:rFonts w:ascii="Times New Roman" w:hAnsi="Times New Roman" w:cs="Times New Roman"/>
          <w:color w:val="000000" w:themeColor="text1"/>
          <w:sz w:val="24"/>
          <w:szCs w:val="24"/>
        </w:rPr>
      </w:pPr>
      <w:bookmarkStart w:id="7" w:name="X3f49fca240f947028e8aaac5e7b5d7471c4aa4b"/>
      <w:bookmarkEnd w:id="6"/>
      <w:r w:rsidRPr="00710F8A">
        <w:rPr>
          <w:rFonts w:ascii="Times New Roman" w:hAnsi="Times New Roman" w:cs="Times New Roman"/>
          <w:color w:val="000000" w:themeColor="text1"/>
          <w:sz w:val="24"/>
          <w:szCs w:val="24"/>
        </w:rPr>
        <w:t>Challenge 2: False Positive Detection in Card Number Extraction</w:t>
      </w:r>
    </w:p>
    <w:p w14:paraId="0A2AA5D8" w14:textId="77777777" w:rsidR="00A07190" w:rsidRPr="00710F8A" w:rsidRDefault="00000000" w:rsidP="009B06E6">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 xml:space="preserve">A critical challenge was distinguishing actual card last 4 digits from other 4-digit numbers in statements, particularly years (1900-2099), statement numbers, CVV codes, or transaction IDs that could be incorrectly identified as card numbers. The solution implemented a sophisticated </w:t>
      </w:r>
      <w:r w:rsidRPr="00710F8A">
        <w:rPr>
          <w:rStyle w:val="VerbatimChar"/>
          <w:rFonts w:ascii="Times New Roman" w:hAnsi="Times New Roman" w:cs="Times New Roman"/>
          <w:color w:val="000000" w:themeColor="text1"/>
          <w:sz w:val="24"/>
        </w:rPr>
        <w:t>extract_card_last4</w:t>
      </w:r>
      <w:r w:rsidRPr="00710F8A">
        <w:rPr>
          <w:rFonts w:ascii="Times New Roman" w:hAnsi="Times New Roman" w:cs="Times New Roman"/>
          <w:color w:val="000000" w:themeColor="text1"/>
        </w:rPr>
        <w:t xml:space="preserve"> function that uses context keywords (Card, Account, Number, Ending) to validate matches, checks proximity to card-related terminology, and explicitly filters out year values between 1900-2099. This approach significantly reduced false positives while maintaining high recall for actual card numbers.</w:t>
      </w:r>
    </w:p>
    <w:p w14:paraId="21290A97" w14:textId="77777777" w:rsidR="00A07190" w:rsidRPr="00710F8A" w:rsidRDefault="00000000" w:rsidP="009B06E6">
      <w:pPr>
        <w:pStyle w:val="Heading2"/>
        <w:jc w:val="both"/>
        <w:rPr>
          <w:rFonts w:ascii="Times New Roman" w:hAnsi="Times New Roman" w:cs="Times New Roman"/>
          <w:color w:val="000000" w:themeColor="text1"/>
          <w:sz w:val="24"/>
          <w:szCs w:val="24"/>
        </w:rPr>
      </w:pPr>
      <w:bookmarkStart w:id="8" w:name="X2c99f10330f49dabf23e915e4dd2b5f8276411f"/>
      <w:bookmarkEnd w:id="7"/>
      <w:r w:rsidRPr="00710F8A">
        <w:rPr>
          <w:rFonts w:ascii="Times New Roman" w:hAnsi="Times New Roman" w:cs="Times New Roman"/>
          <w:color w:val="000000" w:themeColor="text1"/>
          <w:sz w:val="24"/>
          <w:szCs w:val="24"/>
        </w:rPr>
        <w:t>Challenge 3: Handling Scanned PDFs and Image-Based Statements</w:t>
      </w:r>
    </w:p>
    <w:p w14:paraId="3E880265" w14:textId="77777777" w:rsidR="00A07190" w:rsidRPr="00710F8A" w:rsidRDefault="00000000" w:rsidP="009B06E6">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Many credit card statements are distributed as scanned PDFs or image-based documents where standard text extraction libraries (pdfplumber) return empty or minimal text. The system needed to handle both native text PDFs and scanned documents seamlessly. The solution implemented an automatic OCR fallback mechanism (</w:t>
      </w:r>
      <w:r w:rsidRPr="00710F8A">
        <w:rPr>
          <w:rStyle w:val="VerbatimChar"/>
          <w:rFonts w:ascii="Times New Roman" w:hAnsi="Times New Roman" w:cs="Times New Roman"/>
          <w:color w:val="000000" w:themeColor="text1"/>
          <w:sz w:val="24"/>
        </w:rPr>
        <w:t>extract_text_with_ocr_fallback</w:t>
      </w:r>
      <w:r w:rsidRPr="00710F8A">
        <w:rPr>
          <w:rFonts w:ascii="Times New Roman" w:hAnsi="Times New Roman" w:cs="Times New Roman"/>
          <w:color w:val="000000" w:themeColor="text1"/>
        </w:rPr>
        <w:t>) that detects when text extraction yields insufficient content (less than 50 characters) and automatically switches to OCR using pytesseract and Tesseract. The OCR process converts each PDF page to a high-resolution image (300 DPI) and extracts text using optical character recognition, ensuring the parser works with all statement types regardless of their underlying format.</w:t>
      </w:r>
    </w:p>
    <w:p w14:paraId="02D0B7BC" w14:textId="77777777" w:rsidR="00A07190" w:rsidRPr="00710F8A" w:rsidRDefault="00000000" w:rsidP="009B06E6">
      <w:pPr>
        <w:pStyle w:val="Heading2"/>
        <w:jc w:val="both"/>
        <w:rPr>
          <w:rFonts w:ascii="Times New Roman" w:hAnsi="Times New Roman" w:cs="Times New Roman"/>
          <w:color w:val="000000" w:themeColor="text1"/>
          <w:sz w:val="24"/>
          <w:szCs w:val="24"/>
        </w:rPr>
      </w:pPr>
      <w:bookmarkStart w:id="9" w:name="challenge-4-date-format-normalization"/>
      <w:bookmarkEnd w:id="8"/>
      <w:r w:rsidRPr="00710F8A">
        <w:rPr>
          <w:rFonts w:ascii="Times New Roman" w:hAnsi="Times New Roman" w:cs="Times New Roman"/>
          <w:color w:val="000000" w:themeColor="text1"/>
          <w:sz w:val="24"/>
          <w:szCs w:val="24"/>
        </w:rPr>
        <w:t>Challenge 4: Date Format Normalization</w:t>
      </w:r>
    </w:p>
    <w:p w14:paraId="1C254F03" w14:textId="77777777" w:rsidR="00A07190" w:rsidRPr="00710F8A" w:rsidRDefault="00000000" w:rsidP="009B06E6">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 xml:space="preserve">Credit card statements use diverse date formats including “14/08/2025”, “August 14, 2025”, “14-Aug-2025”, “08/14/2025”, and variations with different delimiters and month representations. Parsing and normalizing these into a consistent YYYY-MM-DD format was essential for downstream processing and validation. The solution leverages </w:t>
      </w:r>
      <w:r w:rsidRPr="00710F8A">
        <w:rPr>
          <w:rStyle w:val="VerbatimChar"/>
          <w:rFonts w:ascii="Times New Roman" w:hAnsi="Times New Roman" w:cs="Times New Roman"/>
          <w:color w:val="000000" w:themeColor="text1"/>
          <w:sz w:val="24"/>
        </w:rPr>
        <w:t>python-dateutil</w:t>
      </w:r>
      <w:r w:rsidRPr="00710F8A">
        <w:rPr>
          <w:rFonts w:ascii="Times New Roman" w:hAnsi="Times New Roman" w:cs="Times New Roman"/>
          <w:color w:val="000000" w:themeColor="text1"/>
        </w:rPr>
        <w:t xml:space="preserve">’s intelligent parsing with </w:t>
      </w:r>
      <w:r w:rsidRPr="00710F8A">
        <w:rPr>
          <w:rStyle w:val="VerbatimChar"/>
          <w:rFonts w:ascii="Times New Roman" w:hAnsi="Times New Roman" w:cs="Times New Roman"/>
          <w:color w:val="000000" w:themeColor="text1"/>
          <w:sz w:val="24"/>
        </w:rPr>
        <w:t>dayfirst=True</w:t>
      </w:r>
      <w:r w:rsidRPr="00710F8A">
        <w:rPr>
          <w:rFonts w:ascii="Times New Roman" w:hAnsi="Times New Roman" w:cs="Times New Roman"/>
          <w:color w:val="000000" w:themeColor="text1"/>
        </w:rPr>
        <w:t xml:space="preserve"> to handle international date formats, gracefully handles ambiguous dates, and returns normalized ISO format strings while managing edge cases where date extraction fails.</w:t>
      </w:r>
    </w:p>
    <w:p w14:paraId="5E54E3E8" w14:textId="77777777" w:rsidR="00A07190" w:rsidRPr="00710F8A" w:rsidRDefault="00000000" w:rsidP="009B06E6">
      <w:pPr>
        <w:pStyle w:val="Heading2"/>
        <w:jc w:val="both"/>
        <w:rPr>
          <w:rFonts w:ascii="Times New Roman" w:hAnsi="Times New Roman" w:cs="Times New Roman"/>
          <w:color w:val="000000" w:themeColor="text1"/>
          <w:sz w:val="24"/>
          <w:szCs w:val="24"/>
        </w:rPr>
      </w:pPr>
      <w:bookmarkStart w:id="10" w:name="X115b99ddbedeb9ed357aae697b32b972e0f590d"/>
      <w:bookmarkEnd w:id="9"/>
      <w:r w:rsidRPr="00710F8A">
        <w:rPr>
          <w:rFonts w:ascii="Times New Roman" w:hAnsi="Times New Roman" w:cs="Times New Roman"/>
          <w:color w:val="000000" w:themeColor="text1"/>
          <w:sz w:val="24"/>
          <w:szCs w:val="24"/>
        </w:rPr>
        <w:t>Challenge 5: Currency Value Extraction and Normalization</w:t>
      </w:r>
    </w:p>
    <w:p w14:paraId="28A9F9EF" w14:textId="13651EF1" w:rsidR="00A07190" w:rsidRPr="00710F8A" w:rsidRDefault="00000000" w:rsidP="009C5B12">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 xml:space="preserve">Statements contain currency values with various formatting: symbols (₹, $, €), </w:t>
      </w:r>
      <w:proofErr w:type="gramStart"/>
      <w:r w:rsidRPr="00710F8A">
        <w:rPr>
          <w:rFonts w:ascii="Times New Roman" w:hAnsi="Times New Roman" w:cs="Times New Roman"/>
          <w:color w:val="000000" w:themeColor="text1"/>
        </w:rPr>
        <w:t>thousands</w:t>
      </w:r>
      <w:proofErr w:type="gramEnd"/>
      <w:r w:rsidRPr="00710F8A">
        <w:rPr>
          <w:rFonts w:ascii="Times New Roman" w:hAnsi="Times New Roman" w:cs="Times New Roman"/>
          <w:color w:val="000000" w:themeColor="text1"/>
        </w:rPr>
        <w:t xml:space="preserve"> separators (commas, spaces), decimal precision variations, and occasional negative values or credits. Extracting accurate numeric values required robust pattern matching to find amounts near labels like “New Balance” or “Total Amount Due” while filtering out account numbers, statement IDs, or other numeric text. The normalization function removes all currency symbols, </w:t>
      </w:r>
      <w:r w:rsidRPr="00710F8A">
        <w:rPr>
          <w:rFonts w:ascii="Times New Roman" w:hAnsi="Times New Roman" w:cs="Times New Roman"/>
          <w:color w:val="000000" w:themeColor="text1"/>
        </w:rPr>
        <w:lastRenderedPageBreak/>
        <w:t>commas, whitespace, and converts strings to float values, with comprehensive error handling for invalid formats.</w:t>
      </w:r>
    </w:p>
    <w:p w14:paraId="50307725" w14:textId="77777777" w:rsidR="009C5B12" w:rsidRPr="00710F8A" w:rsidRDefault="009C5B12">
      <w:pPr>
        <w:rPr>
          <w:rFonts w:ascii="Times New Roman" w:eastAsiaTheme="majorEastAsia" w:hAnsi="Times New Roman" w:cs="Times New Roman"/>
          <w:b/>
          <w:bCs/>
          <w:color w:val="000000" w:themeColor="text1"/>
        </w:rPr>
      </w:pPr>
      <w:bookmarkStart w:id="11" w:name="result-screenshot-placement"/>
      <w:bookmarkEnd w:id="5"/>
      <w:bookmarkEnd w:id="10"/>
      <w:r w:rsidRPr="00710F8A">
        <w:rPr>
          <w:rFonts w:ascii="Times New Roman" w:hAnsi="Times New Roman" w:cs="Times New Roman"/>
          <w:color w:val="000000" w:themeColor="text1"/>
        </w:rPr>
        <w:br w:type="page"/>
      </w:r>
    </w:p>
    <w:p w14:paraId="1BE5FC00" w14:textId="20EA1B92" w:rsidR="00A07190" w:rsidRPr="00076FA2" w:rsidRDefault="00000000" w:rsidP="009B06E6">
      <w:pPr>
        <w:pStyle w:val="Heading1"/>
        <w:jc w:val="both"/>
        <w:rPr>
          <w:rFonts w:ascii="Times New Roman" w:hAnsi="Times New Roman" w:cs="Times New Roman"/>
          <w:color w:val="000000" w:themeColor="text1"/>
          <w:sz w:val="28"/>
          <w:szCs w:val="28"/>
        </w:rPr>
      </w:pPr>
      <w:r w:rsidRPr="00076FA2">
        <w:rPr>
          <w:rFonts w:ascii="Times New Roman" w:hAnsi="Times New Roman" w:cs="Times New Roman"/>
          <w:color w:val="000000" w:themeColor="text1"/>
          <w:sz w:val="28"/>
          <w:szCs w:val="28"/>
        </w:rPr>
        <w:lastRenderedPageBreak/>
        <w:t>RESULT SCREENSHOT PLACEMENT</w:t>
      </w:r>
    </w:p>
    <w:p w14:paraId="61014BFD" w14:textId="4E793704" w:rsidR="00A07190" w:rsidRPr="00710F8A" w:rsidRDefault="00000000" w:rsidP="009B06E6">
      <w:pPr>
        <w:pStyle w:val="FirstParagraph"/>
        <w:jc w:val="both"/>
        <w:rPr>
          <w:rFonts w:ascii="Times New Roman" w:hAnsi="Times New Roman" w:cs="Times New Roman"/>
          <w:i/>
          <w:iCs/>
          <w:color w:val="000000" w:themeColor="text1"/>
        </w:rPr>
      </w:pPr>
      <w:r w:rsidRPr="00710F8A">
        <w:rPr>
          <w:rFonts w:ascii="Times New Roman" w:hAnsi="Times New Roman" w:cs="Times New Roman"/>
          <w:i/>
          <w:iCs/>
          <w:color w:val="000000" w:themeColor="text1"/>
        </w:rPr>
        <w:t>Figure 1: Example of parsing a single credit card statement with JSON output showing extracted fields and confidence score.</w:t>
      </w:r>
    </w:p>
    <w:p w14:paraId="42265D42" w14:textId="5A47DDC8" w:rsidR="009B06E6" w:rsidRPr="00710F8A" w:rsidRDefault="009B06E6" w:rsidP="009B06E6">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drawing>
          <wp:inline distT="0" distB="0" distL="0" distR="0" wp14:anchorId="12142F34" wp14:editId="356D5045">
            <wp:extent cx="5943600" cy="1460500"/>
            <wp:effectExtent l="0" t="0" r="0" b="0"/>
            <wp:docPr id="133439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96439" name=""/>
                    <pic:cNvPicPr/>
                  </pic:nvPicPr>
                  <pic:blipFill>
                    <a:blip r:embed="rId7"/>
                    <a:stretch>
                      <a:fillRect/>
                    </a:stretch>
                  </pic:blipFill>
                  <pic:spPr>
                    <a:xfrm>
                      <a:off x="0" y="0"/>
                      <a:ext cx="5943600" cy="1460500"/>
                    </a:xfrm>
                    <a:prstGeom prst="rect">
                      <a:avLst/>
                    </a:prstGeom>
                  </pic:spPr>
                </pic:pic>
              </a:graphicData>
            </a:graphic>
          </wp:inline>
        </w:drawing>
      </w:r>
    </w:p>
    <w:p w14:paraId="09CD0766" w14:textId="1B407F14" w:rsidR="00A07190" w:rsidRPr="00710F8A" w:rsidRDefault="00000000" w:rsidP="009B06E6">
      <w:pPr>
        <w:pStyle w:val="BodyText"/>
        <w:jc w:val="both"/>
        <w:rPr>
          <w:rFonts w:ascii="Times New Roman" w:hAnsi="Times New Roman" w:cs="Times New Roman"/>
          <w:i/>
          <w:iCs/>
          <w:color w:val="000000" w:themeColor="text1"/>
        </w:rPr>
      </w:pPr>
      <w:r w:rsidRPr="00710F8A">
        <w:rPr>
          <w:rFonts w:ascii="Times New Roman" w:hAnsi="Times New Roman" w:cs="Times New Roman"/>
          <w:i/>
          <w:iCs/>
          <w:color w:val="000000" w:themeColor="text1"/>
        </w:rPr>
        <w:t>Figure 2: CSV output file (outputs/results.csv) displaying parsed results from multiple statements with all extracted fields in tabular format.</w:t>
      </w:r>
    </w:p>
    <w:p w14:paraId="3B7A4C20" w14:textId="2F8F3D33" w:rsidR="009B06E6" w:rsidRPr="00710F8A" w:rsidRDefault="009B06E6" w:rsidP="009B06E6">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drawing>
          <wp:inline distT="0" distB="0" distL="0" distR="0" wp14:anchorId="252B96E2" wp14:editId="5B139E72">
            <wp:extent cx="5943600" cy="605155"/>
            <wp:effectExtent l="0" t="0" r="0" b="0"/>
            <wp:docPr id="20423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333829" name=""/>
                    <pic:cNvPicPr/>
                  </pic:nvPicPr>
                  <pic:blipFill>
                    <a:blip r:embed="rId8"/>
                    <a:stretch>
                      <a:fillRect/>
                    </a:stretch>
                  </pic:blipFill>
                  <pic:spPr>
                    <a:xfrm>
                      <a:off x="0" y="0"/>
                      <a:ext cx="5943600" cy="605155"/>
                    </a:xfrm>
                    <a:prstGeom prst="rect">
                      <a:avLst/>
                    </a:prstGeom>
                  </pic:spPr>
                </pic:pic>
              </a:graphicData>
            </a:graphic>
          </wp:inline>
        </w:drawing>
      </w:r>
    </w:p>
    <w:p w14:paraId="2C5F1E43" w14:textId="77777777" w:rsidR="009C5B12" w:rsidRPr="00710F8A" w:rsidRDefault="009C5B12">
      <w:pPr>
        <w:rPr>
          <w:rFonts w:ascii="Times New Roman" w:hAnsi="Times New Roman" w:cs="Times New Roman"/>
          <w:b/>
          <w:bCs/>
          <w:color w:val="000000" w:themeColor="text1"/>
        </w:rPr>
      </w:pPr>
      <w:r w:rsidRPr="00710F8A">
        <w:rPr>
          <w:rFonts w:ascii="Times New Roman" w:hAnsi="Times New Roman" w:cs="Times New Roman"/>
          <w:b/>
          <w:bCs/>
          <w:color w:val="000000" w:themeColor="text1"/>
        </w:rPr>
        <w:br w:type="page"/>
      </w:r>
    </w:p>
    <w:p w14:paraId="19A18968" w14:textId="1457E7F4" w:rsidR="00A07190" w:rsidRPr="00710F8A" w:rsidRDefault="00000000" w:rsidP="009B06E6">
      <w:pPr>
        <w:pStyle w:val="BodyText"/>
        <w:jc w:val="both"/>
        <w:rPr>
          <w:rFonts w:ascii="Times New Roman" w:hAnsi="Times New Roman" w:cs="Times New Roman"/>
          <w:i/>
          <w:iCs/>
          <w:color w:val="000000" w:themeColor="text1"/>
        </w:rPr>
      </w:pPr>
      <w:r w:rsidRPr="00710F8A">
        <w:rPr>
          <w:rFonts w:ascii="Times New Roman" w:hAnsi="Times New Roman" w:cs="Times New Roman"/>
          <w:i/>
          <w:iCs/>
          <w:color w:val="000000" w:themeColor="text1"/>
        </w:rPr>
        <w:lastRenderedPageBreak/>
        <w:t>Figure 3: Batch processing demonstration using demo.py script parsing all statements in the statements/ directory.</w:t>
      </w:r>
    </w:p>
    <w:p w14:paraId="6D18AD0A" w14:textId="458EDDDB" w:rsidR="009B06E6" w:rsidRPr="00710F8A" w:rsidRDefault="009B06E6" w:rsidP="009B06E6">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drawing>
          <wp:inline distT="0" distB="0" distL="0" distR="0" wp14:anchorId="31346685" wp14:editId="7906D99D">
            <wp:extent cx="4942151" cy="3760470"/>
            <wp:effectExtent l="0" t="0" r="0" b="0"/>
            <wp:docPr id="1171976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76098" name=""/>
                    <pic:cNvPicPr/>
                  </pic:nvPicPr>
                  <pic:blipFill>
                    <a:blip r:embed="rId9"/>
                    <a:stretch>
                      <a:fillRect/>
                    </a:stretch>
                  </pic:blipFill>
                  <pic:spPr>
                    <a:xfrm>
                      <a:off x="0" y="0"/>
                      <a:ext cx="4946447" cy="3763738"/>
                    </a:xfrm>
                    <a:prstGeom prst="rect">
                      <a:avLst/>
                    </a:prstGeom>
                  </pic:spPr>
                </pic:pic>
              </a:graphicData>
            </a:graphic>
          </wp:inline>
        </w:drawing>
      </w:r>
      <w:r w:rsidRPr="00710F8A">
        <w:rPr>
          <w:rFonts w:ascii="Times New Roman" w:hAnsi="Times New Roman" w:cs="Times New Roman"/>
          <w:color w:val="000000" w:themeColor="text1"/>
        </w:rPr>
        <w:drawing>
          <wp:inline distT="0" distB="0" distL="0" distR="0" wp14:anchorId="14E1F227" wp14:editId="3585288D">
            <wp:extent cx="4987636" cy="3657600"/>
            <wp:effectExtent l="0" t="0" r="0" b="0"/>
            <wp:docPr id="2661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10350" name=""/>
                    <pic:cNvPicPr/>
                  </pic:nvPicPr>
                  <pic:blipFill>
                    <a:blip r:embed="rId10"/>
                    <a:stretch>
                      <a:fillRect/>
                    </a:stretch>
                  </pic:blipFill>
                  <pic:spPr>
                    <a:xfrm>
                      <a:off x="0" y="0"/>
                      <a:ext cx="4993610" cy="3661981"/>
                    </a:xfrm>
                    <a:prstGeom prst="rect">
                      <a:avLst/>
                    </a:prstGeom>
                  </pic:spPr>
                </pic:pic>
              </a:graphicData>
            </a:graphic>
          </wp:inline>
        </w:drawing>
      </w:r>
    </w:p>
    <w:p w14:paraId="65211AD8" w14:textId="57525E4C" w:rsidR="00A07190" w:rsidRPr="00710F8A" w:rsidRDefault="00000000" w:rsidP="009B06E6">
      <w:pPr>
        <w:pStyle w:val="BodyText"/>
        <w:jc w:val="both"/>
        <w:rPr>
          <w:rFonts w:ascii="Times New Roman" w:hAnsi="Times New Roman" w:cs="Times New Roman"/>
          <w:i/>
          <w:iCs/>
          <w:color w:val="000000" w:themeColor="text1"/>
        </w:rPr>
      </w:pPr>
      <w:r w:rsidRPr="00710F8A">
        <w:rPr>
          <w:rFonts w:ascii="Times New Roman" w:hAnsi="Times New Roman" w:cs="Times New Roman"/>
          <w:i/>
          <w:iCs/>
          <w:color w:val="000000" w:themeColor="text1"/>
        </w:rPr>
        <w:lastRenderedPageBreak/>
        <w:t>Figure 4: Unit test execution results showing successful parsing validation across all supported issuers.</w:t>
      </w:r>
    </w:p>
    <w:p w14:paraId="420FB5EC" w14:textId="4E3DB1E6" w:rsidR="00A07190" w:rsidRPr="00710F8A" w:rsidRDefault="009B06E6" w:rsidP="00671228">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drawing>
          <wp:inline distT="0" distB="0" distL="0" distR="0" wp14:anchorId="48DC5B50" wp14:editId="45E81A71">
            <wp:extent cx="5943600" cy="2101215"/>
            <wp:effectExtent l="0" t="0" r="0" b="0"/>
            <wp:docPr id="1187595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95316" name=""/>
                    <pic:cNvPicPr/>
                  </pic:nvPicPr>
                  <pic:blipFill>
                    <a:blip r:embed="rId11"/>
                    <a:stretch>
                      <a:fillRect/>
                    </a:stretch>
                  </pic:blipFill>
                  <pic:spPr>
                    <a:xfrm>
                      <a:off x="0" y="0"/>
                      <a:ext cx="5943600" cy="2101215"/>
                    </a:xfrm>
                    <a:prstGeom prst="rect">
                      <a:avLst/>
                    </a:prstGeom>
                  </pic:spPr>
                </pic:pic>
              </a:graphicData>
            </a:graphic>
          </wp:inline>
        </w:drawing>
      </w:r>
    </w:p>
    <w:p w14:paraId="6FC2F653" w14:textId="77777777" w:rsidR="00A07190" w:rsidRPr="00076FA2" w:rsidRDefault="00000000" w:rsidP="009B06E6">
      <w:pPr>
        <w:pStyle w:val="Heading1"/>
        <w:jc w:val="both"/>
        <w:rPr>
          <w:rFonts w:ascii="Times New Roman" w:hAnsi="Times New Roman" w:cs="Times New Roman"/>
          <w:color w:val="000000" w:themeColor="text1"/>
          <w:sz w:val="28"/>
          <w:szCs w:val="28"/>
        </w:rPr>
      </w:pPr>
      <w:bookmarkStart w:id="12" w:name="conclusion"/>
      <w:bookmarkEnd w:id="11"/>
      <w:r w:rsidRPr="00076FA2">
        <w:rPr>
          <w:rFonts w:ascii="Times New Roman" w:hAnsi="Times New Roman" w:cs="Times New Roman"/>
          <w:color w:val="000000" w:themeColor="text1"/>
          <w:sz w:val="28"/>
          <w:szCs w:val="28"/>
        </w:rPr>
        <w:t>CONCLUSION</w:t>
      </w:r>
    </w:p>
    <w:p w14:paraId="2570B4F5" w14:textId="77777777" w:rsidR="00A07190" w:rsidRPr="00710F8A" w:rsidRDefault="00000000" w:rsidP="009B06E6">
      <w:pPr>
        <w:pStyle w:val="FirstParagraph"/>
        <w:jc w:val="both"/>
        <w:rPr>
          <w:rFonts w:ascii="Times New Roman" w:hAnsi="Times New Roman" w:cs="Times New Roman"/>
          <w:color w:val="000000" w:themeColor="text1"/>
        </w:rPr>
      </w:pPr>
      <w:r w:rsidRPr="00710F8A">
        <w:rPr>
          <w:rFonts w:ascii="Times New Roman" w:hAnsi="Times New Roman" w:cs="Times New Roman"/>
          <w:color w:val="000000" w:themeColor="text1"/>
        </w:rPr>
        <w:t>The Credit Card Statement Parser successfully demonstrates a robust, scalable solution for extracting structured financial data from diverse credit card statement formats. The system’s modular architecture enables easy extension to additional issuers, while its intelligent text extraction with OCR fallback ensures compatibility with both digital and scanned documents. The implementation of confidence scoring provides transparency in extraction quality, and the automatic CSV output facilitates batch processing and integration with financial management systems.</w:t>
      </w:r>
    </w:p>
    <w:p w14:paraId="6FDAD692" w14:textId="77777777" w:rsidR="00A07190" w:rsidRPr="00710F8A" w:rsidRDefault="00000000" w:rsidP="009B06E6">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t>Key strengths of this solution include its ability to handle five distinct issuer formats with high accuracy, the bonus extraction of minimum amount due fields, robust error handling that prevents system failures on problematic documents, and comprehensive normalization that ensures consistent output formats regardless of input variations. The parser’s practical utility extends to personal finance management, automated expense tracking, financial data aggregation platforms, and accounting system integrations.</w:t>
      </w:r>
    </w:p>
    <w:p w14:paraId="4E5BF1A4" w14:textId="4A9B122D" w:rsidR="00A07190" w:rsidRPr="00710F8A" w:rsidRDefault="00000000" w:rsidP="009C5B12">
      <w:pPr>
        <w:pStyle w:val="BodyText"/>
        <w:jc w:val="both"/>
        <w:rPr>
          <w:rFonts w:ascii="Times New Roman" w:hAnsi="Times New Roman" w:cs="Times New Roman"/>
          <w:color w:val="000000" w:themeColor="text1"/>
        </w:rPr>
      </w:pPr>
      <w:r w:rsidRPr="00710F8A">
        <w:rPr>
          <w:rFonts w:ascii="Times New Roman" w:hAnsi="Times New Roman" w:cs="Times New Roman"/>
          <w:color w:val="000000" w:themeColor="text1"/>
        </w:rPr>
        <w:t>Future enhancements could include machine learning-based field detection for even greater layout adaptability, support for additional international issuers, and integration with APIs for direct statement retrieval. The current implementation provides a solid foundation that balances reliability, maintainability, and extensibility, making it suitable for production use in financial data processing workflows.</w:t>
      </w:r>
      <w:bookmarkEnd w:id="12"/>
    </w:p>
    <w:sectPr w:rsidR="00A07190" w:rsidRPr="00710F8A" w:rsidSect="00710F8A">
      <w:pgSz w:w="12240" w:h="15840"/>
      <w:pgMar w:top="1276"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4F00A" w14:textId="77777777" w:rsidR="00972F78" w:rsidRDefault="00972F78">
      <w:pPr>
        <w:spacing w:after="0"/>
      </w:pPr>
      <w:r>
        <w:separator/>
      </w:r>
    </w:p>
  </w:endnote>
  <w:endnote w:type="continuationSeparator" w:id="0">
    <w:p w14:paraId="38BB8F05" w14:textId="77777777" w:rsidR="00972F78" w:rsidRDefault="00972F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B45E6" w14:textId="77777777" w:rsidR="00972F78" w:rsidRDefault="00972F78">
      <w:r>
        <w:separator/>
      </w:r>
    </w:p>
  </w:footnote>
  <w:footnote w:type="continuationSeparator" w:id="0">
    <w:p w14:paraId="214B8F75" w14:textId="77777777" w:rsidR="00972F78" w:rsidRDefault="00972F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CF20D9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332217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7190"/>
    <w:rsid w:val="00076FA2"/>
    <w:rsid w:val="00331326"/>
    <w:rsid w:val="00671228"/>
    <w:rsid w:val="00710F8A"/>
    <w:rsid w:val="00972F78"/>
    <w:rsid w:val="009B06E6"/>
    <w:rsid w:val="009C5B12"/>
    <w:rsid w:val="00A07190"/>
    <w:rsid w:val="00E5446C"/>
    <w:rsid w:val="00EE69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76AA"/>
  <w15:docId w15:val="{F7736863-BB29-44C8-8821-30422B46E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9B06E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9B06E6"/>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rsid w:val="009B06E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9B06E6"/>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9</Pages>
  <Words>1535</Words>
  <Characters>8754</Characters>
  <Application>Microsoft Office Word</Application>
  <DocSecurity>0</DocSecurity>
  <Lines>72</Lines>
  <Paragraphs>20</Paragraphs>
  <ScaleCrop>false</ScaleCrop>
  <Company/>
  <LinksUpToDate>false</LinksUpToDate>
  <CharactersWithSpaces>10269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Lokesh Vyas</cp:lastModifiedBy>
  <cp:revision>9</cp:revision>
  <dcterms:created xsi:type="dcterms:W3CDTF">2025-11-02T08:22:00Z</dcterms:created>
  <dcterms:modified xsi:type="dcterms:W3CDTF">2025-11-02T08:39:00Z</dcterms:modified>
</cp:coreProperties>
</file>