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D6F3AB" w14:textId="77777777" w:rsidR="00AB35EF" w:rsidRPr="00AB35EF" w:rsidRDefault="00AB35EF" w:rsidP="00AB35EF">
      <w:pPr>
        <w:jc w:val="center"/>
        <w:rPr>
          <w:sz w:val="52"/>
          <w:szCs w:val="52"/>
        </w:rPr>
      </w:pPr>
      <w:r w:rsidRPr="00AB35EF">
        <w:rPr>
          <w:b/>
          <w:bCs/>
          <w:sz w:val="52"/>
          <w:szCs w:val="52"/>
        </w:rPr>
        <w:t>Project Report</w:t>
      </w:r>
    </w:p>
    <w:p w14:paraId="264ECF80" w14:textId="525783DA" w:rsidR="00AB35EF" w:rsidRPr="00AB35EF" w:rsidRDefault="00AB35EF" w:rsidP="00AB35EF">
      <w:pPr>
        <w:rPr>
          <w:color w:val="EE0000"/>
          <w:u w:val="single"/>
        </w:rPr>
      </w:pPr>
      <w:r w:rsidRPr="00AB35EF">
        <w:br/>
      </w:r>
      <w:r w:rsidRPr="00AB35EF">
        <w:rPr>
          <w:b/>
          <w:bCs/>
          <w:color w:val="EE0000"/>
          <w:u w:val="single"/>
        </w:rPr>
        <w:t xml:space="preserve">Volatility </w:t>
      </w:r>
      <w:proofErr w:type="spellStart"/>
      <w:r w:rsidRPr="00AB35EF">
        <w:rPr>
          <w:b/>
          <w:bCs/>
          <w:color w:val="EE0000"/>
          <w:u w:val="single"/>
        </w:rPr>
        <w:t>Modeling</w:t>
      </w:r>
      <w:proofErr w:type="spellEnd"/>
      <w:r w:rsidRPr="00AB35EF">
        <w:rPr>
          <w:b/>
          <w:bCs/>
          <w:color w:val="EE0000"/>
          <w:u w:val="single"/>
        </w:rPr>
        <w:t xml:space="preserve"> and Forecasting using GARCH Family Models: Evidence from NIFTY 50</w:t>
      </w:r>
    </w:p>
    <w:p w14:paraId="3C3551C5" w14:textId="77777777" w:rsidR="00AB35EF" w:rsidRDefault="00AB35EF" w:rsidP="00AB35EF">
      <w:pPr>
        <w:rPr>
          <w:b/>
          <w:bCs/>
        </w:rPr>
      </w:pPr>
    </w:p>
    <w:p w14:paraId="387B15F3" w14:textId="026A1F09" w:rsidR="00AB35EF" w:rsidRPr="00AB35EF" w:rsidRDefault="00AB35EF" w:rsidP="00AB35EF">
      <w:r w:rsidRPr="00AB35EF">
        <w:rPr>
          <w:b/>
          <w:bCs/>
          <w:sz w:val="28"/>
          <w:szCs w:val="28"/>
        </w:rPr>
        <w:t>Submitted by</w:t>
      </w:r>
      <w:r w:rsidRPr="00AB35EF">
        <w:rPr>
          <w:b/>
          <w:bCs/>
        </w:rPr>
        <w:t>:</w:t>
      </w:r>
      <w:r w:rsidRPr="00AB35EF">
        <w:br/>
        <w:t>Lokesh Kumar</w:t>
      </w:r>
      <w:r w:rsidRPr="00AB35EF">
        <w:br/>
        <w:t>MBA (Finance with Marketing Minor)</w:t>
      </w:r>
      <w:r w:rsidRPr="00AB35EF">
        <w:br/>
        <w:t xml:space="preserve">Jaypee University, </w:t>
      </w:r>
      <w:proofErr w:type="spellStart"/>
      <w:r w:rsidRPr="00AB35EF">
        <w:t>Anoopshahr</w:t>
      </w:r>
      <w:proofErr w:type="spellEnd"/>
    </w:p>
    <w:p w14:paraId="6505EACF" w14:textId="77777777" w:rsidR="00AB35EF" w:rsidRPr="00AB35EF" w:rsidRDefault="00AB35EF" w:rsidP="00AB35EF">
      <w:r w:rsidRPr="00AB35EF">
        <w:rPr>
          <w:b/>
          <w:bCs/>
        </w:rPr>
        <w:t>Guided by:</w:t>
      </w:r>
      <w:r w:rsidRPr="00AB35EF">
        <w:br/>
        <w:t>Dr. Rahul Kumar</w:t>
      </w:r>
    </w:p>
    <w:p w14:paraId="2F0DF7BE" w14:textId="77777777" w:rsidR="00AB35EF" w:rsidRPr="00AB35EF" w:rsidRDefault="00AB35EF" w:rsidP="00AB35EF">
      <w:r w:rsidRPr="00AB35EF">
        <w:rPr>
          <w:b/>
          <w:bCs/>
        </w:rPr>
        <w:t>Date:</w:t>
      </w:r>
      <w:r w:rsidRPr="00AB35EF">
        <w:br/>
        <w:t>August 2025</w:t>
      </w:r>
    </w:p>
    <w:p w14:paraId="45E6071E" w14:textId="77777777" w:rsidR="00AB35EF" w:rsidRPr="00AB35EF" w:rsidRDefault="00AB35EF" w:rsidP="00AB35EF">
      <w:r w:rsidRPr="00AB35EF">
        <w:pict w14:anchorId="692B0342">
          <v:rect id="_x0000_i1115" style="width:0;height:1.5pt" o:hralign="center" o:hrstd="t" o:hr="t" fillcolor="#a0a0a0" stroked="f"/>
        </w:pict>
      </w:r>
    </w:p>
    <w:p w14:paraId="24ABF499" w14:textId="77777777" w:rsidR="00AB35EF" w:rsidRPr="00AB35EF" w:rsidRDefault="00AB35EF" w:rsidP="00AB35EF">
      <w:pPr>
        <w:rPr>
          <w:b/>
          <w:bCs/>
        </w:rPr>
      </w:pPr>
      <w:r w:rsidRPr="00AB35EF">
        <w:rPr>
          <w:b/>
          <w:bCs/>
        </w:rPr>
        <w:t>1. Abstract</w:t>
      </w:r>
    </w:p>
    <w:p w14:paraId="73D35E3B" w14:textId="77777777" w:rsidR="00AB35EF" w:rsidRPr="00AB35EF" w:rsidRDefault="00AB35EF" w:rsidP="00AB35EF">
      <w:r w:rsidRPr="00AB35EF">
        <w:t xml:space="preserve">This project explores the dynamics of volatility in Indian equity markets using the Generalized Autoregressive Conditional Heteroskedasticity (GARCH) framework. NIFTY 50 daily price data was employed to compute log returns, which were tested for stationarity and conditional heteroscedasticity. A </w:t>
      </w:r>
      <w:proofErr w:type="gramStart"/>
      <w:r w:rsidRPr="00AB35EF">
        <w:t>GARCH(</w:t>
      </w:r>
      <w:proofErr w:type="gramEnd"/>
      <w:r w:rsidRPr="00AB35EF">
        <w:t>1,1) model with Student-t innovations was fitted to capture volatility clustering and persistence.</w:t>
      </w:r>
    </w:p>
    <w:p w14:paraId="0ED2F6AC" w14:textId="77777777" w:rsidR="00AB35EF" w:rsidRPr="00AB35EF" w:rsidRDefault="00AB35EF" w:rsidP="00AB35EF">
      <w:r w:rsidRPr="00AB35EF">
        <w:t>The results revealed significant volatility persistence, with conditional variance closely matching observed fluctuations. A volatility-scaled trading strategy was implemented, and its performance was benchmarked against a buy-and-hold portfolio. While the GARCH-based strategy achieved lower volatility and reduced drawdowns, its annual return and Sharpe ratio were slightly inferior to the benchmark.</w:t>
      </w:r>
    </w:p>
    <w:p w14:paraId="4E4DD410" w14:textId="77777777" w:rsidR="00AB35EF" w:rsidRPr="00AB35EF" w:rsidRDefault="00AB35EF" w:rsidP="00AB35EF">
      <w:r w:rsidRPr="00AB35EF">
        <w:t xml:space="preserve">This demonstrates the trade-off between risk control and return maximization. The findings confirm the usefulness of GARCH models in </w:t>
      </w:r>
      <w:r w:rsidRPr="00AB35EF">
        <w:rPr>
          <w:b/>
          <w:bCs/>
        </w:rPr>
        <w:t>risk management, forecasting, and investment decision-making</w:t>
      </w:r>
      <w:r w:rsidRPr="00AB35EF">
        <w:t>.</w:t>
      </w:r>
    </w:p>
    <w:p w14:paraId="1ACD50C4" w14:textId="77777777" w:rsidR="00AB35EF" w:rsidRPr="00AB35EF" w:rsidRDefault="00AB35EF" w:rsidP="00AB35EF">
      <w:r w:rsidRPr="00AB35EF">
        <w:pict w14:anchorId="3228DC9C">
          <v:rect id="_x0000_i1116" style="width:0;height:1.5pt" o:hralign="center" o:hrstd="t" o:hr="t" fillcolor="#a0a0a0" stroked="f"/>
        </w:pict>
      </w:r>
    </w:p>
    <w:p w14:paraId="51A038B5" w14:textId="77777777" w:rsidR="00AB35EF" w:rsidRPr="00AB35EF" w:rsidRDefault="00AB35EF" w:rsidP="00AB35EF">
      <w:pPr>
        <w:rPr>
          <w:b/>
          <w:bCs/>
        </w:rPr>
      </w:pPr>
      <w:r w:rsidRPr="00AB35EF">
        <w:rPr>
          <w:b/>
          <w:bCs/>
        </w:rPr>
        <w:t>2. Introduction</w:t>
      </w:r>
    </w:p>
    <w:p w14:paraId="0AAC58DD" w14:textId="77777777" w:rsidR="00AB35EF" w:rsidRPr="00AB35EF" w:rsidRDefault="00AB35EF" w:rsidP="00AB35EF">
      <w:r w:rsidRPr="00AB35EF">
        <w:t xml:space="preserve">Financial time series often exhibit </w:t>
      </w:r>
      <w:r w:rsidRPr="00AB35EF">
        <w:rPr>
          <w:b/>
          <w:bCs/>
        </w:rPr>
        <w:t>volatility clustering</w:t>
      </w:r>
      <w:r w:rsidRPr="00AB35EF">
        <w:t xml:space="preserve"> – periods of high volatility followed by periods of calm – which cannot be explained by constant-variance models.</w:t>
      </w:r>
    </w:p>
    <w:p w14:paraId="10D9D959" w14:textId="77777777" w:rsidR="00AB35EF" w:rsidRPr="00AB35EF" w:rsidRDefault="00AB35EF" w:rsidP="00AB35EF">
      <w:r w:rsidRPr="00AB35EF">
        <w:t xml:space="preserve">The GARCH family of models, introduced by </w:t>
      </w:r>
      <w:r w:rsidRPr="00AB35EF">
        <w:rPr>
          <w:b/>
          <w:bCs/>
        </w:rPr>
        <w:t>Engle (1982)</w:t>
      </w:r>
      <w:r w:rsidRPr="00AB35EF">
        <w:t xml:space="preserve"> and extended by </w:t>
      </w:r>
      <w:r w:rsidRPr="00AB35EF">
        <w:rPr>
          <w:b/>
          <w:bCs/>
        </w:rPr>
        <w:t>Bollerslev (1986)</w:t>
      </w:r>
      <w:r w:rsidRPr="00AB35EF">
        <w:t>, provides a robust framework to model such dynamics.</w:t>
      </w:r>
    </w:p>
    <w:p w14:paraId="1073F49D" w14:textId="77777777" w:rsidR="00AB35EF" w:rsidRPr="00AB35EF" w:rsidRDefault="00AB35EF" w:rsidP="00AB35EF">
      <w:r w:rsidRPr="00AB35EF">
        <w:lastRenderedPageBreak/>
        <w:t xml:space="preserve">This project applies GARCH </w:t>
      </w:r>
      <w:proofErr w:type="spellStart"/>
      <w:r w:rsidRPr="00AB35EF">
        <w:t>modeling</w:t>
      </w:r>
      <w:proofErr w:type="spellEnd"/>
      <w:r w:rsidRPr="00AB35EF">
        <w:t xml:space="preserve"> to the Indian benchmark index </w:t>
      </w:r>
      <w:r w:rsidRPr="00AB35EF">
        <w:rPr>
          <w:b/>
          <w:bCs/>
        </w:rPr>
        <w:t>NIFTY 50</w:t>
      </w:r>
      <w:r w:rsidRPr="00AB35EF">
        <w:t xml:space="preserve"> to:</w:t>
      </w:r>
    </w:p>
    <w:p w14:paraId="4B7BF73D" w14:textId="77777777" w:rsidR="00AB35EF" w:rsidRPr="00AB35EF" w:rsidRDefault="00AB35EF" w:rsidP="00AB35EF">
      <w:pPr>
        <w:numPr>
          <w:ilvl w:val="0"/>
          <w:numId w:val="1"/>
        </w:numPr>
      </w:pPr>
      <w:proofErr w:type="spellStart"/>
      <w:r w:rsidRPr="00AB35EF">
        <w:t>Analyze</w:t>
      </w:r>
      <w:proofErr w:type="spellEnd"/>
      <w:r w:rsidRPr="00AB35EF">
        <w:t xml:space="preserve"> volatility characteristics of daily returns.</w:t>
      </w:r>
    </w:p>
    <w:p w14:paraId="6DC8AE95" w14:textId="77777777" w:rsidR="00AB35EF" w:rsidRPr="00AB35EF" w:rsidRDefault="00AB35EF" w:rsidP="00AB35EF">
      <w:pPr>
        <w:numPr>
          <w:ilvl w:val="0"/>
          <w:numId w:val="1"/>
        </w:numPr>
      </w:pPr>
      <w:r w:rsidRPr="00AB35EF">
        <w:t xml:space="preserve">Fit and evaluate the </w:t>
      </w:r>
      <w:proofErr w:type="gramStart"/>
      <w:r w:rsidRPr="00AB35EF">
        <w:t>GARCH(</w:t>
      </w:r>
      <w:proofErr w:type="gramEnd"/>
      <w:r w:rsidRPr="00AB35EF">
        <w:t>1,1) model and its forecasts.</w:t>
      </w:r>
    </w:p>
    <w:p w14:paraId="46DE78A6" w14:textId="77777777" w:rsidR="00AB35EF" w:rsidRPr="00AB35EF" w:rsidRDefault="00AB35EF" w:rsidP="00AB35EF">
      <w:pPr>
        <w:numPr>
          <w:ilvl w:val="0"/>
          <w:numId w:val="1"/>
        </w:numPr>
      </w:pPr>
      <w:r w:rsidRPr="00AB35EF">
        <w:t>Test the effectiveness of a volatility-scaled trading strategy.</w:t>
      </w:r>
    </w:p>
    <w:p w14:paraId="5FC74F25" w14:textId="77777777" w:rsidR="00AB35EF" w:rsidRPr="00AB35EF" w:rsidRDefault="00AB35EF" w:rsidP="00AB35EF">
      <w:pPr>
        <w:numPr>
          <w:ilvl w:val="0"/>
          <w:numId w:val="1"/>
        </w:numPr>
      </w:pPr>
      <w:r w:rsidRPr="00AB35EF">
        <w:t>Benchmark results against a passive buy-and-hold approach.</w:t>
      </w:r>
    </w:p>
    <w:p w14:paraId="7C342C48" w14:textId="77777777" w:rsidR="00AB35EF" w:rsidRPr="00AB35EF" w:rsidRDefault="00AB35EF" w:rsidP="00AB35EF">
      <w:r w:rsidRPr="00AB35EF">
        <w:pict w14:anchorId="64A41A25">
          <v:rect id="_x0000_i1117" style="width:0;height:1.5pt" o:hralign="center" o:hrstd="t" o:hr="t" fillcolor="#a0a0a0" stroked="f"/>
        </w:pict>
      </w:r>
    </w:p>
    <w:p w14:paraId="7893D14C" w14:textId="77777777" w:rsidR="00AB35EF" w:rsidRPr="00AB35EF" w:rsidRDefault="00AB35EF" w:rsidP="00AB35EF">
      <w:pPr>
        <w:rPr>
          <w:b/>
          <w:bCs/>
        </w:rPr>
      </w:pPr>
      <w:r w:rsidRPr="00AB35EF">
        <w:rPr>
          <w:b/>
          <w:bCs/>
        </w:rPr>
        <w:t>3. Literature Review</w:t>
      </w:r>
    </w:p>
    <w:p w14:paraId="59D13649" w14:textId="77777777" w:rsidR="00AB35EF" w:rsidRPr="00AB35EF" w:rsidRDefault="00AB35EF" w:rsidP="00AB35EF">
      <w:pPr>
        <w:numPr>
          <w:ilvl w:val="0"/>
          <w:numId w:val="2"/>
        </w:numPr>
      </w:pPr>
      <w:r w:rsidRPr="00AB35EF">
        <w:rPr>
          <w:b/>
          <w:bCs/>
        </w:rPr>
        <w:t>Engle (1982):</w:t>
      </w:r>
      <w:r w:rsidRPr="00AB35EF">
        <w:t xml:space="preserve"> Introduced the ARCH model to capture time-varying volatility.</w:t>
      </w:r>
    </w:p>
    <w:p w14:paraId="4A1C7B17" w14:textId="77777777" w:rsidR="00AB35EF" w:rsidRPr="00AB35EF" w:rsidRDefault="00AB35EF" w:rsidP="00AB35EF">
      <w:pPr>
        <w:numPr>
          <w:ilvl w:val="0"/>
          <w:numId w:val="2"/>
        </w:numPr>
      </w:pPr>
      <w:r w:rsidRPr="00AB35EF">
        <w:rPr>
          <w:b/>
          <w:bCs/>
        </w:rPr>
        <w:t>Bollerslev (1986):</w:t>
      </w:r>
      <w:r w:rsidRPr="00AB35EF">
        <w:t xml:space="preserve"> Generalized ARCH into GARCH, allowing parsimonious lag structures.</w:t>
      </w:r>
    </w:p>
    <w:p w14:paraId="41AB02C3" w14:textId="77777777" w:rsidR="00AB35EF" w:rsidRPr="00AB35EF" w:rsidRDefault="00AB35EF" w:rsidP="00AB35EF">
      <w:pPr>
        <w:numPr>
          <w:ilvl w:val="0"/>
          <w:numId w:val="2"/>
        </w:numPr>
      </w:pPr>
      <w:r w:rsidRPr="00AB35EF">
        <w:rPr>
          <w:b/>
          <w:bCs/>
        </w:rPr>
        <w:t>Nelson (1991):</w:t>
      </w:r>
      <w:r w:rsidRPr="00AB35EF">
        <w:t xml:space="preserve"> Extended to EGARCH for asymmetry effects.</w:t>
      </w:r>
    </w:p>
    <w:p w14:paraId="5895D1C6" w14:textId="77777777" w:rsidR="00AB35EF" w:rsidRPr="00AB35EF" w:rsidRDefault="00AB35EF" w:rsidP="00AB35EF">
      <w:pPr>
        <w:numPr>
          <w:ilvl w:val="0"/>
          <w:numId w:val="2"/>
        </w:numPr>
      </w:pPr>
      <w:r w:rsidRPr="00AB35EF">
        <w:t xml:space="preserve">Several studies show GARCH models are effective in </w:t>
      </w:r>
      <w:r w:rsidRPr="00AB35EF">
        <w:rPr>
          <w:b/>
          <w:bCs/>
        </w:rPr>
        <w:t>risk management, Value-at-Risk (</w:t>
      </w:r>
      <w:proofErr w:type="spellStart"/>
      <w:r w:rsidRPr="00AB35EF">
        <w:rPr>
          <w:b/>
          <w:bCs/>
        </w:rPr>
        <w:t>VaR</w:t>
      </w:r>
      <w:proofErr w:type="spellEnd"/>
      <w:r w:rsidRPr="00AB35EF">
        <w:rPr>
          <w:b/>
          <w:bCs/>
        </w:rPr>
        <w:t>), option pricing, and portfolio allocation</w:t>
      </w:r>
      <w:r w:rsidRPr="00AB35EF">
        <w:t>.</w:t>
      </w:r>
    </w:p>
    <w:p w14:paraId="069D7818" w14:textId="77777777" w:rsidR="00AB35EF" w:rsidRPr="00AB35EF" w:rsidRDefault="00AB35EF" w:rsidP="00AB35EF">
      <w:pPr>
        <w:numPr>
          <w:ilvl w:val="0"/>
          <w:numId w:val="2"/>
        </w:numPr>
      </w:pPr>
      <w:r w:rsidRPr="00AB35EF">
        <w:t>Indian equity markets, with their unique volatility patterns, provide an important testing ground for such models.</w:t>
      </w:r>
    </w:p>
    <w:p w14:paraId="6214D80E" w14:textId="77777777" w:rsidR="00AB35EF" w:rsidRPr="00AB35EF" w:rsidRDefault="00AB35EF" w:rsidP="00AB35EF">
      <w:r w:rsidRPr="00AB35EF">
        <w:pict w14:anchorId="068BF69B">
          <v:rect id="_x0000_i1118" style="width:0;height:1.5pt" o:hralign="center" o:hrstd="t" o:hr="t" fillcolor="#a0a0a0" stroked="f"/>
        </w:pict>
      </w:r>
    </w:p>
    <w:p w14:paraId="54B178C9" w14:textId="77777777" w:rsidR="00AB35EF" w:rsidRPr="00AB35EF" w:rsidRDefault="00AB35EF" w:rsidP="00AB35EF">
      <w:pPr>
        <w:rPr>
          <w:b/>
          <w:bCs/>
        </w:rPr>
      </w:pPr>
      <w:r w:rsidRPr="00AB35EF">
        <w:rPr>
          <w:b/>
          <w:bCs/>
        </w:rPr>
        <w:t>4. Data and Methodology</w:t>
      </w:r>
    </w:p>
    <w:p w14:paraId="37739FD8" w14:textId="77777777" w:rsidR="00AB35EF" w:rsidRPr="00AB35EF" w:rsidRDefault="00AB35EF" w:rsidP="00AB35EF">
      <w:pPr>
        <w:rPr>
          <w:b/>
          <w:bCs/>
        </w:rPr>
      </w:pPr>
      <w:r w:rsidRPr="00AB35EF">
        <w:rPr>
          <w:b/>
          <w:bCs/>
        </w:rPr>
        <w:t>4.1 Data Source</w:t>
      </w:r>
    </w:p>
    <w:p w14:paraId="69C7FFBA" w14:textId="77777777" w:rsidR="00AB35EF" w:rsidRPr="00AB35EF" w:rsidRDefault="00AB35EF" w:rsidP="00AB35EF">
      <w:pPr>
        <w:numPr>
          <w:ilvl w:val="0"/>
          <w:numId w:val="3"/>
        </w:numPr>
      </w:pPr>
      <w:r w:rsidRPr="00AB35EF">
        <w:t>Data: NIFTY 50 daily closing prices.</w:t>
      </w:r>
    </w:p>
    <w:p w14:paraId="38AA6FBE" w14:textId="77777777" w:rsidR="00AB35EF" w:rsidRPr="00AB35EF" w:rsidRDefault="00AB35EF" w:rsidP="00AB35EF">
      <w:pPr>
        <w:numPr>
          <w:ilvl w:val="0"/>
          <w:numId w:val="3"/>
        </w:numPr>
      </w:pPr>
      <w:r w:rsidRPr="00AB35EF">
        <w:t xml:space="preserve">Source: Yahoo Finance (via Python </w:t>
      </w:r>
      <w:proofErr w:type="spellStart"/>
      <w:r w:rsidRPr="00AB35EF">
        <w:t>yfinance</w:t>
      </w:r>
      <w:proofErr w:type="spellEnd"/>
      <w:r w:rsidRPr="00AB35EF">
        <w:t xml:space="preserve"> library).</w:t>
      </w:r>
    </w:p>
    <w:p w14:paraId="7D8D9872" w14:textId="77777777" w:rsidR="00AB35EF" w:rsidRPr="00AB35EF" w:rsidRDefault="00AB35EF" w:rsidP="00AB35EF">
      <w:pPr>
        <w:numPr>
          <w:ilvl w:val="0"/>
          <w:numId w:val="3"/>
        </w:numPr>
      </w:pPr>
      <w:r w:rsidRPr="00AB35EF">
        <w:t xml:space="preserve">Period: </w:t>
      </w:r>
      <w:r w:rsidRPr="00AB35EF">
        <w:rPr>
          <w:b/>
          <w:bCs/>
        </w:rPr>
        <w:t>January 2015 – August 2025</w:t>
      </w:r>
      <w:r w:rsidRPr="00AB35EF">
        <w:t>.</w:t>
      </w:r>
    </w:p>
    <w:p w14:paraId="3C1E581B" w14:textId="77777777" w:rsidR="00AB35EF" w:rsidRPr="00AB35EF" w:rsidRDefault="00AB35EF" w:rsidP="00AB35EF">
      <w:pPr>
        <w:numPr>
          <w:ilvl w:val="0"/>
          <w:numId w:val="3"/>
        </w:numPr>
      </w:pPr>
      <w:r w:rsidRPr="00AB35EF">
        <w:t>Returns: Computed daily log returns to ensure stationarity.</w:t>
      </w:r>
    </w:p>
    <w:p w14:paraId="7326E609" w14:textId="77777777" w:rsidR="00AB35EF" w:rsidRPr="00AB35EF" w:rsidRDefault="00AB35EF" w:rsidP="00AB35EF">
      <w:r w:rsidRPr="00AB35EF">
        <w:pict w14:anchorId="428040C5">
          <v:rect id="_x0000_i1119" style="width:0;height:1.5pt" o:hralign="center" o:hrstd="t" o:hr="t" fillcolor="#a0a0a0" stroked="f"/>
        </w:pict>
      </w:r>
    </w:p>
    <w:p w14:paraId="3653EC7E" w14:textId="77777777" w:rsidR="00AB35EF" w:rsidRPr="00AB35EF" w:rsidRDefault="00AB35EF" w:rsidP="00AB35EF">
      <w:pPr>
        <w:rPr>
          <w:b/>
          <w:bCs/>
        </w:rPr>
      </w:pPr>
      <w:r w:rsidRPr="00AB35EF">
        <w:rPr>
          <w:b/>
          <w:bCs/>
        </w:rPr>
        <w:t>4.2 Stationarity Tests</w:t>
      </w:r>
    </w:p>
    <w:p w14:paraId="4CA4761D" w14:textId="77777777" w:rsidR="00AB35EF" w:rsidRPr="00AB35EF" w:rsidRDefault="00AB35EF" w:rsidP="00AB35EF">
      <w:pPr>
        <w:numPr>
          <w:ilvl w:val="0"/>
          <w:numId w:val="4"/>
        </w:numPr>
      </w:pPr>
      <w:r w:rsidRPr="00AB35EF">
        <w:t>Augmented Dickey-Fuller (ADF) test results:</w:t>
      </w:r>
    </w:p>
    <w:p w14:paraId="5C54164B" w14:textId="77777777" w:rsidR="00AB35EF" w:rsidRPr="00AB35EF" w:rsidRDefault="00AB35EF" w:rsidP="00AB35EF">
      <w:pPr>
        <w:numPr>
          <w:ilvl w:val="1"/>
          <w:numId w:val="4"/>
        </w:numPr>
      </w:pPr>
      <w:r w:rsidRPr="00AB35EF">
        <w:t>Log prices: Non-stationary (ADF statistic = –0.2606, p-value ≈ 0.93).</w:t>
      </w:r>
    </w:p>
    <w:p w14:paraId="20E81A55" w14:textId="77777777" w:rsidR="00AB35EF" w:rsidRPr="00AB35EF" w:rsidRDefault="00AB35EF" w:rsidP="00AB35EF">
      <w:pPr>
        <w:numPr>
          <w:ilvl w:val="1"/>
          <w:numId w:val="4"/>
        </w:numPr>
      </w:pPr>
      <w:r w:rsidRPr="00AB35EF">
        <w:t>Returns: Stationary (ADF statistic = –14.1302, p-value &lt; 0.01).</w:t>
      </w:r>
    </w:p>
    <w:p w14:paraId="0346F59E" w14:textId="77777777" w:rsidR="00AB35EF" w:rsidRPr="00AB35EF" w:rsidRDefault="00AB35EF" w:rsidP="00AB35EF">
      <w:pPr>
        <w:numPr>
          <w:ilvl w:val="0"/>
          <w:numId w:val="4"/>
        </w:numPr>
      </w:pPr>
      <w:r w:rsidRPr="00AB35EF">
        <w:t xml:space="preserve">Conclusion: Returns are suitable for volatility </w:t>
      </w:r>
      <w:proofErr w:type="spellStart"/>
      <w:r w:rsidRPr="00AB35EF">
        <w:t>modeling</w:t>
      </w:r>
      <w:proofErr w:type="spellEnd"/>
      <w:r w:rsidRPr="00AB35EF">
        <w:t>.</w:t>
      </w:r>
    </w:p>
    <w:p w14:paraId="54494D7E" w14:textId="77777777" w:rsidR="00AB35EF" w:rsidRPr="00AB35EF" w:rsidRDefault="00AB35EF" w:rsidP="00AB35EF">
      <w:r w:rsidRPr="00AB35EF">
        <w:pict w14:anchorId="4D41A2B4">
          <v:rect id="_x0000_i1120" style="width:0;height:1.5pt" o:hralign="center" o:hrstd="t" o:hr="t" fillcolor="#a0a0a0" stroked="f"/>
        </w:pict>
      </w:r>
    </w:p>
    <w:p w14:paraId="1B2EC33A" w14:textId="77777777" w:rsidR="00AB35EF" w:rsidRPr="00AB35EF" w:rsidRDefault="00AB35EF" w:rsidP="00AB35EF">
      <w:pPr>
        <w:rPr>
          <w:b/>
          <w:bCs/>
        </w:rPr>
      </w:pPr>
      <w:r w:rsidRPr="00AB35EF">
        <w:rPr>
          <w:b/>
          <w:bCs/>
        </w:rPr>
        <w:lastRenderedPageBreak/>
        <w:t xml:space="preserve">4.3 </w:t>
      </w:r>
      <w:proofErr w:type="gramStart"/>
      <w:r w:rsidRPr="00AB35EF">
        <w:rPr>
          <w:b/>
          <w:bCs/>
        </w:rPr>
        <w:t>GARCH(</w:t>
      </w:r>
      <w:proofErr w:type="gramEnd"/>
      <w:r w:rsidRPr="00AB35EF">
        <w:rPr>
          <w:b/>
          <w:bCs/>
        </w:rPr>
        <w:t>1,1) Model</w:t>
      </w:r>
    </w:p>
    <w:p w14:paraId="6C045A7D" w14:textId="77777777" w:rsidR="00AB35EF" w:rsidRPr="00AB35EF" w:rsidRDefault="00AB35EF" w:rsidP="00AB35EF">
      <w:pPr>
        <w:numPr>
          <w:ilvl w:val="0"/>
          <w:numId w:val="5"/>
        </w:numPr>
      </w:pPr>
      <w:r w:rsidRPr="00AB35EF">
        <w:t xml:space="preserve">Specification: Constant mean with </w:t>
      </w:r>
      <w:proofErr w:type="gramStart"/>
      <w:r w:rsidRPr="00AB35EF">
        <w:t>GARCH(</w:t>
      </w:r>
      <w:proofErr w:type="gramEnd"/>
      <w:r w:rsidRPr="00AB35EF">
        <w:t>1,1) variance and Student-t errors.</w:t>
      </w:r>
    </w:p>
    <w:p w14:paraId="7E10661E" w14:textId="77777777" w:rsidR="00AB35EF" w:rsidRPr="00AB35EF" w:rsidRDefault="00AB35EF" w:rsidP="00AB35EF">
      <w:pPr>
        <w:numPr>
          <w:ilvl w:val="0"/>
          <w:numId w:val="5"/>
        </w:numPr>
      </w:pPr>
      <w:r w:rsidRPr="00AB35EF">
        <w:t>Estimated Parameters:</w:t>
      </w:r>
    </w:p>
    <w:p w14:paraId="562A7EB7" w14:textId="77777777" w:rsidR="00AB35EF" w:rsidRPr="00AB35EF" w:rsidRDefault="00AB35EF" w:rsidP="00AB35EF">
      <w:pPr>
        <w:numPr>
          <w:ilvl w:val="1"/>
          <w:numId w:val="5"/>
        </w:numPr>
      </w:pPr>
      <w:r w:rsidRPr="00AB35EF">
        <w:t>ω (constant) = 0.0295 (significant)</w:t>
      </w:r>
    </w:p>
    <w:p w14:paraId="374C0906" w14:textId="77777777" w:rsidR="00AB35EF" w:rsidRPr="00AB35EF" w:rsidRDefault="00AB35EF" w:rsidP="00AB35EF">
      <w:pPr>
        <w:numPr>
          <w:ilvl w:val="1"/>
          <w:numId w:val="5"/>
        </w:numPr>
      </w:pPr>
      <w:r w:rsidRPr="00AB35EF">
        <w:t>α1 (ARCH term) = 0.0806 (significant)</w:t>
      </w:r>
    </w:p>
    <w:p w14:paraId="7B02FD26" w14:textId="77777777" w:rsidR="00AB35EF" w:rsidRPr="00AB35EF" w:rsidRDefault="00AB35EF" w:rsidP="00AB35EF">
      <w:pPr>
        <w:numPr>
          <w:ilvl w:val="1"/>
          <w:numId w:val="5"/>
        </w:numPr>
      </w:pPr>
      <w:r w:rsidRPr="00AB35EF">
        <w:t>β1 (GARCH term) = 0.8853 (significant)</w:t>
      </w:r>
    </w:p>
    <w:p w14:paraId="3CB69011" w14:textId="77777777" w:rsidR="00AB35EF" w:rsidRPr="00AB35EF" w:rsidRDefault="00AB35EF" w:rsidP="00AB35EF">
      <w:pPr>
        <w:numPr>
          <w:ilvl w:val="1"/>
          <w:numId w:val="5"/>
        </w:numPr>
      </w:pPr>
      <w:r w:rsidRPr="00AB35EF">
        <w:t xml:space="preserve">Persistence (α + β) = </w:t>
      </w:r>
      <w:r w:rsidRPr="00AB35EF">
        <w:rPr>
          <w:b/>
          <w:bCs/>
        </w:rPr>
        <w:t>0.966</w:t>
      </w:r>
      <w:r w:rsidRPr="00AB35EF">
        <w:t>, indicating strong volatility clustering.</w:t>
      </w:r>
    </w:p>
    <w:p w14:paraId="42C1C05B" w14:textId="77777777" w:rsidR="00AB35EF" w:rsidRPr="00AB35EF" w:rsidRDefault="00AB35EF" w:rsidP="00AB35EF">
      <w:pPr>
        <w:numPr>
          <w:ilvl w:val="1"/>
          <w:numId w:val="5"/>
        </w:numPr>
      </w:pPr>
      <w:r w:rsidRPr="00AB35EF">
        <w:t>Degrees of freedom (ν) = 6.35, capturing heavy-tailed distribution of returns.</w:t>
      </w:r>
    </w:p>
    <w:p w14:paraId="1DFD3748" w14:textId="77777777" w:rsidR="00AB35EF" w:rsidRPr="00AB35EF" w:rsidRDefault="00AB35EF" w:rsidP="00AB35EF">
      <w:r w:rsidRPr="00AB35EF">
        <w:pict w14:anchorId="6A0BA4C3">
          <v:rect id="_x0000_i1121" style="width:0;height:1.5pt" o:hralign="center" o:hrstd="t" o:hr="t" fillcolor="#a0a0a0" stroked="f"/>
        </w:pict>
      </w:r>
    </w:p>
    <w:p w14:paraId="163E7EEE" w14:textId="77777777" w:rsidR="00AB35EF" w:rsidRPr="00AB35EF" w:rsidRDefault="00AB35EF" w:rsidP="00AB35EF">
      <w:pPr>
        <w:rPr>
          <w:b/>
          <w:bCs/>
        </w:rPr>
      </w:pPr>
      <w:r w:rsidRPr="00AB35EF">
        <w:rPr>
          <w:b/>
          <w:bCs/>
        </w:rPr>
        <w:t>4.4 Forecasting</w:t>
      </w:r>
    </w:p>
    <w:p w14:paraId="769825A8" w14:textId="77777777" w:rsidR="00AB35EF" w:rsidRPr="00AB35EF" w:rsidRDefault="00AB35EF" w:rsidP="00AB35EF">
      <w:pPr>
        <w:numPr>
          <w:ilvl w:val="0"/>
          <w:numId w:val="6"/>
        </w:numPr>
      </w:pPr>
      <w:r w:rsidRPr="00AB35EF">
        <w:t>5-day ahead daily volatility forecasts (decimal form):</w:t>
      </w:r>
    </w:p>
    <w:p w14:paraId="45E99CE3" w14:textId="77777777" w:rsidR="00AB35EF" w:rsidRPr="00AB35EF" w:rsidRDefault="00AB35EF" w:rsidP="00AB35EF">
      <w:pPr>
        <w:numPr>
          <w:ilvl w:val="1"/>
          <w:numId w:val="6"/>
        </w:numPr>
      </w:pPr>
      <w:r w:rsidRPr="00AB35EF">
        <w:t>Day 1: 0.00714</w:t>
      </w:r>
    </w:p>
    <w:p w14:paraId="2E3477DF" w14:textId="77777777" w:rsidR="00AB35EF" w:rsidRPr="00AB35EF" w:rsidRDefault="00AB35EF" w:rsidP="00AB35EF">
      <w:pPr>
        <w:numPr>
          <w:ilvl w:val="1"/>
          <w:numId w:val="6"/>
        </w:numPr>
      </w:pPr>
      <w:r w:rsidRPr="00AB35EF">
        <w:t>Day 2: 0.00722</w:t>
      </w:r>
    </w:p>
    <w:p w14:paraId="2DE783D3" w14:textId="77777777" w:rsidR="00AB35EF" w:rsidRPr="00AB35EF" w:rsidRDefault="00AB35EF" w:rsidP="00AB35EF">
      <w:pPr>
        <w:numPr>
          <w:ilvl w:val="1"/>
          <w:numId w:val="6"/>
        </w:numPr>
      </w:pPr>
      <w:r w:rsidRPr="00AB35EF">
        <w:t>Day 3: 0.00730</w:t>
      </w:r>
    </w:p>
    <w:p w14:paraId="25B8F904" w14:textId="77777777" w:rsidR="00AB35EF" w:rsidRPr="00AB35EF" w:rsidRDefault="00AB35EF" w:rsidP="00AB35EF">
      <w:pPr>
        <w:numPr>
          <w:ilvl w:val="1"/>
          <w:numId w:val="6"/>
        </w:numPr>
      </w:pPr>
      <w:r w:rsidRPr="00AB35EF">
        <w:t>Day 4: 0.00738</w:t>
      </w:r>
    </w:p>
    <w:p w14:paraId="4435CD3E" w14:textId="77777777" w:rsidR="00AB35EF" w:rsidRPr="00AB35EF" w:rsidRDefault="00AB35EF" w:rsidP="00AB35EF">
      <w:pPr>
        <w:numPr>
          <w:ilvl w:val="1"/>
          <w:numId w:val="6"/>
        </w:numPr>
      </w:pPr>
      <w:r w:rsidRPr="00AB35EF">
        <w:t>Day 5: 0.00745</w:t>
      </w:r>
    </w:p>
    <w:p w14:paraId="5F0FA59A" w14:textId="77777777" w:rsidR="00AB35EF" w:rsidRPr="00AB35EF" w:rsidRDefault="00AB35EF" w:rsidP="00AB35EF">
      <w:r w:rsidRPr="00AB35EF">
        <w:t>Forecasts indicate gradually increasing short-term volatility, consistent with volatility persistence.</w:t>
      </w:r>
    </w:p>
    <w:p w14:paraId="7650FC3A" w14:textId="77777777" w:rsidR="00AB35EF" w:rsidRPr="00AB35EF" w:rsidRDefault="00AB35EF" w:rsidP="00AB35EF">
      <w:r w:rsidRPr="00AB35EF">
        <w:pict w14:anchorId="5BBCB0B8">
          <v:rect id="_x0000_i1122" style="width:0;height:1.5pt" o:hralign="center" o:hrstd="t" o:hr="t" fillcolor="#a0a0a0" stroked="f"/>
        </w:pict>
      </w:r>
    </w:p>
    <w:p w14:paraId="1BE943DE" w14:textId="77777777" w:rsidR="00AB35EF" w:rsidRPr="00AB35EF" w:rsidRDefault="00AB35EF" w:rsidP="00AB35EF">
      <w:pPr>
        <w:rPr>
          <w:b/>
          <w:bCs/>
        </w:rPr>
      </w:pPr>
      <w:r w:rsidRPr="00AB35EF">
        <w:rPr>
          <w:b/>
          <w:bCs/>
        </w:rPr>
        <w:t>4.5 Rolling Strategy</w:t>
      </w:r>
    </w:p>
    <w:p w14:paraId="5EDD6CCB" w14:textId="77777777" w:rsidR="00AB35EF" w:rsidRPr="00AB35EF" w:rsidRDefault="00AB35EF" w:rsidP="00AB35EF">
      <w:pPr>
        <w:numPr>
          <w:ilvl w:val="0"/>
          <w:numId w:val="7"/>
        </w:numPr>
      </w:pPr>
      <w:r w:rsidRPr="00AB35EF">
        <w:t>Approach: Rolling/expanding window estimation with rebalancing.</w:t>
      </w:r>
    </w:p>
    <w:p w14:paraId="6FA39D15" w14:textId="77777777" w:rsidR="00AB35EF" w:rsidRPr="00AB35EF" w:rsidRDefault="00AB35EF" w:rsidP="00AB35EF">
      <w:pPr>
        <w:numPr>
          <w:ilvl w:val="0"/>
          <w:numId w:val="7"/>
        </w:numPr>
      </w:pPr>
      <w:r w:rsidRPr="00AB35EF">
        <w:t>Position sizing rule:</w:t>
      </w:r>
    </w:p>
    <w:p w14:paraId="72CE19B3" w14:textId="77777777" w:rsidR="00AB35EF" w:rsidRPr="00AB35EF" w:rsidRDefault="00AB35EF" w:rsidP="00AB35EF">
      <w:pPr>
        <w:numPr>
          <w:ilvl w:val="1"/>
          <w:numId w:val="7"/>
        </w:numPr>
      </w:pPr>
      <w:r w:rsidRPr="00AB35EF">
        <w:t>Target annual volatility = 12%.</w:t>
      </w:r>
    </w:p>
    <w:p w14:paraId="67BCD798" w14:textId="77777777" w:rsidR="00AB35EF" w:rsidRPr="00AB35EF" w:rsidRDefault="00AB35EF" w:rsidP="00AB35EF">
      <w:pPr>
        <w:numPr>
          <w:ilvl w:val="1"/>
          <w:numId w:val="7"/>
        </w:numPr>
      </w:pPr>
      <w:r w:rsidRPr="00AB35EF">
        <w:t>Position size = Target volatility ÷ Forecasted volatility.</w:t>
      </w:r>
    </w:p>
    <w:p w14:paraId="52A7CDE4" w14:textId="77777777" w:rsidR="00AB35EF" w:rsidRPr="00AB35EF" w:rsidRDefault="00AB35EF" w:rsidP="00AB35EF">
      <w:pPr>
        <w:numPr>
          <w:ilvl w:val="0"/>
          <w:numId w:val="7"/>
        </w:numPr>
      </w:pPr>
      <w:r w:rsidRPr="00AB35EF">
        <w:t>Rebalancing frequency: Monthly (~21 trading days).</w:t>
      </w:r>
    </w:p>
    <w:p w14:paraId="0A927E58" w14:textId="77777777" w:rsidR="00AB35EF" w:rsidRPr="00AB35EF" w:rsidRDefault="00AB35EF" w:rsidP="00AB35EF">
      <w:pPr>
        <w:numPr>
          <w:ilvl w:val="0"/>
          <w:numId w:val="7"/>
        </w:numPr>
      </w:pPr>
      <w:r w:rsidRPr="00AB35EF">
        <w:t>Leverage cap: Maximum 3x.</w:t>
      </w:r>
    </w:p>
    <w:p w14:paraId="3105B9A1" w14:textId="77777777" w:rsidR="00AB35EF" w:rsidRPr="00AB35EF" w:rsidRDefault="00AB35EF" w:rsidP="00AB35EF">
      <w:r w:rsidRPr="00AB35EF">
        <w:pict w14:anchorId="70D4618D">
          <v:rect id="_x0000_i1123" style="width:0;height:1.5pt" o:hralign="center" o:hrstd="t" o:hr="t" fillcolor="#a0a0a0" stroked="f"/>
        </w:pict>
      </w:r>
    </w:p>
    <w:p w14:paraId="43AF3027" w14:textId="77777777" w:rsidR="00AB35EF" w:rsidRPr="00AB35EF" w:rsidRDefault="00AB35EF" w:rsidP="00AB35EF">
      <w:pPr>
        <w:rPr>
          <w:b/>
          <w:bCs/>
        </w:rPr>
      </w:pPr>
      <w:r w:rsidRPr="00AB35EF">
        <w:rPr>
          <w:b/>
          <w:bCs/>
        </w:rPr>
        <w:t>5. Results</w:t>
      </w:r>
    </w:p>
    <w:p w14:paraId="32D719C4" w14:textId="77777777" w:rsidR="00AB35EF" w:rsidRPr="00AB35EF" w:rsidRDefault="00AB35EF" w:rsidP="00AB35EF">
      <w:pPr>
        <w:rPr>
          <w:b/>
          <w:bCs/>
        </w:rPr>
      </w:pPr>
      <w:r w:rsidRPr="00AB35EF">
        <w:rPr>
          <w:b/>
          <w:bCs/>
        </w:rPr>
        <w:lastRenderedPageBreak/>
        <w:t>5.1 Model Fit</w:t>
      </w:r>
    </w:p>
    <w:p w14:paraId="010446A1" w14:textId="77777777" w:rsidR="00AB35EF" w:rsidRPr="00AB35EF" w:rsidRDefault="00AB35EF" w:rsidP="00AB35EF">
      <w:pPr>
        <w:numPr>
          <w:ilvl w:val="0"/>
          <w:numId w:val="8"/>
        </w:numPr>
      </w:pPr>
      <w:proofErr w:type="gramStart"/>
      <w:r w:rsidRPr="00AB35EF">
        <w:t>GARCH(</w:t>
      </w:r>
      <w:proofErr w:type="gramEnd"/>
      <w:r w:rsidRPr="00AB35EF">
        <w:t>1,1) model successfully captured volatility clustering.</w:t>
      </w:r>
    </w:p>
    <w:p w14:paraId="1C163A79" w14:textId="77777777" w:rsidR="00AB35EF" w:rsidRPr="00AB35EF" w:rsidRDefault="00AB35EF" w:rsidP="00AB35EF">
      <w:pPr>
        <w:numPr>
          <w:ilvl w:val="0"/>
          <w:numId w:val="8"/>
        </w:numPr>
      </w:pPr>
      <w:r w:rsidRPr="00AB35EF">
        <w:t>Residual diagnostics indicated that most ARCH effects were absorbed.</w:t>
      </w:r>
    </w:p>
    <w:p w14:paraId="1BCDFF57" w14:textId="77777777" w:rsidR="00AB35EF" w:rsidRPr="00AB35EF" w:rsidRDefault="00AB35EF" w:rsidP="00AB35EF">
      <w:r w:rsidRPr="00AB35EF">
        <w:pict w14:anchorId="1EAF4ED8">
          <v:rect id="_x0000_i1124" style="width:0;height:1.5pt" o:hralign="center" o:hrstd="t" o:hr="t" fillcolor="#a0a0a0" stroked="f"/>
        </w:pict>
      </w:r>
    </w:p>
    <w:p w14:paraId="48C9613E" w14:textId="77777777" w:rsidR="00AB35EF" w:rsidRPr="00AB35EF" w:rsidRDefault="00AB35EF" w:rsidP="00AB35EF">
      <w:pPr>
        <w:rPr>
          <w:b/>
          <w:bCs/>
        </w:rPr>
      </w:pPr>
      <w:r w:rsidRPr="00AB35EF">
        <w:rPr>
          <w:b/>
          <w:bCs/>
        </w:rPr>
        <w:t>5.2 Performance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9"/>
        <w:gridCol w:w="2112"/>
        <w:gridCol w:w="1661"/>
      </w:tblGrid>
      <w:tr w:rsidR="00AB35EF" w:rsidRPr="00AB35EF" w14:paraId="471E0831" w14:textId="77777777">
        <w:trPr>
          <w:tblHeader/>
          <w:tblCellSpacing w:w="15" w:type="dxa"/>
        </w:trPr>
        <w:tc>
          <w:tcPr>
            <w:tcW w:w="0" w:type="auto"/>
            <w:vAlign w:val="center"/>
            <w:hideMark/>
          </w:tcPr>
          <w:p w14:paraId="70A4654B" w14:textId="77777777" w:rsidR="00AB35EF" w:rsidRPr="00AB35EF" w:rsidRDefault="00AB35EF" w:rsidP="00AB35EF">
            <w:pPr>
              <w:rPr>
                <w:b/>
                <w:bCs/>
              </w:rPr>
            </w:pPr>
            <w:r w:rsidRPr="00AB35EF">
              <w:rPr>
                <w:b/>
                <w:bCs/>
              </w:rPr>
              <w:t>Metric</w:t>
            </w:r>
          </w:p>
        </w:tc>
        <w:tc>
          <w:tcPr>
            <w:tcW w:w="0" w:type="auto"/>
            <w:vAlign w:val="center"/>
            <w:hideMark/>
          </w:tcPr>
          <w:p w14:paraId="6DCEE7A1" w14:textId="77777777" w:rsidR="00AB35EF" w:rsidRPr="00AB35EF" w:rsidRDefault="00AB35EF" w:rsidP="00AB35EF">
            <w:pPr>
              <w:rPr>
                <w:b/>
                <w:bCs/>
              </w:rPr>
            </w:pPr>
            <w:r w:rsidRPr="00AB35EF">
              <w:rPr>
                <w:b/>
                <w:bCs/>
              </w:rPr>
              <w:t>Market (Buy &amp; Hold)</w:t>
            </w:r>
          </w:p>
        </w:tc>
        <w:tc>
          <w:tcPr>
            <w:tcW w:w="0" w:type="auto"/>
            <w:vAlign w:val="center"/>
            <w:hideMark/>
          </w:tcPr>
          <w:p w14:paraId="3598EF38" w14:textId="77777777" w:rsidR="00AB35EF" w:rsidRPr="00AB35EF" w:rsidRDefault="00AB35EF" w:rsidP="00AB35EF">
            <w:pPr>
              <w:rPr>
                <w:b/>
                <w:bCs/>
              </w:rPr>
            </w:pPr>
            <w:r w:rsidRPr="00AB35EF">
              <w:rPr>
                <w:b/>
                <w:bCs/>
              </w:rPr>
              <w:t>GARCH Strategy</w:t>
            </w:r>
          </w:p>
        </w:tc>
      </w:tr>
      <w:tr w:rsidR="00AB35EF" w:rsidRPr="00AB35EF" w14:paraId="52C54ACA" w14:textId="77777777">
        <w:trPr>
          <w:tblCellSpacing w:w="15" w:type="dxa"/>
        </w:trPr>
        <w:tc>
          <w:tcPr>
            <w:tcW w:w="0" w:type="auto"/>
            <w:vAlign w:val="center"/>
            <w:hideMark/>
          </w:tcPr>
          <w:p w14:paraId="662D1943" w14:textId="77777777" w:rsidR="00AB35EF" w:rsidRPr="00AB35EF" w:rsidRDefault="00AB35EF" w:rsidP="00AB35EF">
            <w:r w:rsidRPr="00AB35EF">
              <w:rPr>
                <w:b/>
                <w:bCs/>
              </w:rPr>
              <w:t>Annual Return</w:t>
            </w:r>
          </w:p>
        </w:tc>
        <w:tc>
          <w:tcPr>
            <w:tcW w:w="0" w:type="auto"/>
            <w:vAlign w:val="center"/>
            <w:hideMark/>
          </w:tcPr>
          <w:p w14:paraId="6B2F1AE5" w14:textId="77777777" w:rsidR="00AB35EF" w:rsidRPr="00AB35EF" w:rsidRDefault="00AB35EF" w:rsidP="00AB35EF">
            <w:r w:rsidRPr="00AB35EF">
              <w:t>9.79%</w:t>
            </w:r>
          </w:p>
        </w:tc>
        <w:tc>
          <w:tcPr>
            <w:tcW w:w="0" w:type="auto"/>
            <w:vAlign w:val="center"/>
            <w:hideMark/>
          </w:tcPr>
          <w:p w14:paraId="0927B131" w14:textId="77777777" w:rsidR="00AB35EF" w:rsidRPr="00AB35EF" w:rsidRDefault="00AB35EF" w:rsidP="00AB35EF">
            <w:r w:rsidRPr="00AB35EF">
              <w:t>5.71%</w:t>
            </w:r>
          </w:p>
        </w:tc>
      </w:tr>
      <w:tr w:rsidR="00AB35EF" w:rsidRPr="00AB35EF" w14:paraId="4541631D" w14:textId="77777777">
        <w:trPr>
          <w:tblCellSpacing w:w="15" w:type="dxa"/>
        </w:trPr>
        <w:tc>
          <w:tcPr>
            <w:tcW w:w="0" w:type="auto"/>
            <w:vAlign w:val="center"/>
            <w:hideMark/>
          </w:tcPr>
          <w:p w14:paraId="75D304BE" w14:textId="77777777" w:rsidR="00AB35EF" w:rsidRPr="00AB35EF" w:rsidRDefault="00AB35EF" w:rsidP="00AB35EF">
            <w:r w:rsidRPr="00AB35EF">
              <w:rPr>
                <w:b/>
                <w:bCs/>
              </w:rPr>
              <w:t>Annual Volatility</w:t>
            </w:r>
          </w:p>
        </w:tc>
        <w:tc>
          <w:tcPr>
            <w:tcW w:w="0" w:type="auto"/>
            <w:vAlign w:val="center"/>
            <w:hideMark/>
          </w:tcPr>
          <w:p w14:paraId="3B69D34D" w14:textId="77777777" w:rsidR="00AB35EF" w:rsidRPr="00AB35EF" w:rsidRDefault="00AB35EF" w:rsidP="00AB35EF">
            <w:r w:rsidRPr="00AB35EF">
              <w:t>17.59%</w:t>
            </w:r>
          </w:p>
        </w:tc>
        <w:tc>
          <w:tcPr>
            <w:tcW w:w="0" w:type="auto"/>
            <w:vAlign w:val="center"/>
            <w:hideMark/>
          </w:tcPr>
          <w:p w14:paraId="65DC0890" w14:textId="77777777" w:rsidR="00AB35EF" w:rsidRPr="00AB35EF" w:rsidRDefault="00AB35EF" w:rsidP="00AB35EF">
            <w:r w:rsidRPr="00AB35EF">
              <w:t>14.19%</w:t>
            </w:r>
          </w:p>
        </w:tc>
      </w:tr>
      <w:tr w:rsidR="00AB35EF" w:rsidRPr="00AB35EF" w14:paraId="6F6CA01D" w14:textId="77777777">
        <w:trPr>
          <w:tblCellSpacing w:w="15" w:type="dxa"/>
        </w:trPr>
        <w:tc>
          <w:tcPr>
            <w:tcW w:w="0" w:type="auto"/>
            <w:vAlign w:val="center"/>
            <w:hideMark/>
          </w:tcPr>
          <w:p w14:paraId="78843177" w14:textId="77777777" w:rsidR="00AB35EF" w:rsidRPr="00AB35EF" w:rsidRDefault="00AB35EF" w:rsidP="00AB35EF">
            <w:r w:rsidRPr="00AB35EF">
              <w:rPr>
                <w:b/>
                <w:bCs/>
              </w:rPr>
              <w:t>Sharpe Ratio</w:t>
            </w:r>
          </w:p>
        </w:tc>
        <w:tc>
          <w:tcPr>
            <w:tcW w:w="0" w:type="auto"/>
            <w:vAlign w:val="center"/>
            <w:hideMark/>
          </w:tcPr>
          <w:p w14:paraId="026A8B95" w14:textId="77777777" w:rsidR="00AB35EF" w:rsidRPr="00AB35EF" w:rsidRDefault="00AB35EF" w:rsidP="00AB35EF">
            <w:r w:rsidRPr="00AB35EF">
              <w:t>0.62</w:t>
            </w:r>
          </w:p>
        </w:tc>
        <w:tc>
          <w:tcPr>
            <w:tcW w:w="0" w:type="auto"/>
            <w:vAlign w:val="center"/>
            <w:hideMark/>
          </w:tcPr>
          <w:p w14:paraId="4C799597" w14:textId="77777777" w:rsidR="00AB35EF" w:rsidRPr="00AB35EF" w:rsidRDefault="00AB35EF" w:rsidP="00AB35EF">
            <w:r w:rsidRPr="00AB35EF">
              <w:t>0.46</w:t>
            </w:r>
          </w:p>
        </w:tc>
      </w:tr>
      <w:tr w:rsidR="00AB35EF" w:rsidRPr="00AB35EF" w14:paraId="4579DA0A" w14:textId="77777777">
        <w:trPr>
          <w:tblCellSpacing w:w="15" w:type="dxa"/>
        </w:trPr>
        <w:tc>
          <w:tcPr>
            <w:tcW w:w="0" w:type="auto"/>
            <w:vAlign w:val="center"/>
            <w:hideMark/>
          </w:tcPr>
          <w:p w14:paraId="35477CB6" w14:textId="77777777" w:rsidR="00AB35EF" w:rsidRPr="00AB35EF" w:rsidRDefault="00AB35EF" w:rsidP="00AB35EF">
            <w:r w:rsidRPr="00AB35EF">
              <w:rPr>
                <w:b/>
                <w:bCs/>
              </w:rPr>
              <w:t>Max Drawdown</w:t>
            </w:r>
          </w:p>
        </w:tc>
        <w:tc>
          <w:tcPr>
            <w:tcW w:w="0" w:type="auto"/>
            <w:vAlign w:val="center"/>
            <w:hideMark/>
          </w:tcPr>
          <w:p w14:paraId="1288157B" w14:textId="77777777" w:rsidR="00AB35EF" w:rsidRPr="00AB35EF" w:rsidRDefault="00AB35EF" w:rsidP="00AB35EF">
            <w:r w:rsidRPr="00AB35EF">
              <w:t>–40.04%</w:t>
            </w:r>
          </w:p>
        </w:tc>
        <w:tc>
          <w:tcPr>
            <w:tcW w:w="0" w:type="auto"/>
            <w:vAlign w:val="center"/>
            <w:hideMark/>
          </w:tcPr>
          <w:p w14:paraId="09ACCE7A" w14:textId="77777777" w:rsidR="00AB35EF" w:rsidRPr="00AB35EF" w:rsidRDefault="00AB35EF" w:rsidP="00AB35EF">
            <w:r w:rsidRPr="00AB35EF">
              <w:t>–35.24%</w:t>
            </w:r>
          </w:p>
        </w:tc>
      </w:tr>
    </w:tbl>
    <w:p w14:paraId="6EAE828E" w14:textId="77777777" w:rsidR="00AB35EF" w:rsidRPr="00AB35EF" w:rsidRDefault="00AB35EF" w:rsidP="00AB35EF">
      <w:r w:rsidRPr="00AB35EF">
        <w:pict w14:anchorId="4670683E">
          <v:rect id="_x0000_i1125" style="width:0;height:1.5pt" o:hralign="center" o:hrstd="t" o:hr="t" fillcolor="#a0a0a0" stroked="f"/>
        </w:pict>
      </w:r>
    </w:p>
    <w:p w14:paraId="37D36205" w14:textId="77777777" w:rsidR="00AB35EF" w:rsidRPr="00AB35EF" w:rsidRDefault="00AB35EF" w:rsidP="00AB35EF">
      <w:pPr>
        <w:rPr>
          <w:b/>
          <w:bCs/>
        </w:rPr>
      </w:pPr>
      <w:r w:rsidRPr="00AB35EF">
        <w:rPr>
          <w:b/>
          <w:bCs/>
        </w:rPr>
        <w:t>5.3 Interpretation</w:t>
      </w:r>
    </w:p>
    <w:p w14:paraId="43642AF7" w14:textId="77777777" w:rsidR="00AB35EF" w:rsidRPr="00AB35EF" w:rsidRDefault="00AB35EF" w:rsidP="00AB35EF">
      <w:pPr>
        <w:numPr>
          <w:ilvl w:val="0"/>
          <w:numId w:val="9"/>
        </w:numPr>
      </w:pPr>
      <w:r w:rsidRPr="00AB35EF">
        <w:t>The GARCH-based strategy successfully reduced volatility and drawdowns compared to the market.</w:t>
      </w:r>
    </w:p>
    <w:p w14:paraId="74D114B4" w14:textId="77777777" w:rsidR="00AB35EF" w:rsidRPr="00AB35EF" w:rsidRDefault="00AB35EF" w:rsidP="00AB35EF">
      <w:pPr>
        <w:numPr>
          <w:ilvl w:val="0"/>
          <w:numId w:val="9"/>
        </w:numPr>
      </w:pPr>
      <w:r w:rsidRPr="00AB35EF">
        <w:t xml:space="preserve">However, the strategy produced </w:t>
      </w:r>
      <w:r w:rsidRPr="00AB35EF">
        <w:rPr>
          <w:b/>
          <w:bCs/>
        </w:rPr>
        <w:t>lower returns and a weaker Sharpe ratio</w:t>
      </w:r>
      <w:r w:rsidRPr="00AB35EF">
        <w:t>, indicating reduced efficiency.</w:t>
      </w:r>
    </w:p>
    <w:p w14:paraId="14142877" w14:textId="77777777" w:rsidR="00AB35EF" w:rsidRPr="00AB35EF" w:rsidRDefault="00AB35EF" w:rsidP="00AB35EF">
      <w:pPr>
        <w:numPr>
          <w:ilvl w:val="0"/>
          <w:numId w:val="9"/>
        </w:numPr>
      </w:pPr>
      <w:r w:rsidRPr="00AB35EF">
        <w:t>This aligns with prior findings that volatility targeting stabilizes returns but may sacrifice long-term performance.</w:t>
      </w:r>
    </w:p>
    <w:p w14:paraId="6461266F" w14:textId="77777777" w:rsidR="00AB35EF" w:rsidRPr="00AB35EF" w:rsidRDefault="00AB35EF" w:rsidP="00AB35EF">
      <w:r w:rsidRPr="00AB35EF">
        <w:pict w14:anchorId="615C0011">
          <v:rect id="_x0000_i1126" style="width:0;height:1.5pt" o:hralign="center" o:hrstd="t" o:hr="t" fillcolor="#a0a0a0" stroked="f"/>
        </w:pict>
      </w:r>
    </w:p>
    <w:p w14:paraId="7E0C5BEB" w14:textId="77777777" w:rsidR="00AB35EF" w:rsidRPr="00AB35EF" w:rsidRDefault="00AB35EF" w:rsidP="00AB35EF">
      <w:pPr>
        <w:rPr>
          <w:b/>
          <w:bCs/>
        </w:rPr>
      </w:pPr>
      <w:r w:rsidRPr="00AB35EF">
        <w:rPr>
          <w:b/>
          <w:bCs/>
        </w:rPr>
        <w:t>6. Discussion</w:t>
      </w:r>
    </w:p>
    <w:p w14:paraId="3B2F4048" w14:textId="77777777" w:rsidR="00AB35EF" w:rsidRPr="00AB35EF" w:rsidRDefault="00AB35EF" w:rsidP="00AB35EF">
      <w:pPr>
        <w:numPr>
          <w:ilvl w:val="0"/>
          <w:numId w:val="10"/>
        </w:numPr>
      </w:pPr>
      <w:proofErr w:type="gramStart"/>
      <w:r w:rsidRPr="00AB35EF">
        <w:t>GARCH(</w:t>
      </w:r>
      <w:proofErr w:type="gramEnd"/>
      <w:r w:rsidRPr="00AB35EF">
        <w:t xml:space="preserve">1,1) confirmed the presence of </w:t>
      </w:r>
      <w:r w:rsidRPr="00AB35EF">
        <w:rPr>
          <w:b/>
          <w:bCs/>
        </w:rPr>
        <w:t>volatility clustering</w:t>
      </w:r>
      <w:r w:rsidRPr="00AB35EF">
        <w:t xml:space="preserve"> in NIFTY 50 returns.</w:t>
      </w:r>
    </w:p>
    <w:p w14:paraId="1EC1D204" w14:textId="77777777" w:rsidR="00AB35EF" w:rsidRPr="00AB35EF" w:rsidRDefault="00AB35EF" w:rsidP="00AB35EF">
      <w:pPr>
        <w:numPr>
          <w:ilvl w:val="0"/>
          <w:numId w:val="10"/>
        </w:numPr>
      </w:pPr>
      <w:r w:rsidRPr="00AB35EF">
        <w:t>Volatility-scaled trading strategy demonstrated practical use of forecasts in risk management.</w:t>
      </w:r>
    </w:p>
    <w:p w14:paraId="0CA29E5A" w14:textId="77777777" w:rsidR="00AB35EF" w:rsidRPr="00AB35EF" w:rsidRDefault="00AB35EF" w:rsidP="00AB35EF">
      <w:pPr>
        <w:numPr>
          <w:ilvl w:val="0"/>
          <w:numId w:val="10"/>
        </w:numPr>
      </w:pPr>
      <w:r w:rsidRPr="00AB35EF">
        <w:t xml:space="preserve">Conservative investors may prefer this approach due to </w:t>
      </w:r>
      <w:r w:rsidRPr="00AB35EF">
        <w:rPr>
          <w:b/>
          <w:bCs/>
        </w:rPr>
        <w:t>lower volatility and reduced drawdowns</w:t>
      </w:r>
      <w:r w:rsidRPr="00AB35EF">
        <w:t>.</w:t>
      </w:r>
    </w:p>
    <w:p w14:paraId="55A18D54" w14:textId="77777777" w:rsidR="00AB35EF" w:rsidRPr="00AB35EF" w:rsidRDefault="00AB35EF" w:rsidP="00AB35EF">
      <w:pPr>
        <w:numPr>
          <w:ilvl w:val="0"/>
          <w:numId w:val="10"/>
        </w:numPr>
      </w:pPr>
      <w:r w:rsidRPr="00AB35EF">
        <w:t xml:space="preserve">Future improvements: Using </w:t>
      </w:r>
      <w:r w:rsidRPr="00AB35EF">
        <w:rPr>
          <w:b/>
          <w:bCs/>
        </w:rPr>
        <w:t>EGARCH</w:t>
      </w:r>
      <w:r w:rsidRPr="00AB35EF">
        <w:t xml:space="preserve"> or </w:t>
      </w:r>
      <w:r w:rsidRPr="00AB35EF">
        <w:rPr>
          <w:b/>
          <w:bCs/>
        </w:rPr>
        <w:t>GJR-GARCH</w:t>
      </w:r>
      <w:r w:rsidRPr="00AB35EF">
        <w:t xml:space="preserve"> to capture asymmetry and leverage effects more effectively.</w:t>
      </w:r>
    </w:p>
    <w:p w14:paraId="31B7B6EB" w14:textId="77777777" w:rsidR="00AB35EF" w:rsidRPr="00AB35EF" w:rsidRDefault="00AB35EF" w:rsidP="00AB35EF">
      <w:r w:rsidRPr="00AB35EF">
        <w:pict w14:anchorId="217B7B72">
          <v:rect id="_x0000_i1127" style="width:0;height:1.5pt" o:hralign="center" o:hrstd="t" o:hr="t" fillcolor="#a0a0a0" stroked="f"/>
        </w:pict>
      </w:r>
    </w:p>
    <w:p w14:paraId="537E6EE4" w14:textId="77777777" w:rsidR="00AB35EF" w:rsidRDefault="00AB35EF" w:rsidP="00AB35EF">
      <w:pPr>
        <w:rPr>
          <w:b/>
          <w:bCs/>
        </w:rPr>
      </w:pPr>
    </w:p>
    <w:p w14:paraId="6FF12252" w14:textId="648EC091" w:rsidR="00AB35EF" w:rsidRPr="00AB35EF" w:rsidRDefault="00AB35EF" w:rsidP="00AB35EF">
      <w:pPr>
        <w:rPr>
          <w:b/>
          <w:bCs/>
        </w:rPr>
      </w:pPr>
      <w:r w:rsidRPr="00AB35EF">
        <w:rPr>
          <w:b/>
          <w:bCs/>
        </w:rPr>
        <w:lastRenderedPageBreak/>
        <w:t>7. Conclusion</w:t>
      </w:r>
    </w:p>
    <w:p w14:paraId="10BE9289" w14:textId="77777777" w:rsidR="00AB35EF" w:rsidRPr="00AB35EF" w:rsidRDefault="00AB35EF" w:rsidP="00AB35EF">
      <w:pPr>
        <w:numPr>
          <w:ilvl w:val="0"/>
          <w:numId w:val="11"/>
        </w:numPr>
      </w:pPr>
      <w:r w:rsidRPr="00AB35EF">
        <w:t xml:space="preserve">NIFTY 50 returns exhibit </w:t>
      </w:r>
      <w:r w:rsidRPr="00AB35EF">
        <w:rPr>
          <w:b/>
          <w:bCs/>
        </w:rPr>
        <w:t>volatility clustering</w:t>
      </w:r>
      <w:r w:rsidRPr="00AB35EF">
        <w:t xml:space="preserve"> and persistence.</w:t>
      </w:r>
    </w:p>
    <w:p w14:paraId="7A08573A" w14:textId="77777777" w:rsidR="00AB35EF" w:rsidRPr="00AB35EF" w:rsidRDefault="00AB35EF" w:rsidP="00AB35EF">
      <w:pPr>
        <w:numPr>
          <w:ilvl w:val="0"/>
          <w:numId w:val="11"/>
        </w:numPr>
      </w:pPr>
      <w:r w:rsidRPr="00AB35EF">
        <w:t xml:space="preserve">The </w:t>
      </w:r>
      <w:proofErr w:type="gramStart"/>
      <w:r w:rsidRPr="00AB35EF">
        <w:t>GARCH(</w:t>
      </w:r>
      <w:proofErr w:type="gramEnd"/>
      <w:r w:rsidRPr="00AB35EF">
        <w:t>1,1) model provided accurate conditional variance estimates.</w:t>
      </w:r>
    </w:p>
    <w:p w14:paraId="2D073486" w14:textId="77777777" w:rsidR="00AB35EF" w:rsidRPr="00AB35EF" w:rsidRDefault="00AB35EF" w:rsidP="00AB35EF">
      <w:pPr>
        <w:numPr>
          <w:ilvl w:val="0"/>
          <w:numId w:val="11"/>
        </w:numPr>
      </w:pPr>
      <w:r w:rsidRPr="00AB35EF">
        <w:t>Forecasts demonstrated stability, validating the model’s predictive power.</w:t>
      </w:r>
    </w:p>
    <w:p w14:paraId="0876B440" w14:textId="77777777" w:rsidR="00AB35EF" w:rsidRPr="00AB35EF" w:rsidRDefault="00AB35EF" w:rsidP="00AB35EF">
      <w:pPr>
        <w:numPr>
          <w:ilvl w:val="0"/>
          <w:numId w:val="11"/>
        </w:numPr>
      </w:pPr>
      <w:r w:rsidRPr="00AB35EF">
        <w:t>The GARCH-based strategy lowered portfolio risk but underperformed buy-and-hold in terms of return.</w:t>
      </w:r>
    </w:p>
    <w:p w14:paraId="4CEDBE3C" w14:textId="77777777" w:rsidR="00AB35EF" w:rsidRPr="00AB35EF" w:rsidRDefault="00AB35EF" w:rsidP="00AB35EF">
      <w:pPr>
        <w:numPr>
          <w:ilvl w:val="0"/>
          <w:numId w:val="11"/>
        </w:numPr>
      </w:pPr>
      <w:r w:rsidRPr="00AB35EF">
        <w:t xml:space="preserve">Future scope: Applying </w:t>
      </w:r>
      <w:r w:rsidRPr="00AB35EF">
        <w:rPr>
          <w:b/>
          <w:bCs/>
        </w:rPr>
        <w:t>multi-asset data, high-frequency analysis, or hybrid machine learning + volatility models</w:t>
      </w:r>
      <w:r w:rsidRPr="00AB35EF">
        <w:t>.</w:t>
      </w:r>
    </w:p>
    <w:p w14:paraId="57A7EC78" w14:textId="77777777" w:rsidR="00AB35EF" w:rsidRPr="00AB35EF" w:rsidRDefault="00AB35EF" w:rsidP="00AB35EF">
      <w:r w:rsidRPr="00AB35EF">
        <w:pict w14:anchorId="193B9424">
          <v:rect id="_x0000_i1128" style="width:0;height:1.5pt" o:hralign="center" o:hrstd="t" o:hr="t" fillcolor="#a0a0a0" stroked="f"/>
        </w:pict>
      </w:r>
    </w:p>
    <w:p w14:paraId="6027AE47" w14:textId="77777777" w:rsidR="00AB35EF" w:rsidRPr="00AB35EF" w:rsidRDefault="00AB35EF" w:rsidP="00AB35EF">
      <w:pPr>
        <w:rPr>
          <w:b/>
          <w:bCs/>
        </w:rPr>
      </w:pPr>
      <w:r w:rsidRPr="00AB35EF">
        <w:rPr>
          <w:b/>
          <w:bCs/>
        </w:rPr>
        <w:t>8. References</w:t>
      </w:r>
    </w:p>
    <w:p w14:paraId="6D55CF34" w14:textId="77777777" w:rsidR="00AB35EF" w:rsidRPr="00AB35EF" w:rsidRDefault="00AB35EF" w:rsidP="00AB35EF">
      <w:pPr>
        <w:numPr>
          <w:ilvl w:val="0"/>
          <w:numId w:val="12"/>
        </w:numPr>
      </w:pPr>
      <w:r w:rsidRPr="00AB35EF">
        <w:t xml:space="preserve">Engle, R. (1982). </w:t>
      </w:r>
      <w:r w:rsidRPr="00AB35EF">
        <w:rPr>
          <w:i/>
          <w:iCs/>
        </w:rPr>
        <w:t>Autoregressive Conditional Heteroskedasticity with Estimates of the Variance of UK Inflation.</w:t>
      </w:r>
      <w:r w:rsidRPr="00AB35EF">
        <w:t xml:space="preserve"> </w:t>
      </w:r>
      <w:proofErr w:type="spellStart"/>
      <w:r w:rsidRPr="00AB35EF">
        <w:t>Econometrica</w:t>
      </w:r>
      <w:proofErr w:type="spellEnd"/>
      <w:r w:rsidRPr="00AB35EF">
        <w:t>.</w:t>
      </w:r>
    </w:p>
    <w:p w14:paraId="0FFAEFEF" w14:textId="77777777" w:rsidR="00AB35EF" w:rsidRPr="00AB35EF" w:rsidRDefault="00AB35EF" w:rsidP="00AB35EF">
      <w:pPr>
        <w:numPr>
          <w:ilvl w:val="0"/>
          <w:numId w:val="12"/>
        </w:numPr>
      </w:pPr>
      <w:r w:rsidRPr="00AB35EF">
        <w:t xml:space="preserve">Bollerslev, T. (1986). </w:t>
      </w:r>
      <w:r w:rsidRPr="00AB35EF">
        <w:rPr>
          <w:i/>
          <w:iCs/>
        </w:rPr>
        <w:t>Generalized Autoregressive Conditional Heteroskedasticity.</w:t>
      </w:r>
      <w:r w:rsidRPr="00AB35EF">
        <w:t xml:space="preserve"> Journal of Econometrics.</w:t>
      </w:r>
    </w:p>
    <w:p w14:paraId="28D368FC" w14:textId="77777777" w:rsidR="00AB35EF" w:rsidRPr="00AB35EF" w:rsidRDefault="00AB35EF" w:rsidP="00AB35EF">
      <w:pPr>
        <w:numPr>
          <w:ilvl w:val="0"/>
          <w:numId w:val="12"/>
        </w:numPr>
      </w:pPr>
      <w:r w:rsidRPr="00AB35EF">
        <w:t xml:space="preserve">Nelson, D. (1991). </w:t>
      </w:r>
      <w:r w:rsidRPr="00AB35EF">
        <w:rPr>
          <w:i/>
          <w:iCs/>
        </w:rPr>
        <w:t>Conditional Heteroskedasticity in Asset Returns: A New Approach.</w:t>
      </w:r>
      <w:r w:rsidRPr="00AB35EF">
        <w:t xml:space="preserve"> </w:t>
      </w:r>
      <w:proofErr w:type="spellStart"/>
      <w:r w:rsidRPr="00AB35EF">
        <w:t>Econometrica</w:t>
      </w:r>
      <w:proofErr w:type="spellEnd"/>
      <w:r w:rsidRPr="00AB35EF">
        <w:t>.</w:t>
      </w:r>
    </w:p>
    <w:p w14:paraId="516F581F" w14:textId="77777777" w:rsidR="00AB35EF" w:rsidRPr="00AB35EF" w:rsidRDefault="00AB35EF" w:rsidP="00AB35EF">
      <w:pPr>
        <w:numPr>
          <w:ilvl w:val="0"/>
          <w:numId w:val="12"/>
        </w:numPr>
      </w:pPr>
      <w:r w:rsidRPr="00AB35EF">
        <w:t xml:space="preserve">Python libraries: </w:t>
      </w:r>
      <w:proofErr w:type="spellStart"/>
      <w:r w:rsidRPr="00AB35EF">
        <w:t>yfinance</w:t>
      </w:r>
      <w:proofErr w:type="spellEnd"/>
      <w:r w:rsidRPr="00AB35EF">
        <w:t xml:space="preserve">, pandas, </w:t>
      </w:r>
      <w:proofErr w:type="spellStart"/>
      <w:r w:rsidRPr="00AB35EF">
        <w:t>numpy</w:t>
      </w:r>
      <w:proofErr w:type="spellEnd"/>
      <w:r w:rsidRPr="00AB35EF">
        <w:t xml:space="preserve">, </w:t>
      </w:r>
      <w:proofErr w:type="spellStart"/>
      <w:r w:rsidRPr="00AB35EF">
        <w:t>statsmodels</w:t>
      </w:r>
      <w:proofErr w:type="spellEnd"/>
      <w:r w:rsidRPr="00AB35EF">
        <w:t xml:space="preserve">, arch, </w:t>
      </w:r>
      <w:proofErr w:type="spellStart"/>
      <w:r w:rsidRPr="00AB35EF">
        <w:t>empyrical</w:t>
      </w:r>
      <w:proofErr w:type="spellEnd"/>
      <w:r w:rsidRPr="00AB35EF">
        <w:t>.</w:t>
      </w:r>
    </w:p>
    <w:p w14:paraId="37948F87" w14:textId="77777777" w:rsidR="00AB35EF" w:rsidRPr="00AB35EF" w:rsidRDefault="00AB35EF" w:rsidP="00AB35EF">
      <w:r w:rsidRPr="00AB35EF">
        <w:pict w14:anchorId="1DAEE6BF">
          <v:rect id="_x0000_i1129" style="width:0;height:1.5pt" o:hralign="center" o:hrstd="t" o:hr="t" fillcolor="#a0a0a0" stroked="f"/>
        </w:pict>
      </w:r>
    </w:p>
    <w:p w14:paraId="595307F5" w14:textId="77777777" w:rsidR="00AB35EF" w:rsidRPr="00AB35EF" w:rsidRDefault="00AB35EF" w:rsidP="00AB35EF">
      <w:pPr>
        <w:rPr>
          <w:b/>
          <w:bCs/>
        </w:rPr>
      </w:pPr>
      <w:r w:rsidRPr="00AB35EF">
        <w:rPr>
          <w:b/>
          <w:bCs/>
        </w:rPr>
        <w:t>9. Annexures</w:t>
      </w:r>
    </w:p>
    <w:p w14:paraId="61651AA4" w14:textId="77777777" w:rsidR="00AB35EF" w:rsidRPr="00AB35EF" w:rsidRDefault="00AB35EF" w:rsidP="00AB35EF">
      <w:pPr>
        <w:numPr>
          <w:ilvl w:val="0"/>
          <w:numId w:val="13"/>
        </w:numPr>
      </w:pPr>
      <w:r w:rsidRPr="00AB35EF">
        <w:t>Detailed model output summary (coefficients, log-likelihood, AIC/BIC).</w:t>
      </w:r>
    </w:p>
    <w:p w14:paraId="7EBC0135" w14:textId="77777777" w:rsidR="00AB35EF" w:rsidRPr="00AB35EF" w:rsidRDefault="00AB35EF" w:rsidP="00AB35EF">
      <w:pPr>
        <w:numPr>
          <w:ilvl w:val="0"/>
          <w:numId w:val="13"/>
        </w:numPr>
      </w:pPr>
      <w:r w:rsidRPr="00AB35EF">
        <w:t>Forecast plots of conditional volatility.</w:t>
      </w:r>
    </w:p>
    <w:p w14:paraId="0D874338" w14:textId="77777777" w:rsidR="00AB35EF" w:rsidRPr="00AB35EF" w:rsidRDefault="00AB35EF" w:rsidP="00AB35EF">
      <w:pPr>
        <w:numPr>
          <w:ilvl w:val="0"/>
          <w:numId w:val="13"/>
        </w:numPr>
      </w:pPr>
      <w:r w:rsidRPr="00AB35EF">
        <w:t xml:space="preserve">Cumulative returns chart: </w:t>
      </w:r>
      <w:r w:rsidRPr="00AB35EF">
        <w:rPr>
          <w:b/>
          <w:bCs/>
        </w:rPr>
        <w:t>Buy &amp; Hold vs GARCH Strategy</w:t>
      </w:r>
      <w:r w:rsidRPr="00AB35EF">
        <w:t>.</w:t>
      </w:r>
    </w:p>
    <w:p w14:paraId="640D2053" w14:textId="77777777" w:rsidR="00AB35EF" w:rsidRDefault="00AB35EF"/>
    <w:sectPr w:rsidR="00AB35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50AD"/>
    <w:multiLevelType w:val="multilevel"/>
    <w:tmpl w:val="70C81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E659D"/>
    <w:multiLevelType w:val="multilevel"/>
    <w:tmpl w:val="164A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07E11"/>
    <w:multiLevelType w:val="multilevel"/>
    <w:tmpl w:val="3D78B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2441E2"/>
    <w:multiLevelType w:val="multilevel"/>
    <w:tmpl w:val="762C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712DEF"/>
    <w:multiLevelType w:val="multilevel"/>
    <w:tmpl w:val="B06E1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386E30"/>
    <w:multiLevelType w:val="multilevel"/>
    <w:tmpl w:val="D20C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961C07"/>
    <w:multiLevelType w:val="multilevel"/>
    <w:tmpl w:val="F1A6E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EB26FF"/>
    <w:multiLevelType w:val="multilevel"/>
    <w:tmpl w:val="5B9AB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322D90"/>
    <w:multiLevelType w:val="multilevel"/>
    <w:tmpl w:val="4F561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234953"/>
    <w:multiLevelType w:val="multilevel"/>
    <w:tmpl w:val="6772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015180"/>
    <w:multiLevelType w:val="multilevel"/>
    <w:tmpl w:val="B142B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703736"/>
    <w:multiLevelType w:val="multilevel"/>
    <w:tmpl w:val="A67EB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7B6A97"/>
    <w:multiLevelType w:val="multilevel"/>
    <w:tmpl w:val="BE44E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6755323">
    <w:abstractNumId w:val="3"/>
  </w:num>
  <w:num w:numId="2" w16cid:durableId="1488858978">
    <w:abstractNumId w:val="12"/>
  </w:num>
  <w:num w:numId="3" w16cid:durableId="1519847830">
    <w:abstractNumId w:val="2"/>
  </w:num>
  <w:num w:numId="4" w16cid:durableId="1192453245">
    <w:abstractNumId w:val="0"/>
  </w:num>
  <w:num w:numId="5" w16cid:durableId="397019080">
    <w:abstractNumId w:val="10"/>
  </w:num>
  <w:num w:numId="6" w16cid:durableId="1055470193">
    <w:abstractNumId w:val="7"/>
  </w:num>
  <w:num w:numId="7" w16cid:durableId="1062949114">
    <w:abstractNumId w:val="11"/>
  </w:num>
  <w:num w:numId="8" w16cid:durableId="374308821">
    <w:abstractNumId w:val="8"/>
  </w:num>
  <w:num w:numId="9" w16cid:durableId="807674766">
    <w:abstractNumId w:val="6"/>
  </w:num>
  <w:num w:numId="10" w16cid:durableId="1014724260">
    <w:abstractNumId w:val="4"/>
  </w:num>
  <w:num w:numId="11" w16cid:durableId="1603563003">
    <w:abstractNumId w:val="9"/>
  </w:num>
  <w:num w:numId="12" w16cid:durableId="1815953436">
    <w:abstractNumId w:val="1"/>
  </w:num>
  <w:num w:numId="13" w16cid:durableId="6596987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5EF"/>
    <w:rsid w:val="00AB35EF"/>
    <w:rsid w:val="00BF4E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73F39"/>
  <w15:chartTrackingRefBased/>
  <w15:docId w15:val="{D5B2CEBD-B109-44E2-A07D-83D415C6C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5E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35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35E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35E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35E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35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35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35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35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5E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35E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35E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35E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35E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35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35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35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35EF"/>
    <w:rPr>
      <w:rFonts w:eastAsiaTheme="majorEastAsia" w:cstheme="majorBidi"/>
      <w:color w:val="272727" w:themeColor="text1" w:themeTint="D8"/>
    </w:rPr>
  </w:style>
  <w:style w:type="paragraph" w:styleId="Title">
    <w:name w:val="Title"/>
    <w:basedOn w:val="Normal"/>
    <w:next w:val="Normal"/>
    <w:link w:val="TitleChar"/>
    <w:uiPriority w:val="10"/>
    <w:qFormat/>
    <w:rsid w:val="00AB35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35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35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35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35EF"/>
    <w:pPr>
      <w:spacing w:before="160"/>
      <w:jc w:val="center"/>
    </w:pPr>
    <w:rPr>
      <w:i/>
      <w:iCs/>
      <w:color w:val="404040" w:themeColor="text1" w:themeTint="BF"/>
    </w:rPr>
  </w:style>
  <w:style w:type="character" w:customStyle="1" w:styleId="QuoteChar">
    <w:name w:val="Quote Char"/>
    <w:basedOn w:val="DefaultParagraphFont"/>
    <w:link w:val="Quote"/>
    <w:uiPriority w:val="29"/>
    <w:rsid w:val="00AB35EF"/>
    <w:rPr>
      <w:i/>
      <w:iCs/>
      <w:color w:val="404040" w:themeColor="text1" w:themeTint="BF"/>
    </w:rPr>
  </w:style>
  <w:style w:type="paragraph" w:styleId="ListParagraph">
    <w:name w:val="List Paragraph"/>
    <w:basedOn w:val="Normal"/>
    <w:uiPriority w:val="34"/>
    <w:qFormat/>
    <w:rsid w:val="00AB35EF"/>
    <w:pPr>
      <w:ind w:left="720"/>
      <w:contextualSpacing/>
    </w:pPr>
  </w:style>
  <w:style w:type="character" w:styleId="IntenseEmphasis">
    <w:name w:val="Intense Emphasis"/>
    <w:basedOn w:val="DefaultParagraphFont"/>
    <w:uiPriority w:val="21"/>
    <w:qFormat/>
    <w:rsid w:val="00AB35EF"/>
    <w:rPr>
      <w:i/>
      <w:iCs/>
      <w:color w:val="2F5496" w:themeColor="accent1" w:themeShade="BF"/>
    </w:rPr>
  </w:style>
  <w:style w:type="paragraph" w:styleId="IntenseQuote">
    <w:name w:val="Intense Quote"/>
    <w:basedOn w:val="Normal"/>
    <w:next w:val="Normal"/>
    <w:link w:val="IntenseQuoteChar"/>
    <w:uiPriority w:val="30"/>
    <w:qFormat/>
    <w:rsid w:val="00AB35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35EF"/>
    <w:rPr>
      <w:i/>
      <w:iCs/>
      <w:color w:val="2F5496" w:themeColor="accent1" w:themeShade="BF"/>
    </w:rPr>
  </w:style>
  <w:style w:type="character" w:styleId="IntenseReference">
    <w:name w:val="Intense Reference"/>
    <w:basedOn w:val="DefaultParagraphFont"/>
    <w:uiPriority w:val="32"/>
    <w:qFormat/>
    <w:rsid w:val="00AB35E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881</Words>
  <Characters>5022</Characters>
  <Application>Microsoft Office Word</Application>
  <DocSecurity>0</DocSecurity>
  <Lines>41</Lines>
  <Paragraphs>11</Paragraphs>
  <ScaleCrop>false</ScaleCrop>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Sharma</dc:creator>
  <cp:keywords/>
  <dc:description/>
  <cp:lastModifiedBy>Lokesh Sharma</cp:lastModifiedBy>
  <cp:revision>1</cp:revision>
  <dcterms:created xsi:type="dcterms:W3CDTF">2025-08-28T13:30:00Z</dcterms:created>
  <dcterms:modified xsi:type="dcterms:W3CDTF">2025-08-28T13:33:00Z</dcterms:modified>
</cp:coreProperties>
</file>