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5C6470"/>
          <w:sz w:val="20"/>
          <w:szCs w:val="20"/>
        </w:rPr>
        <w:t xml:space="preserve">Discovery Summary &amp; Confirmation Document</w:t>
      </w:r>
    </w:p>
    <w:p>
      <w:pPr>
        <w:spacing w:after="60"/>
      </w:pPr>
      <w:r>
        <w:rPr>
          <w:rFonts w:ascii="Calibri" w:cs="Calibri" w:eastAsia="Calibri" w:hAnsi="Calibri"/>
          <w:b/>
          <w:bCs/>
          <w:color w:val="1D618E"/>
          <w:sz w:val="36"/>
          <w:szCs w:val="36"/>
        </w:rPr>
        <w:t xml:space="preserve">Customer Portal — Pricing Simplification, Mid-Cycle Changes, and Manage Licenses Flow</w:t>
      </w:r>
    </w:p>
    <w:p>
      <w:pPr>
        <w:spacing w:after="240"/>
      </w:pPr>
      <w:r>
        <w:rPr>
          <w:rFonts w:ascii="Calibri" w:cs="Calibri" w:eastAsia="Calibri" w:hAnsi="Calibri"/>
          <w:sz w:val="24"/>
          <w:szCs w:val="24"/>
        </w:rPr>
        <w:t xml:space="preserve">Based on the customer call. For client review and confirmation. Includes team recommendations for each open question.</w:t>
      </w:r>
    </w:p>
    <w:p>
      <w:pPr>
        <w:pBdr>
          <w:bottom w:val="single" w:color="1D618E" w:sz="6" w:space="4"/>
        </w:pBdr>
        <w:spacing w:after="240"/>
      </w:pPr>
      <w:r>
        <w:rPr>
          <w:rFonts w:ascii="Calibri" w:cs="Calibri" w:eastAsia="Calibri" w:hAnsi="Calibri"/>
          <w:b/>
          <w:bCs/>
          <w:sz w:val="22"/>
          <w:szCs w:val="22"/>
        </w:rPr>
        <w:t xml:space="preserve">Audience: </w:t>
      </w:r>
      <w:r>
        <w:rPr>
          <w:rFonts w:ascii="Calibri" w:cs="Calibri" w:eastAsia="Calibri" w:hAnsi="Calibri"/>
          <w:sz w:val="22"/>
          <w:szCs w:val="22"/>
        </w:rPr>
        <w:t xml:space="preserve">Leimberg, LeClair &amp; Lackner — Andrew, Lindsay, Joe.   </w:t>
      </w:r>
      <w:r>
        <w:rPr>
          <w:rFonts w:ascii="Calibri" w:cs="Calibri" w:eastAsia="Calibri" w:hAnsi="Calibri"/>
          <w:b/>
          <w:bCs/>
          <w:sz w:val="22"/>
          <w:szCs w:val="22"/>
        </w:rPr>
        <w:t xml:space="preserve">Scope: </w:t>
      </w:r>
      <w:r>
        <w:rPr>
          <w:rFonts w:ascii="Calibri" w:cs="Calibri" w:eastAsia="Calibri" w:hAnsi="Calibri"/>
          <w:sz w:val="22"/>
          <w:szCs w:val="22"/>
        </w:rPr>
        <w:t xml:space="preserve">Customer Portal only.</w:t>
      </w:r>
    </w:p>
    <w:p>
      <w:pPr>
        <w:pBdr>
          <w:bottom w:val="single" w:color="1D618E" w:sz="6" w:space="4"/>
        </w:pBdr>
        <w:spacing w:after="180" w:before="360"/>
      </w:pPr>
      <w:r>
        <w:rPr>
          <w:rFonts w:ascii="Calibri" w:cs="Calibri" w:eastAsia="Calibri" w:hAnsi="Calibri"/>
          <w:b/>
          <w:bCs/>
          <w:color w:val="1D618E"/>
          <w:sz w:val="32"/>
          <w:szCs w:val="32"/>
        </w:rPr>
        <w:t xml:space="preserve">1. Purpose of this Document</w:t>
      </w:r>
    </w:p>
    <w:p>
      <w:pPr>
        <w:spacing w:after="120"/>
      </w:pPr>
      <w:r>
        <w:rPr>
          <w:rFonts w:ascii="Calibri" w:cs="Calibri" w:eastAsia="Calibri" w:hAnsi="Calibri"/>
          <w:sz w:val="22"/>
          <w:szCs w:val="22"/>
        </w:rPr>
        <w:t xml:space="preserve">This document summarizes the customer-portal decisions made during the discovery call and lists every item that still needs explicit client confirmation. For each open question, the team has provided a recommended answer with brief reasoning, which the client can confirm or override. The document has three sections:</w:t>
      </w:r>
    </w:p>
    <w:p>
      <w:pPr>
        <w:pStyle w:val="ListParagraph"/>
        <w:numPr>
          <w:ilvl w:val="0"/>
          <w:numId w:val="2"/>
        </w:numPr>
        <w:spacing w:after="60"/>
      </w:pPr>
      <w:r>
        <w:rPr>
          <w:rFonts w:ascii="Calibri" w:cs="Calibri" w:eastAsia="Calibri" w:hAnsi="Calibri"/>
          <w:sz w:val="22"/>
          <w:szCs w:val="22"/>
        </w:rPr>
        <w:t xml:space="preserve">Section A — Confirmed flows and rules captured from the call, with open questions and team recommendations.</w:t>
      </w:r>
    </w:p>
    <w:p>
      <w:pPr>
        <w:pStyle w:val="ListParagraph"/>
        <w:numPr>
          <w:ilvl w:val="0"/>
          <w:numId w:val="2"/>
        </w:numPr>
        <w:spacing w:after="60"/>
      </w:pPr>
      <w:r>
        <w:rPr>
          <w:rFonts w:ascii="Calibri" w:cs="Calibri" w:eastAsia="Calibri" w:hAnsi="Calibri"/>
          <w:sz w:val="22"/>
          <w:szCs w:val="22"/>
        </w:rPr>
        <w:t xml:space="preserve">Section B — Specific changes the team will make to the current customer portal.</w:t>
      </w:r>
    </w:p>
    <w:p>
      <w:pPr>
        <w:pStyle w:val="ListParagraph"/>
        <w:numPr>
          <w:ilvl w:val="0"/>
          <w:numId w:val="2"/>
        </w:numPr>
        <w:spacing w:after="60"/>
      </w:pPr>
      <w:r>
        <w:rPr>
          <w:rFonts w:ascii="Calibri" w:cs="Calibri" w:eastAsia="Calibri" w:hAnsi="Calibri"/>
          <w:sz w:val="22"/>
          <w:szCs w:val="22"/>
        </w:rPr>
        <w:t xml:space="preserve">Section C — Consolidated list of all open questions with recommendations for easy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How to read this document</w:t>
            </w:r>
          </w:p>
          <w:p>
            <w:r>
              <w:rPr>
                <w:rFonts w:ascii="Calibri" w:cs="Calibri" w:eastAsia="Calibri" w:hAnsi="Calibri"/>
                <w:sz w:val="22"/>
                <w:szCs w:val="22"/>
              </w:rPr>
              <w:t xml:space="preserve">Open questions are numbered (Q1…Q14) and tagged CRITICAL (must be answered before development) or NICE-TO-CLARIFY (helpful, not blocking). Each open question is immediately followed by a Team Recommendation (in green) showing the team’s suggested answer and reasoning. The client can confirm the recommendation or propose an alternative.</w:t>
            </w:r>
          </w:p>
        </w:tc>
      </w:tr>
    </w:tbl>
    <w:p>
      <w:pPr>
        <w:pBdr>
          <w:bottom w:val="single" w:color="1D618E" w:sz="6" w:space="4"/>
        </w:pBdr>
        <w:spacing w:after="180" w:before="360"/>
      </w:pPr>
      <w:r>
        <w:rPr>
          <w:rFonts w:ascii="Calibri" w:cs="Calibri" w:eastAsia="Calibri" w:hAnsi="Calibri"/>
          <w:b/>
          <w:bCs/>
          <w:color w:val="1D618E"/>
          <w:sz w:val="32"/>
          <w:szCs w:val="32"/>
        </w:rPr>
        <w:t xml:space="preserve">Section A — Confirmed Flows, Rules, Open Questions, and Recommendations</w:t>
      </w:r>
    </w:p>
    <w:p>
      <w:pPr>
        <w:spacing w:after="120" w:before="280"/>
      </w:pPr>
      <w:r>
        <w:rPr>
          <w:rFonts w:ascii="Calibri" w:cs="Calibri" w:eastAsia="Calibri" w:hAnsi="Calibri"/>
          <w:b/>
          <w:bCs/>
          <w:color w:val="1A1A1A"/>
          <w:sz w:val="26"/>
          <w:szCs w:val="26"/>
        </w:rPr>
        <w:t xml:space="preserve">A1. New, Simplified Pricing Model</w:t>
      </w:r>
    </w:p>
    <w:p>
      <w:pPr>
        <w:spacing w:after="120"/>
      </w:pPr>
      <w:r>
        <w:rPr>
          <w:rFonts w:ascii="Calibri" w:cs="Calibri" w:eastAsia="Calibri" w:hAnsi="Calibri"/>
          <w:sz w:val="22"/>
          <w:szCs w:val="22"/>
        </w:rPr>
        <w:t xml:space="preserve">A simpler pricing structure was agreed during the call. The portal will treat each license as having a fixed annual cost, with a portion of that cost representing annual maintenance. The maintenance portion is what gets prorated when a customer adds licenses or products mid-cycle.</w:t>
      </w:r>
    </w:p>
    <w:p>
      <w:pPr>
        <w:spacing w:after="80" w:before="200"/>
      </w:pPr>
      <w:r>
        <w:rPr>
          <w:rFonts w:ascii="Calibri" w:cs="Calibri" w:eastAsia="Calibri" w:hAnsi="Calibri"/>
          <w:b/>
          <w:bCs/>
          <w:sz w:val="22"/>
          <w:szCs w:val="22"/>
        </w:rPr>
        <w:t xml:space="preserve">Confirmed rules</w:t>
      </w:r>
    </w:p>
    <w:p>
      <w:pPr>
        <w:pStyle w:val="ListParagraph"/>
        <w:numPr>
          <w:ilvl w:val="0"/>
          <w:numId w:val="2"/>
        </w:numPr>
        <w:spacing w:after="60"/>
      </w:pPr>
      <w:r>
        <w:rPr>
          <w:rFonts w:ascii="Calibri" w:cs="Calibri" w:eastAsia="Calibri" w:hAnsi="Calibri"/>
          <w:sz w:val="22"/>
          <w:szCs w:val="22"/>
        </w:rPr>
        <w:t xml:space="preserve">The new license price and the maintenance portion of that price will be configured in the back-end admin tool, not hard-coded in the portal.</w:t>
      </w:r>
    </w:p>
    <w:p>
      <w:pPr>
        <w:pStyle w:val="ListParagraph"/>
        <w:numPr>
          <w:ilvl w:val="0"/>
          <w:numId w:val="2"/>
        </w:numPr>
        <w:spacing w:after="60"/>
      </w:pPr>
      <w:r>
        <w:rPr>
          <w:rFonts w:ascii="Calibri" w:cs="Calibri" w:eastAsia="Calibri" w:hAnsi="Calibri"/>
          <w:sz w:val="22"/>
          <w:szCs w:val="22"/>
        </w:rPr>
        <w:t xml:space="preserve">Proration is calculated by DAYS (not months) for any mid-cycle add.</w:t>
      </w:r>
    </w:p>
    <w:p>
      <w:pPr>
        <w:pStyle w:val="ListParagraph"/>
        <w:numPr>
          <w:ilvl w:val="0"/>
          <w:numId w:val="2"/>
        </w:numPr>
        <w:spacing w:after="60"/>
      </w:pPr>
      <w:r>
        <w:rPr>
          <w:rFonts w:ascii="Calibri" w:cs="Calibri" w:eastAsia="Calibri" w:hAnsi="Calibri"/>
          <w:sz w:val="22"/>
          <w:szCs w:val="22"/>
        </w:rPr>
        <w:t xml:space="preserve">The example discussed: a $595 new license with $179 of that representing annual maintenance — the $179 is the portion subject to proration.</w:t>
      </w:r>
    </w:p>
    <w:p>
      <w:pPr>
        <w:spacing w:after="80" w:before="200"/>
      </w:pPr>
      <w:r>
        <w:rPr>
          <w:rFonts w:ascii="Calibri" w:cs="Calibri" w:eastAsia="Calibri" w:hAnsi="Calibri"/>
          <w:b/>
          <w:bCs/>
          <w:sz w:val="22"/>
          <w:szCs w:val="22"/>
        </w:rPr>
        <w:t xml:space="preserve">Open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Q1 — CRITICAL: How is the non-maintenance portion of the license price handled for mid-cycle adds?</w:t>
            </w:r>
          </w:p>
          <w:p>
            <w:r>
              <w:rPr>
                <w:rFonts w:ascii="Calibri" w:cs="Calibri" w:eastAsia="Calibri" w:hAnsi="Calibri"/>
                <w:sz w:val="22"/>
                <w:szCs w:val="22"/>
              </w:rPr>
              <w:t xml:space="preserve">For a mid-cycle add, only the maintenance portion is prorated by day. Please confirm how the non-maintenance portion of the license price is treated: (a) charged in full at the time of the add, (b) charged at the next renewal, or (c) a different rule.</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Charge the full non-maintenance portion at the time of the add, in addition to the prorated maintenance.</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 non-maintenance portion represents the license itself (the perpetual right to use the software), which the customer either owns or does not — there is nothing to prorate. Only the annual service (maintenance) is time-based and therefore proratable. This is the standard treatment for perpetual + maintenance pricing models.</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A2. Adding a New Product Mid-Cycle (e.g., QuickView)</w:t>
      </w:r>
    </w:p>
    <w:p>
      <w:pPr>
        <w:spacing w:after="120"/>
      </w:pPr>
      <w:r>
        <w:rPr>
          <w:rFonts w:ascii="Calibri" w:cs="Calibri" w:eastAsia="Calibri" w:hAnsi="Calibri"/>
          <w:sz w:val="22"/>
          <w:szCs w:val="22"/>
        </w:rPr>
        <w:t xml:space="preserve">When a customer who already has a subscription wants to add a different product mid-cycle (for example, adding QuickView to an existing NumberCruncher subscription), the portal will add the new product to the existing subscription with a prorated charge for the remainder of the current cycle. The new product co-terminates with the existing subscription — they renew together at the next renewal date.</w:t>
      </w:r>
    </w:p>
    <w:p>
      <w:pPr>
        <w:spacing w:after="80" w:before="200"/>
      </w:pPr>
      <w:r>
        <w:rPr>
          <w:rFonts w:ascii="Calibri" w:cs="Calibri" w:eastAsia="Calibri" w:hAnsi="Calibri"/>
          <w:b/>
          <w:bCs/>
          <w:sz w:val="22"/>
          <w:szCs w:val="22"/>
        </w:rPr>
        <w:t xml:space="preserve">Confirmed rules</w:t>
      </w:r>
    </w:p>
    <w:p>
      <w:pPr>
        <w:pStyle w:val="ListParagraph"/>
        <w:numPr>
          <w:ilvl w:val="0"/>
          <w:numId w:val="2"/>
        </w:numPr>
        <w:spacing w:after="60"/>
      </w:pPr>
      <w:r>
        <w:rPr>
          <w:rFonts w:ascii="Calibri" w:cs="Calibri" w:eastAsia="Calibri" w:hAnsi="Calibri"/>
          <w:sz w:val="22"/>
          <w:szCs w:val="22"/>
        </w:rPr>
        <w:t xml:space="preserve">The portal’s default behavior: new product is added to the existing subscription with daily proration for the remainder of the current cycle.</w:t>
      </w:r>
    </w:p>
    <w:p>
      <w:pPr>
        <w:pStyle w:val="ListParagraph"/>
        <w:numPr>
          <w:ilvl w:val="0"/>
          <w:numId w:val="2"/>
        </w:numPr>
        <w:spacing w:after="60"/>
      </w:pPr>
      <w:r>
        <w:rPr>
          <w:rFonts w:ascii="Calibri" w:cs="Calibri" w:eastAsia="Calibri" w:hAnsi="Calibri"/>
          <w:sz w:val="22"/>
          <w:szCs w:val="22"/>
        </w:rPr>
        <w:t xml:space="preserve">The new product’s renewal aligns with the existing subscription’s renewal date (co-termination).</w:t>
      </w:r>
    </w:p>
    <w:p>
      <w:pPr>
        <w:pStyle w:val="ListParagraph"/>
        <w:numPr>
          <w:ilvl w:val="0"/>
          <w:numId w:val="2"/>
        </w:numPr>
        <w:spacing w:after="60"/>
      </w:pPr>
      <w:r>
        <w:rPr>
          <w:rFonts w:ascii="Calibri" w:cs="Calibri" w:eastAsia="Calibri" w:hAnsi="Calibri"/>
          <w:sz w:val="22"/>
          <w:szCs w:val="22"/>
        </w:rPr>
        <w:t xml:space="preserve">Exception scenarios — customers who need a separate billing arrangement, a different site or location, or any other reason a separate subscription is required — are handled by the admin team via the admin tool. The customer portal does NOT offer a “create second subscription” action.</w:t>
      </w:r>
    </w:p>
    <w:p>
      <w:pPr>
        <w:spacing w:after="80" w:before="200"/>
      </w:pPr>
      <w:r>
        <w:rPr>
          <w:rFonts w:ascii="Calibri" w:cs="Calibri" w:eastAsia="Calibri" w:hAnsi="Calibri"/>
          <w:b/>
          <w:bCs/>
          <w:sz w:val="22"/>
          <w:szCs w:val="22"/>
        </w:rPr>
        <w:t xml:space="preserve">Open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Q2 — NICE-TO-CLARIFY: How should a customer initiate a separate-subscription exception?</w:t>
            </w:r>
          </w:p>
          <w:p>
            <w:r>
              <w:rPr>
                <w:rFonts w:ascii="Calibri" w:cs="Calibri" w:eastAsia="Calibri" w:hAnsi="Calibri"/>
                <w:sz w:val="22"/>
                <w:szCs w:val="22"/>
              </w:rPr>
              <w:t xml:space="preserve">Today the path is to contact the admin team out-of-band. Confirm whether the portal should offer a “Contact us” or “Request a separate subscription” link/button to make that path more discoverable for customers in those exceptional cases, or whether email/phone is sufficient.</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No dedicated portal action. Out-of-band contact (email/phone) is sufficient.</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This is a rare exception. Adding a portal action for it would create false expectations that customers can self-serve a separate subscription. Keeping the path admin-mediated avoids that confusion and matches how exceptional billing cases are handled today.</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A3. Payment Method for Mid-Cycle License Changes</w:t>
      </w:r>
    </w:p>
    <w:p>
      <w:pPr>
        <w:spacing w:after="120"/>
      </w:pPr>
      <w:r>
        <w:rPr>
          <w:rFonts w:ascii="Calibri" w:cs="Calibri" w:eastAsia="Calibri" w:hAnsi="Calibri"/>
          <w:sz w:val="22"/>
          <w:szCs w:val="22"/>
        </w:rPr>
        <w:t xml:space="preserve">The call confirmed that mid-cycle license changes (adding licenses to an existing subscription) follow a different payment-method rule than initial subscriptions or full-subscription renewals.</w:t>
      </w:r>
    </w:p>
    <w:p>
      <w:pPr>
        <w:spacing w:after="80" w:before="200"/>
      </w:pPr>
      <w:r>
        <w:rPr>
          <w:rFonts w:ascii="Calibri" w:cs="Calibri" w:eastAsia="Calibri" w:hAnsi="Calibri"/>
          <w:b/>
          <w:bCs/>
          <w:sz w:val="22"/>
          <w:szCs w:val="22"/>
        </w:rPr>
        <w:t xml:space="preserve">Confirmed rules</w:t>
      </w:r>
    </w:p>
    <w:p>
      <w:pPr>
        <w:pStyle w:val="ListParagraph"/>
        <w:numPr>
          <w:ilvl w:val="0"/>
          <w:numId w:val="2"/>
        </w:numPr>
        <w:spacing w:after="60"/>
      </w:pPr>
      <w:r>
        <w:rPr>
          <w:rFonts w:ascii="Calibri" w:cs="Calibri" w:eastAsia="Calibri" w:hAnsi="Calibri"/>
          <w:sz w:val="22"/>
          <w:szCs w:val="22"/>
        </w:rPr>
        <w:t xml:space="preserve">For mid-cycle license additions, the default payment method is Pay on Receipt regardless of the company’s standard payment configuration.</w:t>
      </w:r>
    </w:p>
    <w:p>
      <w:pPr>
        <w:pStyle w:val="ListParagraph"/>
        <w:numPr>
          <w:ilvl w:val="0"/>
          <w:numId w:val="2"/>
        </w:numPr>
        <w:spacing w:after="60"/>
      </w:pPr>
      <w:r>
        <w:rPr>
          <w:rFonts w:ascii="Calibri" w:cs="Calibri" w:eastAsia="Calibri" w:hAnsi="Calibri"/>
          <w:sz w:val="22"/>
          <w:szCs w:val="22"/>
        </w:rPr>
        <w:t xml:space="preserve">For full subscription purchases and renewals, the payment method follows the company’s configuration (e.g., Net 30 if configured for terms).</w:t>
      </w:r>
    </w:p>
    <w:p>
      <w:pPr>
        <w:pStyle w:val="ListParagraph"/>
        <w:numPr>
          <w:ilvl w:val="0"/>
          <w:numId w:val="2"/>
        </w:numPr>
        <w:spacing w:after="60"/>
      </w:pPr>
      <w:r>
        <w:rPr>
          <w:rFonts w:ascii="Calibri" w:cs="Calibri" w:eastAsia="Calibri" w:hAnsi="Calibri"/>
          <w:sz w:val="22"/>
          <w:szCs w:val="22"/>
        </w:rPr>
        <w:t xml:space="preserve">Some customers must route invoices through their accounts payable team. To support this, three mechanisms are available:</w:t>
      </w:r>
    </w:p>
    <w:p>
      <w:pPr>
        <w:pStyle w:val="ListParagraph"/>
        <w:numPr>
          <w:ilvl w:val="0"/>
          <w:numId w:val="3"/>
        </w:numPr>
        <w:spacing w:after="60"/>
      </w:pPr>
      <w:r>
        <w:rPr>
          <w:rFonts w:ascii="Calibri" w:cs="Calibri" w:eastAsia="Calibri" w:hAnsi="Calibri"/>
          <w:sz w:val="22"/>
          <w:szCs w:val="22"/>
        </w:rPr>
        <w:t xml:space="preserve">Quote flow — customers can enter a Purchase Order (PO) number when generating or accepting a quote.</w:t>
      </w:r>
    </w:p>
    <w:p>
      <w:pPr>
        <w:pStyle w:val="ListParagraph"/>
        <w:numPr>
          <w:ilvl w:val="0"/>
          <w:numId w:val="3"/>
        </w:numPr>
        <w:spacing w:after="60"/>
      </w:pPr>
      <w:r>
        <w:rPr>
          <w:rFonts w:ascii="Calibri" w:cs="Calibri" w:eastAsia="Calibri" w:hAnsi="Calibri"/>
          <w:sz w:val="22"/>
          <w:szCs w:val="22"/>
        </w:rPr>
        <w:t xml:space="preserve">Pay-Now invoice — when paying a Pay-on-Receipt invoice generated from mid-cycle license changes, the customer can OPTIONALLY enter a PO number on the payment screen.</w:t>
      </w:r>
    </w:p>
    <w:p>
      <w:pPr>
        <w:pStyle w:val="ListParagraph"/>
        <w:numPr>
          <w:ilvl w:val="0"/>
          <w:numId w:val="3"/>
        </w:numPr>
        <w:spacing w:after="60"/>
      </w:pPr>
      <w:r>
        <w:rPr>
          <w:rFonts w:ascii="Calibri" w:cs="Calibri" w:eastAsia="Calibri" w:hAnsi="Calibri"/>
          <w:sz w:val="22"/>
          <w:szCs w:val="22"/>
        </w:rPr>
        <w:t xml:space="preserve">Admin override — the admin team can configure per-company rules (e.g., “this company always uses PO/terms”) via the admin tool. When configured, the portal applies that rule automatically.</w:t>
      </w:r>
    </w:p>
    <w:p>
      <w:pPr>
        <w:spacing w:after="120"/>
      </w:pPr>
      <w:r>
        <w:rPr>
          <w:rFonts w:ascii="Calibri" w:cs="Calibri" w:eastAsia="Calibri" w:hAnsi="Calibri"/>
          <w:sz w:val="22"/>
          <w:szCs w:val="22"/>
        </w:rPr>
        <w:t xml:space="preserve">Lindsay raised the operational concern of being notified when a customer initiates a mid-cycle change that requires PO/AP handling, so she can intervene if needed.</w:t>
      </w:r>
    </w:p>
    <w:p>
      <w:pPr>
        <w:spacing w:after="80" w:before="200"/>
      </w:pPr>
      <w:r>
        <w:rPr>
          <w:rFonts w:ascii="Calibri" w:cs="Calibri" w:eastAsia="Calibri" w:hAnsi="Calibri"/>
          <w:b/>
          <w:bCs/>
          <w:sz w:val="22"/>
          <w:szCs w:val="22"/>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Q3 — CRITICAL: Where does the optional PO field live for mid-cycle license invoices?</w:t>
            </w:r>
          </w:p>
          <w:p>
            <w:r>
              <w:rPr>
                <w:rFonts w:ascii="Calibri" w:cs="Calibri" w:eastAsia="Calibri" w:hAnsi="Calibri"/>
                <w:sz w:val="22"/>
                <w:szCs w:val="22"/>
              </w:rPr>
              <w:t xml:space="preserve">Two possibilities: (a) on the checkout/confirmation step before the invoice is created, or (b) on the invoice itself when the customer clicks “Pay Now.” Please confirm which placement the team prefers.</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Place the optional PO field on the Pay Now invoice screen.</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 PO exists for the AP team’s processing, which happens at payment time. Capturing the PO at checkout creates a problem when the customer does not yet have a PO (a common case — they need to get one from procurement). The Pay Now screen is where the action that triggers AP actually happens, so it is the natural place to capture the PO.</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Q4 — CRITICAL: Should Lindsay (or the admin team) be notified when a customer creates a mid-cycle license invoice?</w:t>
            </w:r>
          </w:p>
          <w:p>
            <w:r>
              <w:rPr>
                <w:rFonts w:ascii="Calibri" w:cs="Calibri" w:eastAsia="Calibri" w:hAnsi="Calibri"/>
                <w:sz w:val="22"/>
                <w:szCs w:val="22"/>
              </w:rPr>
              <w:t xml:space="preserve">Confirm whether every mid-cycle license invoice triggers an internal notification, or only invoices that include a PO number, or only invoices for companies flagged for PO/AP handling.</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Notify the admin team ONLY when (a) the customer enters a PO number on Pay Now, OR (b) the company is flagged in the admin tool for PO/terms handling. Do NOT notify for every mid-cycle invoice.</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Notifying for every invoice creates noise that admins will start ignoring. Notify only when admin intervention is actually likely needed — i.e., when there is an explicit AP/PO signal from the customer or a per-company flag.</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Q5 — NICE-TO-CLARIFY: What admin-configurable per-company payment rules should the admin tool support?</w:t>
            </w:r>
          </w:p>
          <w:p>
            <w:r>
              <w:rPr>
                <w:rFonts w:ascii="Calibri" w:cs="Calibri" w:eastAsia="Calibri" w:hAnsi="Calibri"/>
                <w:sz w:val="22"/>
                <w:szCs w:val="22"/>
              </w:rPr>
              <w:t xml:space="preserve">The call mentioned the admin tool will configure per-company payment behavior. Confirm the supported configurations.</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Three settings per company: (1) Default payment method (Pay on Receipt / Pay on Terms / Pay Immediately), (2) Terms days (e.g., Net 30) when on terms, (3) Always require PO for invoices (yes/no).</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These three settings cover every case discussed in the call without over-engineering the admin tool. Each is a binary or simple value the admin can set on a per-company basis, and together they fully describe the payment behavior the portal needs to apply.</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A4. License Reactivation Rule (Simplified)</w:t>
      </w:r>
    </w:p>
    <w:p>
      <w:pPr>
        <w:spacing w:after="120"/>
      </w:pPr>
      <w:r>
        <w:rPr>
          <w:rFonts w:ascii="Calibri" w:cs="Calibri" w:eastAsia="Calibri" w:hAnsi="Calibri"/>
          <w:sz w:val="22"/>
          <w:szCs w:val="22"/>
        </w:rPr>
        <w:t xml:space="preserve">A simplified reactivation rule was confirmed during the call: customers who paid the new license fee in the past and later deactivated a license can reactivate it later without being back-charged for missed renewal years.</w:t>
      </w:r>
    </w:p>
    <w:p>
      <w:pPr>
        <w:spacing w:after="80" w:before="200"/>
      </w:pPr>
      <w:r>
        <w:rPr>
          <w:rFonts w:ascii="Calibri" w:cs="Calibri" w:eastAsia="Calibri" w:hAnsi="Calibri"/>
          <w:b/>
          <w:bCs/>
          <w:sz w:val="22"/>
          <w:szCs w:val="22"/>
        </w:rPr>
        <w:t xml:space="preserve">Confirmed rules</w:t>
      </w:r>
    </w:p>
    <w:p>
      <w:pPr>
        <w:pStyle w:val="ListParagraph"/>
        <w:numPr>
          <w:ilvl w:val="0"/>
          <w:numId w:val="2"/>
        </w:numPr>
        <w:spacing w:after="60"/>
      </w:pPr>
      <w:r>
        <w:rPr>
          <w:rFonts w:ascii="Calibri" w:cs="Calibri" w:eastAsia="Calibri" w:hAnsi="Calibri"/>
          <w:sz w:val="22"/>
          <w:szCs w:val="22"/>
        </w:rPr>
        <w:t xml:space="preserve">Reactivation cost = prorated cost for the remainder of the CURRENT subscription year only.</w:t>
      </w:r>
    </w:p>
    <w:p>
      <w:pPr>
        <w:pStyle w:val="ListParagraph"/>
        <w:numPr>
          <w:ilvl w:val="0"/>
          <w:numId w:val="2"/>
        </w:numPr>
        <w:spacing w:after="60"/>
      </w:pPr>
      <w:r>
        <w:rPr>
          <w:rFonts w:ascii="Calibri" w:cs="Calibri" w:eastAsia="Calibri" w:hAnsi="Calibri"/>
          <w:sz w:val="22"/>
          <w:szCs w:val="22"/>
        </w:rPr>
        <w:t xml:space="preserve">No back-charge for missed renewal years.</w:t>
      </w:r>
    </w:p>
    <w:p>
      <w:pPr>
        <w:pStyle w:val="ListParagraph"/>
        <w:numPr>
          <w:ilvl w:val="0"/>
          <w:numId w:val="2"/>
        </w:numPr>
        <w:spacing w:after="60"/>
      </w:pPr>
      <w:r>
        <w:rPr>
          <w:rFonts w:ascii="Calibri" w:cs="Calibri" w:eastAsia="Calibri" w:hAnsi="Calibri"/>
          <w:sz w:val="22"/>
          <w:szCs w:val="22"/>
        </w:rPr>
        <w:t xml:space="preserve">Once reactivated, the license renews normally with the rest of the subscription at the next renewal date.</w:t>
      </w:r>
    </w:p>
    <w:p>
      <w:pPr>
        <w:spacing w:after="80" w:before="200"/>
      </w:pPr>
      <w:r>
        <w:rPr>
          <w:rFonts w:ascii="Calibri" w:cs="Calibri" w:eastAsia="Calibri" w:hAnsi="Calibri"/>
          <w:b/>
          <w:bCs/>
          <w:sz w:val="22"/>
          <w:szCs w:val="22"/>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Q6 — NICE-TO-CLARIFY: Which roles can initiate license reactivation in the portal?</w:t>
            </w:r>
          </w:p>
          <w:p>
            <w:r>
              <w:rPr>
                <w:rFonts w:ascii="Calibri" w:cs="Calibri" w:eastAsia="Calibri" w:hAnsi="Calibri"/>
                <w:sz w:val="22"/>
                <w:szCs w:val="22"/>
              </w:rPr>
              <w:t xml:space="preserve">Confirm whether reactivation follows the same role permissions as adding a new license, or a different rule.</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Same roles as adding a new license: Account Owner + Billing Admin.</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Reactivation triggers a charge (prorated cost), so it is fundamentally a billing action. Aligning it with the existing rule for license purchases keeps the role matrix consistent and easy to explain.</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Q7 — NICE-TO-CLARIFY: Should there be a visible history of previously-deactivated licenses for reactivation?</w:t>
            </w:r>
          </w:p>
          <w:p>
            <w:r>
              <w:rPr>
                <w:rFonts w:ascii="Calibri" w:cs="Calibri" w:eastAsia="Calibri" w:hAnsi="Calibri"/>
                <w:sz w:val="22"/>
                <w:szCs w:val="22"/>
              </w:rPr>
              <w:t xml:space="preserve">Confirm whether the portal should list previously-held licenses available for reactivation, or whether the customer simply purchases a new license at the prorated rate.</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Yes — expose a list of previously-held licenses available for reactivation within the Manage Licenses flow.</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Without a visible list, customers would have to know that reactivation is even an option. Showing previously-held licenses makes the simplified reactivation rule actually discoverable. Small UX investment, meaningful customer value.</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A5. Quotes — Both Self-Service and Admin-Issued</w:t>
      </w:r>
    </w:p>
    <w:p>
      <w:pPr>
        <w:spacing w:after="120"/>
      </w:pPr>
      <w:r>
        <w:rPr>
          <w:rFonts w:ascii="Calibri" w:cs="Calibri" w:eastAsia="Calibri" w:hAnsi="Calibri"/>
          <w:sz w:val="22"/>
          <w:szCs w:val="22"/>
        </w:rPr>
        <w:t xml:space="preserve">An earlier proposal to remove the “request a quote” feature was reconsidered. The decision is to keep both options available: customers can request a quote from the admin team OR create one themselves directly in the portal.</w:t>
      </w:r>
    </w:p>
    <w:p>
      <w:pPr>
        <w:spacing w:after="80" w:before="200"/>
      </w:pPr>
      <w:r>
        <w:rPr>
          <w:rFonts w:ascii="Calibri" w:cs="Calibri" w:eastAsia="Calibri" w:hAnsi="Calibri"/>
          <w:b/>
          <w:bCs/>
          <w:sz w:val="22"/>
          <w:szCs w:val="22"/>
        </w:rPr>
        <w:t xml:space="preserve">Confirmed rules</w:t>
      </w:r>
    </w:p>
    <w:p>
      <w:pPr>
        <w:pStyle w:val="ListParagraph"/>
        <w:numPr>
          <w:ilvl w:val="0"/>
          <w:numId w:val="2"/>
        </w:numPr>
        <w:spacing w:after="60"/>
      </w:pPr>
      <w:r>
        <w:rPr>
          <w:rFonts w:ascii="Calibri" w:cs="Calibri" w:eastAsia="Calibri" w:hAnsi="Calibri"/>
          <w:sz w:val="22"/>
          <w:szCs w:val="22"/>
        </w:rPr>
        <w:t xml:space="preserve">Customers can create quotes themselves directly from the portal (self-service).</w:t>
      </w:r>
    </w:p>
    <w:p>
      <w:pPr>
        <w:pStyle w:val="ListParagraph"/>
        <w:numPr>
          <w:ilvl w:val="0"/>
          <w:numId w:val="2"/>
        </w:numPr>
        <w:spacing w:after="60"/>
      </w:pPr>
      <w:r>
        <w:rPr>
          <w:rFonts w:ascii="Calibri" w:cs="Calibri" w:eastAsia="Calibri" w:hAnsi="Calibri"/>
          <w:sz w:val="22"/>
          <w:szCs w:val="22"/>
        </w:rPr>
        <w:t xml:space="preserve">Customers can also request a quote from the admin team for exceptional cases.</w:t>
      </w:r>
    </w:p>
    <w:p>
      <w:pPr>
        <w:pStyle w:val="ListParagraph"/>
        <w:numPr>
          <w:ilvl w:val="0"/>
          <w:numId w:val="2"/>
        </w:numPr>
        <w:spacing w:after="60"/>
      </w:pPr>
      <w:r>
        <w:rPr>
          <w:rFonts w:ascii="Calibri" w:cs="Calibri" w:eastAsia="Calibri" w:hAnsi="Calibri"/>
          <w:sz w:val="22"/>
          <w:szCs w:val="22"/>
        </w:rPr>
        <w:t xml:space="preserve">Both quote paths support entering a PO number.</w:t>
      </w:r>
    </w:p>
    <w:p>
      <w:pPr>
        <w:pStyle w:val="ListParagraph"/>
        <w:numPr>
          <w:ilvl w:val="0"/>
          <w:numId w:val="2"/>
        </w:numPr>
        <w:spacing w:after="60"/>
      </w:pPr>
      <w:r>
        <w:rPr>
          <w:rFonts w:ascii="Calibri" w:cs="Calibri" w:eastAsia="Calibri" w:hAnsi="Calibri"/>
          <w:sz w:val="22"/>
          <w:szCs w:val="22"/>
        </w:rPr>
        <w:t xml:space="preserve">With the simpler pricing model, most quote requests will be self-service; admin involvement becomes an exception.</w:t>
      </w:r>
    </w:p>
    <w:p>
      <w:pPr>
        <w:spacing w:after="80" w:before="200"/>
      </w:pPr>
      <w:r>
        <w:rPr>
          <w:rFonts w:ascii="Calibri" w:cs="Calibri" w:eastAsia="Calibri" w:hAnsi="Calibri"/>
          <w:b/>
          <w:bCs/>
          <w:sz w:val="22"/>
          <w:szCs w:val="22"/>
        </w:rPr>
        <w:t xml:space="preserve">Open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Q8 — NICE-TO-CLARIFY: When the customer self-creates a quote, what fields are required?</w:t>
            </w:r>
          </w:p>
          <w:p>
            <w:r>
              <w:rPr>
                <w:rFonts w:ascii="Calibri" w:cs="Calibri" w:eastAsia="Calibri" w:hAnsi="Calibri"/>
                <w:sz w:val="22"/>
                <w:szCs w:val="22"/>
              </w:rPr>
              <w:t xml:space="preserve">Confirm the minimum required fields and any optional fields for self-created quotes.</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Required: at least one product with seat count. Optional: PO number, customer note. No other required fields.</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Self-service should be frictionless. PO and notes are kept optional because the customer may not have them at the moment of quote creation — they can be added later when the quote is accepted or paid.</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A6. Manage Licenses Flyout — Seat Reduction Flow</w:t>
      </w:r>
    </w:p>
    <w:p>
      <w:pPr>
        <w:spacing w:after="120"/>
      </w:pPr>
      <w:r>
        <w:rPr>
          <w:rFonts w:ascii="Calibri" w:cs="Calibri" w:eastAsia="Calibri" w:hAnsi="Calibri"/>
          <w:sz w:val="22"/>
          <w:szCs w:val="22"/>
        </w:rPr>
        <w:t xml:space="preserve">The Manage Licenses flyout supports two distinct customer intents, which were carefully distinguished during the call:</w:t>
      </w:r>
    </w:p>
    <w:p>
      <w:pPr>
        <w:spacing w:after="80" w:before="200"/>
      </w:pPr>
      <w:r>
        <w:rPr>
          <w:rFonts w:ascii="Calibri" w:cs="Calibri" w:eastAsia="Calibri" w:hAnsi="Calibri"/>
          <w:b/>
          <w:bCs/>
          <w:sz w:val="22"/>
          <w:szCs w:val="22"/>
        </w:rPr>
        <w:t xml:space="preserve">Intent 1 — Reduce the number of paid licenses</w:t>
      </w:r>
    </w:p>
    <w:p>
      <w:pPr>
        <w:spacing w:after="120"/>
      </w:pPr>
      <w:r>
        <w:rPr>
          <w:rFonts w:ascii="Calibri" w:cs="Calibri" w:eastAsia="Calibri" w:hAnsi="Calibri"/>
          <w:sz w:val="22"/>
          <w:szCs w:val="22"/>
        </w:rPr>
        <w:t xml:space="preserve">The customer wants to pay for fewer licenses going forward. They lower the “number of paid licenses” field; the flyout then asks them to resolve the over-allocation by selecting which users to either remove now or expire at the end of the current billing cycle.</w:t>
      </w:r>
    </w:p>
    <w:p>
      <w:pPr>
        <w:pStyle w:val="ListParagraph"/>
        <w:numPr>
          <w:ilvl w:val="0"/>
          <w:numId w:val="2"/>
        </w:numPr>
        <w:spacing w:after="60"/>
      </w:pPr>
      <w:r>
        <w:rPr>
          <w:rFonts w:ascii="Calibri" w:cs="Calibri" w:eastAsia="Calibri" w:hAnsi="Calibri"/>
          <w:sz w:val="22"/>
          <w:szCs w:val="22"/>
        </w:rPr>
        <w:t xml:space="preserve">Example: Customer has 20 paid licenses, all assigned. They lower to 15, creating 5 to offload.</w:t>
      </w:r>
    </w:p>
    <w:p>
      <w:pPr>
        <w:pStyle w:val="ListParagraph"/>
        <w:numPr>
          <w:ilvl w:val="0"/>
          <w:numId w:val="2"/>
        </w:numPr>
        <w:spacing w:after="60"/>
      </w:pPr>
      <w:r>
        <w:rPr>
          <w:rFonts w:ascii="Calibri" w:cs="Calibri" w:eastAsia="Calibri" w:hAnsi="Calibri"/>
          <w:sz w:val="22"/>
          <w:szCs w:val="22"/>
        </w:rPr>
        <w:t xml:space="preserve">For each of the 5, the customer chooses: “Remove now” (license is unassigned immediately) OR “Expire at end of cycle” (license stays assigned through end of cycle and drops at renewal).</w:t>
      </w:r>
    </w:p>
    <w:p>
      <w:pPr>
        <w:pStyle w:val="ListParagraph"/>
        <w:numPr>
          <w:ilvl w:val="0"/>
          <w:numId w:val="2"/>
        </w:numPr>
        <w:spacing w:after="60"/>
      </w:pPr>
      <w:r>
        <w:rPr>
          <w:rFonts w:ascii="Calibri" w:cs="Calibri" w:eastAsia="Calibri" w:hAnsi="Calibri"/>
          <w:sz w:val="22"/>
          <w:szCs w:val="22"/>
        </w:rPr>
        <w:t xml:space="preserve">The lowered paid-license count (15) takes effect at the next renewal, not mid-cycle.</w:t>
      </w:r>
    </w:p>
    <w:p>
      <w:pPr>
        <w:pStyle w:val="ListParagraph"/>
        <w:numPr>
          <w:ilvl w:val="0"/>
          <w:numId w:val="2"/>
        </w:numPr>
        <w:spacing w:after="60"/>
      </w:pPr>
      <w:r>
        <w:rPr>
          <w:rFonts w:ascii="Calibri" w:cs="Calibri" w:eastAsia="Calibri" w:hAnsi="Calibri"/>
          <w:sz w:val="22"/>
          <w:szCs w:val="22"/>
        </w:rPr>
        <w:t xml:space="preserve">Through end of cycle, the customer continues paying for 20 licenses (they have already paid for the year).</w:t>
      </w:r>
    </w:p>
    <w:p>
      <w:pPr>
        <w:spacing w:after="80" w:before="200"/>
      </w:pPr>
      <w:r>
        <w:rPr>
          <w:rFonts w:ascii="Calibri" w:cs="Calibri" w:eastAsia="Calibri" w:hAnsi="Calibri"/>
          <w:b/>
          <w:bCs/>
          <w:sz w:val="22"/>
          <w:szCs w:val="22"/>
        </w:rPr>
        <w:t xml:space="preserve">Intent 2 — Unassign a user, but keep the paid license available</w:t>
      </w:r>
    </w:p>
    <w:p>
      <w:pPr>
        <w:spacing w:after="120"/>
      </w:pPr>
      <w:r>
        <w:rPr>
          <w:rFonts w:ascii="Calibri" w:cs="Calibri" w:eastAsia="Calibri" w:hAnsi="Calibri"/>
          <w:sz w:val="22"/>
          <w:szCs w:val="22"/>
        </w:rPr>
        <w:t xml:space="preserve">The customer wants to free up a seat for a future hire while keeping the same number of paid licenses. They do NOT lower the paid-license count; they simply unassign the user from a seat. The license remains paid and reassignable.</w:t>
      </w:r>
    </w:p>
    <w:p>
      <w:pPr>
        <w:pStyle w:val="ListParagraph"/>
        <w:numPr>
          <w:ilvl w:val="0"/>
          <w:numId w:val="2"/>
        </w:numPr>
        <w:spacing w:after="60"/>
      </w:pPr>
      <w:r>
        <w:rPr>
          <w:rFonts w:ascii="Calibri" w:cs="Calibri" w:eastAsia="Calibri" w:hAnsi="Calibri"/>
          <w:sz w:val="22"/>
          <w:szCs w:val="22"/>
        </w:rPr>
        <w:t xml:space="preserve">Paid licenses unchanged — the seat becomes available to reassign to another user.</w:t>
      </w:r>
    </w:p>
    <w:p>
      <w:pPr>
        <w:pStyle w:val="ListParagraph"/>
        <w:numPr>
          <w:ilvl w:val="0"/>
          <w:numId w:val="2"/>
        </w:numPr>
        <w:spacing w:after="60"/>
      </w:pPr>
      <w:r>
        <w:rPr>
          <w:rFonts w:ascii="Calibri" w:cs="Calibri" w:eastAsia="Calibri" w:hAnsi="Calibri"/>
          <w:sz w:val="22"/>
          <w:szCs w:val="22"/>
        </w:rPr>
        <w:t xml:space="preserve">Pricing breakpoints were specifically mentioned: at certain volumes (e.g., 36 licenses can be cheaper than 35), so keeping paid licenses unchanged is sometimes intentional.</w:t>
      </w:r>
    </w:p>
    <w:p>
      <w:pPr>
        <w:spacing w:after="80" w:before="200"/>
      </w:pPr>
      <w:r>
        <w:rPr>
          <w:rFonts w:ascii="Calibri" w:cs="Calibri" w:eastAsia="Calibri" w:hAnsi="Calibri"/>
          <w:b/>
          <w:bCs/>
          <w:sz w:val="22"/>
          <w:szCs w:val="22"/>
        </w:rPr>
        <w:t xml:space="preserve">Renewing or expiring an individually-assigned seat (subtle scenario)</w:t>
      </w:r>
    </w:p>
    <w:p>
      <w:pPr>
        <w:spacing w:after="120"/>
      </w:pPr>
      <w:r>
        <w:rPr>
          <w:rFonts w:ascii="Calibri" w:cs="Calibri" w:eastAsia="Calibri" w:hAnsi="Calibri"/>
          <w:sz w:val="22"/>
          <w:szCs w:val="22"/>
        </w:rPr>
        <w:t xml:space="preserve">When a customer has reduced paid licenses (e.g., 20 → 15, with 5 marked to expire at end of year) and then mid-year wants to assign a new user (e.g., Jill) to one of those expiring seats, the rules are:</w:t>
      </w:r>
    </w:p>
    <w:p>
      <w:pPr>
        <w:pStyle w:val="ListParagraph"/>
        <w:numPr>
          <w:ilvl w:val="0"/>
          <w:numId w:val="2"/>
        </w:numPr>
        <w:spacing w:after="60"/>
      </w:pPr>
      <w:r>
        <w:rPr>
          <w:rFonts w:ascii="Calibri" w:cs="Calibri" w:eastAsia="Calibri" w:hAnsi="Calibri"/>
          <w:sz w:val="22"/>
          <w:szCs w:val="22"/>
        </w:rPr>
        <w:t xml:space="preserve">License Admin CAN assign a user into an expiring seat. The seat remains paid through end of year, so the new user has access.</w:t>
      </w:r>
    </w:p>
    <w:p>
      <w:pPr>
        <w:pStyle w:val="ListParagraph"/>
        <w:numPr>
          <w:ilvl w:val="0"/>
          <w:numId w:val="2"/>
        </w:numPr>
        <w:spacing w:after="60"/>
      </w:pPr>
      <w:r>
        <w:rPr>
          <w:rFonts w:ascii="Calibri" w:cs="Calibri" w:eastAsia="Calibri" w:hAnsi="Calibri"/>
          <w:sz w:val="22"/>
          <w:szCs w:val="22"/>
        </w:rPr>
        <w:t xml:space="preserve">A clear notice should appear (see Q10) explaining the seat’s status and what is needed to continue it.</w:t>
      </w:r>
    </w:p>
    <w:p>
      <w:pPr>
        <w:pStyle w:val="ListParagraph"/>
        <w:numPr>
          <w:ilvl w:val="0"/>
          <w:numId w:val="2"/>
        </w:numPr>
        <w:spacing w:after="60"/>
      </w:pPr>
      <w:r>
        <w:rPr>
          <w:rFonts w:ascii="Calibri" w:cs="Calibri" w:eastAsia="Calibri" w:hAnsi="Calibri"/>
          <w:sz w:val="22"/>
          <w:szCs w:val="22"/>
        </w:rPr>
        <w:t xml:space="preserve">Billing Admin CAN change an expiring seat into a renewing seat (and vice versa).</w:t>
      </w:r>
    </w:p>
    <w:p>
      <w:pPr>
        <w:pStyle w:val="ListParagraph"/>
        <w:numPr>
          <w:ilvl w:val="0"/>
          <w:numId w:val="2"/>
        </w:numPr>
        <w:spacing w:after="60"/>
      </w:pPr>
      <w:r>
        <w:rPr>
          <w:rFonts w:ascii="Calibri" w:cs="Calibri" w:eastAsia="Calibri" w:hAnsi="Calibri"/>
          <w:sz w:val="22"/>
          <w:szCs w:val="22"/>
        </w:rPr>
        <w:t xml:space="preserve">License Admin CANNOT change the expiring/renewing status of a seat.</w:t>
      </w:r>
    </w:p>
    <w:p>
      <w:pPr>
        <w:spacing w:after="80" w:before="200"/>
      </w:pPr>
      <w:r>
        <w:rPr>
          <w:rFonts w:ascii="Calibri" w:cs="Calibri" w:eastAsia="Calibri" w:hAnsi="Calibri"/>
          <w:b/>
          <w:bCs/>
          <w:sz w:val="22"/>
          <w:szCs w:val="22"/>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Q9 — CRITICAL: Final terminology for the paid-license vs renewal-license labels.</w:t>
            </w:r>
          </w:p>
          <w:p>
            <w:r>
              <w:rPr>
                <w:rFonts w:ascii="Calibri" w:cs="Calibri" w:eastAsia="Calibri" w:hAnsi="Calibri"/>
                <w:sz w:val="22"/>
                <w:szCs w:val="22"/>
              </w:rPr>
              <w:t xml:space="preserve">The current label “Number of paid licenses” was identified as confusing. Please confirm the exact labels the portal should use. These appear throughout the Manage Licenses flyout.</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Use “Current paid licenses” (the count today) and “Paid licenses at next renewal” (the count after the cycle ends).</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“Current” and “at next renewal” are unambiguous time-anchors. They avoid the word “active” (which Andrew flagged as confusing) and pair naturally as two adjacent fields in the flyout. Users can tell at a glance what is happening now versus what will happen later.</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Q10 — CRITICAL: Wording of the notice shown when a License Admin assigns a user to an expiring seat.</w:t>
            </w:r>
          </w:p>
          <w:p>
            <w:r>
              <w:rPr>
                <w:rFonts w:ascii="Calibri" w:cs="Calibri" w:eastAsia="Calibri" w:hAnsi="Calibri"/>
                <w:sz w:val="22"/>
                <w:szCs w:val="22"/>
              </w:rPr>
              <w:t xml:space="preserve">The intent is clear: tell the user the seat is paid only through end of year and that the Billing Admin must act to continue it. Please approve a final wording.</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“This license is paid through {endOfCycleDate}. To continue this seat at renewal, your Billing Admin must mark it as renewing in Manage Licenses.”</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 wording answers three things the user needs to know: when the seat ends, what happens if no action is taken, and who can take that action. Including the specific end-of-cycle date removes ambiguity.</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Q11 — NICE-TO-CLARIFY: Should the Billing Admin’s checkbox/prompt to renew an expiring seat be available from the user-assignment screen, or only from the Manage Licenses flyout?</w:t>
            </w:r>
          </w:p>
          <w:p>
            <w:r>
              <w:rPr>
                <w:rFonts w:ascii="Calibri" w:cs="Calibri" w:eastAsia="Calibri" w:hAnsi="Calibri"/>
                <w:sz w:val="22"/>
                <w:szCs w:val="22"/>
              </w:rPr>
              <w:t xml:space="preserve">Confirm where the Billing Admin makes that change.</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In the Manage Licenses flyout only.</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Keeping the expiring/renewing decision in one place where the customer is already thinking about licenses avoids scattering the same setting across two screens. It also reduces the risk of inconsistent state if the same toggle exists in multiple places.</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A7. Role Permissions for the Manage Licenses Flyout</w:t>
      </w:r>
    </w:p>
    <w:p>
      <w:pPr>
        <w:spacing w:after="120"/>
      </w:pPr>
      <w:r>
        <w:rPr>
          <w:rFonts w:ascii="Calibri" w:cs="Calibri" w:eastAsia="Calibri" w:hAnsi="Calibri"/>
          <w:sz w:val="22"/>
          <w:szCs w:val="22"/>
        </w:rPr>
        <w:t xml:space="preserve">Role permissions for the Manage Licenses flyout were refined during the call to address overlap between Account Owner, Billing Admin, and License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c>
          <w:tcPr>
            <w:tcW w:type="dxa" w:w="172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Account Owner</w:t>
            </w:r>
          </w:p>
        </w:tc>
        <w:tc>
          <w:tcPr>
            <w:tcW w:type="dxa" w:w="172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Billing Admin</w:t>
            </w:r>
          </w:p>
        </w:tc>
        <w:tc>
          <w:tcPr>
            <w:tcW w:type="dxa" w:w="172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License Admin</w:t>
            </w:r>
          </w:p>
        </w:tc>
      </w:tr>
      <w:tr>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Change number of paid licenses (increase / decrease)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r>
      <w:tr>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Choose Remove-now vs Expire-end-of-cycle per user</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r>
      <w:tr>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Change a seat from expiring to renewing (or back)</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r>
      <w:tr>
        <w:tc>
          <w:tcPr>
            <w:tcW w:type="dxa" w:w="4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Assign / unassign users in EXISTING paid seats</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w:t>
            </w:r>
          </w:p>
        </w:tc>
      </w:tr>
      <w:tr>
        <w:tc>
          <w:tcPr>
            <w:tcW w:type="dxa" w:w="4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Access invoices and billing</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c>
          <w:tcPr>
            <w:tcW w:type="dxa" w:w="172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w:t>
            </w:r>
          </w:p>
        </w:tc>
      </w:tr>
    </w:tbl>
    <w:p>
      <w:pPr>
        <w:spacing w:after="60"/>
      </w:pPr>
      <w:r>
        <w:rPr>
          <w:rFonts w:ascii="Calibri" w:cs="Calibri" w:eastAsia="Calibri" w:hAnsi="Calibri"/>
        </w:rPr>
        <w:t xml:space="preserve"/>
      </w:r>
    </w:p>
    <w:p>
      <w:pPr>
        <w:pStyle w:val="ListParagraph"/>
        <w:numPr>
          <w:ilvl w:val="0"/>
          <w:numId w:val="2"/>
        </w:numPr>
        <w:spacing w:after="60"/>
      </w:pPr>
      <w:r>
        <w:rPr>
          <w:rFonts w:ascii="Calibri" w:cs="Calibri" w:eastAsia="Calibri" w:hAnsi="Calibri"/>
          <w:sz w:val="22"/>
          <w:szCs w:val="22"/>
        </w:rPr>
        <w:t xml:space="preserve">Registered Contact is excluded — read-only access only (per the existing role matrix).</w:t>
      </w:r>
    </w:p>
    <w:p>
      <w:pPr>
        <w:pStyle w:val="ListParagraph"/>
        <w:numPr>
          <w:ilvl w:val="0"/>
          <w:numId w:val="2"/>
        </w:numPr>
        <w:spacing w:after="60"/>
      </w:pPr>
      <w:r>
        <w:rPr>
          <w:rFonts w:ascii="Calibri" w:cs="Calibri" w:eastAsia="Calibri" w:hAnsi="Calibri"/>
          <w:sz w:val="22"/>
          <w:szCs w:val="22"/>
        </w:rPr>
        <w:t xml:space="preserve">Account Owner and Billing Admin now have substantially overlapping permissions in the Manage Licenses flyout. The distinguishing line for License Admin remains: no access to invoices, no change to paid license counts, no change to expiring/renewing status.</w:t>
      </w:r>
    </w:p>
    <w:p>
      <w:pPr>
        <w:spacing w:after="80" w:before="200"/>
      </w:pPr>
      <w:r>
        <w:rPr>
          <w:rFonts w:ascii="Calibri" w:cs="Calibri" w:eastAsia="Calibri" w:hAnsi="Calibri"/>
          <w:b/>
          <w:bCs/>
          <w:sz w:val="22"/>
          <w:szCs w:val="22"/>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Q12 — CRITICAL: Confirm the role permission table above.</w:t>
            </w:r>
          </w:p>
          <w:p>
            <w:r>
              <w:rPr>
                <w:rFonts w:ascii="Calibri" w:cs="Calibri" w:eastAsia="Calibri" w:hAnsi="Calibri"/>
                <w:sz w:val="22"/>
                <w:szCs w:val="22"/>
              </w:rPr>
              <w:t xml:space="preserve">Please confirm the entire table is correct. If anything differs from the call, mark the change.</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Confirm the table exactly as captured.</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 table was the explicit outcome of the call’s discussion on this topic. Listing it for client sign-off is standard practice; the recommendation is to confirm rather than alter, unless the client identifies a specific deviation from what was discussed.</w:t>
            </w:r>
          </w:p>
          <w:p>
            <w:r>
              <w:rPr>
                <w:rFonts w:ascii="Calibri" w:cs="Calibri" w:eastAsia="Calibri" w:hAnsi="Calibri"/>
                <w:i/>
                <w:iCs/>
                <w:color w:val="0F6E56"/>
                <w:sz w:val="20"/>
                <w:szCs w:val="20"/>
              </w:rPr>
              <w:t xml:space="preserve">Please confirm this recommendation or propose an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FF8E1" w:val="clear"/>
            <w:tcMar>
              <w:top w:type="dxa" w:w="160"/>
              <w:left w:type="dxa" w:w="200"/>
              <w:bottom w:type="dxa" w:w="160"/>
              <w:right w:type="dxa" w:w="200"/>
            </w:tcMar>
          </w:tcPr>
          <w:p>
            <w:pPr>
              <w:spacing w:after="60"/>
            </w:pPr>
            <w:r>
              <w:rPr>
                <w:rFonts w:ascii="Calibri" w:cs="Calibri" w:eastAsia="Calibri" w:hAnsi="Calibri"/>
                <w:b/>
                <w:bCs/>
                <w:color w:val="8B6914"/>
                <w:sz w:val="22"/>
                <w:szCs w:val="22"/>
              </w:rPr>
              <w:t xml:space="preserve">Q13 — NICE-TO-CLARIFY: Are there any other capabilities that should be assigned to ONLY the Account Owner (not Billing Admin)?</w:t>
            </w:r>
          </w:p>
          <w:p>
            <w:r>
              <w:rPr>
                <w:rFonts w:ascii="Calibri" w:cs="Calibri" w:eastAsia="Calibri" w:hAnsi="Calibri"/>
                <w:sz w:val="22"/>
                <w:szCs w:val="22"/>
              </w:rPr>
              <w:t xml:space="preserve">Given the overlap between Account Owner and Billing Admin, please call out anything that should remain owner-only.</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Reserve two capabilities for Account Owner only: (a) transfer account ownership, (b) close or cancel the account. Everything else can be shared with Billing Admin.</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These two actions are either irreversible or fundamental to the account’s existence, so they should require the account owner’s explicit authority. Day-to-day billing operations can safely be shared with the Billing Admin.</w:t>
            </w:r>
          </w:p>
          <w:p>
            <w:r>
              <w:rPr>
                <w:rFonts w:ascii="Calibri" w:cs="Calibri" w:eastAsia="Calibri" w:hAnsi="Calibri"/>
                <w:i/>
                <w:iCs/>
                <w:color w:val="0F6E56"/>
                <w:sz w:val="20"/>
                <w:szCs w:val="20"/>
              </w:rPr>
              <w:t xml:space="preserve">Please confirm this recommendation or propose an alternative.</w:t>
            </w:r>
          </w:p>
        </w:tc>
      </w:tr>
    </w:tbl>
    <w:p>
      <w:pPr>
        <w:spacing w:after="120" w:before="280"/>
      </w:pPr>
      <w:r>
        <w:rPr>
          <w:rFonts w:ascii="Calibri" w:cs="Calibri" w:eastAsia="Calibri" w:hAnsi="Calibri"/>
          <w:b/>
          <w:bCs/>
          <w:color w:val="1A1A1A"/>
          <w:sz w:val="26"/>
          <w:szCs w:val="26"/>
        </w:rPr>
        <w:t xml:space="preserve">A8. Role Naming Convention</w:t>
      </w:r>
    </w:p>
    <w:p>
      <w:pPr>
        <w:spacing w:after="120"/>
      </w:pPr>
      <w:r>
        <w:rPr>
          <w:rFonts w:ascii="Calibri" w:cs="Calibri" w:eastAsia="Calibri" w:hAnsi="Calibri"/>
          <w:sz w:val="22"/>
          <w:szCs w:val="22"/>
        </w:rPr>
        <w:t xml:space="preserve">During the call, Lindsay suggested aligning role names with terms used elsewhere in the business — specifically calling the License Admin “Firm Administrator” and re-examining the Billing Admin and Account Owner labels. The team’s read is that this was thinking out loud and the current role labels (Account Owner, Billing Admin, License Admin, Registered Contact) remain in use until the client explicitly confirms a change.</w:t>
      </w:r>
    </w:p>
    <w:p>
      <w:pPr>
        <w:spacing w:after="80" w:before="200"/>
      </w:pPr>
      <w:r>
        <w:rPr>
          <w:rFonts w:ascii="Calibri" w:cs="Calibri" w:eastAsia="Calibri" w:hAnsi="Calibri"/>
          <w:b/>
          <w:bCs/>
          <w:sz w:val="22"/>
          <w:szCs w:val="22"/>
        </w:rPr>
        <w:t xml:space="preserve">Open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7" w:val="clear"/>
            <w:tcMar>
              <w:top w:type="dxa" w:w="160"/>
              <w:left w:type="dxa" w:w="200"/>
              <w:bottom w:type="dxa" w:w="160"/>
              <w:right w:type="dxa" w:w="200"/>
            </w:tcMar>
          </w:tcPr>
          <w:p>
            <w:pPr>
              <w:spacing w:after="60"/>
            </w:pPr>
            <w:r>
              <w:rPr>
                <w:rFonts w:ascii="Calibri" w:cs="Calibri" w:eastAsia="Calibri" w:hAnsi="Calibri"/>
                <w:b/>
                <w:bCs/>
                <w:color w:val="C0392B"/>
                <w:sz w:val="22"/>
                <w:szCs w:val="22"/>
              </w:rPr>
              <w:t xml:space="preserve">Q14 — CRITICAL: Final role naming convention.</w:t>
            </w:r>
          </w:p>
          <w:p>
            <w:r>
              <w:rPr>
                <w:rFonts w:ascii="Calibri" w:cs="Calibri" w:eastAsia="Calibri" w:hAnsi="Calibri"/>
                <w:sz w:val="22"/>
                <w:szCs w:val="22"/>
              </w:rPr>
              <w:t xml:space="preserve">Please confirm whether to keep the current labels OR adopt a renamed set. If renaming, please supply the exact final names so the portal, documentation, and admin tool all use the same terminology consistently.</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1F5EE" w:val="clear"/>
            <w:tcMar>
              <w:top w:type="dxa" w:w="160"/>
              <w:left w:type="dxa" w:w="200"/>
              <w:bottom w:type="dxa" w:w="160"/>
              <w:right w:type="dxa" w:w="200"/>
            </w:tcMar>
          </w:tcPr>
          <w:p>
            <w:pPr>
              <w:spacing w:after="60"/>
            </w:pPr>
            <w:r>
              <w:rPr>
                <w:rFonts w:ascii="Calibri" w:cs="Calibri" w:eastAsia="Calibri" w:hAnsi="Calibri"/>
                <w:b/>
                <w:bCs/>
                <w:color w:val="0F6E56"/>
                <w:sz w:val="22"/>
                <w:szCs w:val="22"/>
              </w:rPr>
              <w:t xml:space="preserve">Team Recommendation</w:t>
            </w:r>
          </w:p>
          <w:p>
            <w:pPr>
              <w:spacing w:after="80"/>
            </w:pPr>
            <w:r>
              <w:rPr>
                <w:rFonts w:ascii="Calibri" w:cs="Calibri" w:eastAsia="Calibri" w:hAnsi="Calibri"/>
                <w:b/>
                <w:bCs/>
                <w:sz w:val="22"/>
                <w:szCs w:val="22"/>
              </w:rPr>
              <w:t xml:space="preserve">Keep the current labels: Account Owner, Billing Admin, License Admin, Registered Contact.</w:t>
            </w:r>
          </w:p>
          <w:p>
            <w:pPr>
              <w:spacing w:after="60"/>
            </w:pPr>
            <w:r>
              <w:rPr>
                <w:rFonts w:ascii="Calibri" w:cs="Calibri" w:eastAsia="Calibri" w:hAnsi="Calibri"/>
                <w:i/>
                <w:iCs/>
                <w:color w:val="5C6470"/>
                <w:sz w:val="20"/>
                <w:szCs w:val="20"/>
              </w:rPr>
              <w:t xml:space="preserve">Why: </w:t>
            </w:r>
            <w:r>
              <w:rPr>
                <w:rFonts w:ascii="Calibri" w:cs="Calibri" w:eastAsia="Calibri" w:hAnsi="Calibri"/>
                <w:i/>
                <w:iCs/>
                <w:color w:val="5C6470"/>
                <w:sz w:val="20"/>
                <w:szCs w:val="20"/>
              </w:rPr>
              <w:t xml:space="preserve">Renaming roles late in a project causes cascade work across the portal, the admin tool, documentation, user training, and email templates. Unless there is a strong, specific business reason to rename, keeping the current labels avoids unnecessary rework and maintains continuity.</w:t>
            </w:r>
          </w:p>
          <w:p>
            <w:r>
              <w:rPr>
                <w:rFonts w:ascii="Calibri" w:cs="Calibri" w:eastAsia="Calibri" w:hAnsi="Calibri"/>
                <w:i/>
                <w:iCs/>
                <w:color w:val="0F6E56"/>
                <w:sz w:val="20"/>
                <w:szCs w:val="20"/>
              </w:rPr>
              <w:t xml:space="preserve">Please confirm this recommendation or propose an alternative.</w:t>
            </w:r>
          </w:p>
        </w:tc>
      </w:tr>
    </w:tbl>
    <w:p>
      <w:pPr>
        <w:pBdr>
          <w:bottom w:val="single" w:color="1D618E" w:sz="6" w:space="4"/>
        </w:pBdr>
        <w:spacing w:after="180" w:before="360"/>
      </w:pPr>
      <w:r>
        <w:rPr>
          <w:rFonts w:ascii="Calibri" w:cs="Calibri" w:eastAsia="Calibri" w:hAnsi="Calibri"/>
          <w:b/>
          <w:bCs/>
          <w:color w:val="1D618E"/>
          <w:sz w:val="32"/>
          <w:szCs w:val="32"/>
        </w:rPr>
        <w:t xml:space="preserve">Section B — Changes to the Current Customer Portal</w:t>
      </w:r>
    </w:p>
    <w:p>
      <w:pPr>
        <w:spacing w:after="120"/>
      </w:pPr>
      <w:r>
        <w:rPr>
          <w:rFonts w:ascii="Calibri" w:cs="Calibri" w:eastAsia="Calibri" w:hAnsi="Calibri"/>
          <w:sz w:val="22"/>
          <w:szCs w:val="22"/>
        </w:rPr>
        <w:t xml:space="preserve">This section lists the specific changes the team will make to the existing customer portal to implement the decisions in Section A. Items are grouped by feature area. Open questions tagged in Section A may affect implementation — those dependencies are noted here. Recommendations from Section A have been assumed for planning purposes; final implementation will follow client confirmation.</w:t>
      </w:r>
    </w:p>
    <w:p>
      <w:pPr>
        <w:spacing w:after="120" w:before="280"/>
      </w:pPr>
      <w:r>
        <w:rPr>
          <w:rFonts w:ascii="Calibri" w:cs="Calibri" w:eastAsia="Calibri" w:hAnsi="Calibri"/>
          <w:b/>
          <w:bCs/>
          <w:color w:val="1A1A1A"/>
          <w:sz w:val="26"/>
          <w:szCs w:val="26"/>
        </w:rPr>
        <w:t xml:space="preserve">B1. Pricing &amp; Proration Engine</w:t>
      </w:r>
    </w:p>
    <w:p>
      <w:pPr>
        <w:pStyle w:val="ListParagraph"/>
        <w:numPr>
          <w:ilvl w:val="0"/>
          <w:numId w:val="2"/>
        </w:numPr>
        <w:spacing w:after="60"/>
      </w:pPr>
      <w:r>
        <w:rPr>
          <w:rFonts w:ascii="Calibri" w:cs="Calibri" w:eastAsia="Calibri" w:hAnsi="Calibri"/>
          <w:sz w:val="22"/>
          <w:szCs w:val="22"/>
        </w:rPr>
        <w:t xml:space="preserve">Update the pricing model so license price and maintenance portion are read from admin-tool configuration (not hard-coded in the portal).</w:t>
      </w:r>
    </w:p>
    <w:p>
      <w:pPr>
        <w:pStyle w:val="ListParagraph"/>
        <w:numPr>
          <w:ilvl w:val="0"/>
          <w:numId w:val="2"/>
        </w:numPr>
        <w:spacing w:after="60"/>
      </w:pPr>
      <w:r>
        <w:rPr>
          <w:rFonts w:ascii="Calibri" w:cs="Calibri" w:eastAsia="Calibri" w:hAnsi="Calibri"/>
          <w:sz w:val="22"/>
          <w:szCs w:val="22"/>
        </w:rPr>
        <w:t xml:space="preserve">Implement daily proration for mid-cycle adds, on the maintenance portion only.</w:t>
      </w:r>
    </w:p>
    <w:p>
      <w:pPr>
        <w:pStyle w:val="ListParagraph"/>
        <w:numPr>
          <w:ilvl w:val="0"/>
          <w:numId w:val="2"/>
        </w:numPr>
        <w:spacing w:after="60"/>
      </w:pPr>
      <w:r>
        <w:rPr>
          <w:rFonts w:ascii="Calibri" w:cs="Calibri" w:eastAsia="Calibri" w:hAnsi="Calibri"/>
          <w:sz w:val="22"/>
          <w:szCs w:val="22"/>
        </w:rPr>
        <w:t xml:space="preserve">Charge the full non-maintenance portion at the time of the add (per Q1 recommendation, pending confirmation).</w:t>
      </w:r>
    </w:p>
    <w:p>
      <w:pPr>
        <w:pStyle w:val="ListParagraph"/>
        <w:numPr>
          <w:ilvl w:val="0"/>
          <w:numId w:val="2"/>
        </w:numPr>
        <w:spacing w:after="60"/>
      </w:pPr>
      <w:r>
        <w:rPr>
          <w:rFonts w:ascii="Calibri" w:cs="Calibri" w:eastAsia="Calibri" w:hAnsi="Calibri"/>
          <w:sz w:val="22"/>
          <w:szCs w:val="22"/>
        </w:rPr>
        <w:t xml:space="preserve">Co-terminate added products and licenses with the existing subscription renewal date.</w:t>
      </w:r>
    </w:p>
    <w:p>
      <w:pPr>
        <w:spacing w:after="120" w:before="280"/>
      </w:pPr>
      <w:r>
        <w:rPr>
          <w:rFonts w:ascii="Calibri" w:cs="Calibri" w:eastAsia="Calibri" w:hAnsi="Calibri"/>
          <w:b/>
          <w:bCs/>
          <w:color w:val="1A1A1A"/>
          <w:sz w:val="26"/>
          <w:szCs w:val="26"/>
        </w:rPr>
        <w:t xml:space="preserve">B2. Mid-Cycle License Management</w:t>
      </w:r>
    </w:p>
    <w:p>
      <w:pPr>
        <w:pStyle w:val="ListParagraph"/>
        <w:numPr>
          <w:ilvl w:val="0"/>
          <w:numId w:val="2"/>
        </w:numPr>
        <w:spacing w:after="60"/>
      </w:pPr>
      <w:r>
        <w:rPr>
          <w:rFonts w:ascii="Calibri" w:cs="Calibri" w:eastAsia="Calibri" w:hAnsi="Calibri"/>
          <w:sz w:val="22"/>
          <w:szCs w:val="22"/>
        </w:rPr>
        <w:t xml:space="preserve">Default payment for mid-cycle license additions to Pay on Receipt, overriding the company’s default payment configuration.</w:t>
      </w:r>
    </w:p>
    <w:p>
      <w:pPr>
        <w:pStyle w:val="ListParagraph"/>
        <w:numPr>
          <w:ilvl w:val="0"/>
          <w:numId w:val="2"/>
        </w:numPr>
        <w:spacing w:after="60"/>
      </w:pPr>
      <w:r>
        <w:rPr>
          <w:rFonts w:ascii="Calibri" w:cs="Calibri" w:eastAsia="Calibri" w:hAnsi="Calibri"/>
          <w:sz w:val="22"/>
          <w:szCs w:val="22"/>
        </w:rPr>
        <w:t xml:space="preserve">Honor per-company admin overrides configured in the admin tool (default payment method, terms days, always-require-PO flag) — see Q5.</w:t>
      </w:r>
    </w:p>
    <w:p>
      <w:pPr>
        <w:pStyle w:val="ListParagraph"/>
        <w:numPr>
          <w:ilvl w:val="0"/>
          <w:numId w:val="2"/>
        </w:numPr>
        <w:spacing w:after="60"/>
      </w:pPr>
      <w:r>
        <w:rPr>
          <w:rFonts w:ascii="Calibri" w:cs="Calibri" w:eastAsia="Calibri" w:hAnsi="Calibri"/>
          <w:sz w:val="22"/>
          <w:szCs w:val="22"/>
        </w:rPr>
        <w:t xml:space="preserve">Add an OPTIONAL PO field on the Pay-Now invoice screen (per Q3 recommendation, pending confirmation).</w:t>
      </w:r>
    </w:p>
    <w:p>
      <w:pPr>
        <w:pStyle w:val="ListParagraph"/>
        <w:numPr>
          <w:ilvl w:val="0"/>
          <w:numId w:val="2"/>
        </w:numPr>
        <w:spacing w:after="60"/>
      </w:pPr>
      <w:r>
        <w:rPr>
          <w:rFonts w:ascii="Calibri" w:cs="Calibri" w:eastAsia="Calibri" w:hAnsi="Calibri"/>
          <w:sz w:val="22"/>
          <w:szCs w:val="22"/>
        </w:rPr>
        <w:t xml:space="preserve">Add internal notification triggered only when the customer enters a PO OR the company is flagged for PO/terms (per Q4 recommendation, pending confirmation).</w:t>
      </w:r>
    </w:p>
    <w:p>
      <w:pPr>
        <w:pStyle w:val="ListParagraph"/>
        <w:numPr>
          <w:ilvl w:val="0"/>
          <w:numId w:val="2"/>
        </w:numPr>
        <w:spacing w:after="60"/>
      </w:pPr>
      <w:r>
        <w:rPr>
          <w:rFonts w:ascii="Calibri" w:cs="Calibri" w:eastAsia="Calibri" w:hAnsi="Calibri"/>
          <w:sz w:val="22"/>
          <w:szCs w:val="22"/>
        </w:rPr>
        <w:t xml:space="preserve">The Subscription Management flow itself does NOT prompt for PO at the time of license change — PO entry happens at quote or pay-now stages only.</w:t>
      </w:r>
    </w:p>
    <w:p>
      <w:pPr>
        <w:spacing w:after="120" w:before="280"/>
      </w:pPr>
      <w:r>
        <w:rPr>
          <w:rFonts w:ascii="Calibri" w:cs="Calibri" w:eastAsia="Calibri" w:hAnsi="Calibri"/>
          <w:b/>
          <w:bCs/>
          <w:color w:val="1A1A1A"/>
          <w:sz w:val="26"/>
          <w:szCs w:val="26"/>
        </w:rPr>
        <w:t xml:space="preserve">B3. New Product Mid-Cycle (Adding QuickView, etc.)</w:t>
      </w:r>
    </w:p>
    <w:p>
      <w:pPr>
        <w:pStyle w:val="ListParagraph"/>
        <w:numPr>
          <w:ilvl w:val="0"/>
          <w:numId w:val="2"/>
        </w:numPr>
        <w:spacing w:after="60"/>
      </w:pPr>
      <w:r>
        <w:rPr>
          <w:rFonts w:ascii="Calibri" w:cs="Calibri" w:eastAsia="Calibri" w:hAnsi="Calibri"/>
          <w:sz w:val="22"/>
          <w:szCs w:val="22"/>
        </w:rPr>
        <w:t xml:space="preserve">Allow adding a new product to an existing subscription via the customer portal with daily proration.</w:t>
      </w:r>
    </w:p>
    <w:p>
      <w:pPr>
        <w:pStyle w:val="ListParagraph"/>
        <w:numPr>
          <w:ilvl w:val="0"/>
          <w:numId w:val="2"/>
        </w:numPr>
        <w:spacing w:after="60"/>
      </w:pPr>
      <w:r>
        <w:rPr>
          <w:rFonts w:ascii="Calibri" w:cs="Calibri" w:eastAsia="Calibri" w:hAnsi="Calibri"/>
          <w:sz w:val="22"/>
          <w:szCs w:val="22"/>
        </w:rPr>
        <w:t xml:space="preserve">Added product co-terminates with the existing subscription.</w:t>
      </w:r>
    </w:p>
    <w:p>
      <w:pPr>
        <w:pStyle w:val="ListParagraph"/>
        <w:numPr>
          <w:ilvl w:val="0"/>
          <w:numId w:val="2"/>
        </w:numPr>
        <w:spacing w:after="60"/>
      </w:pPr>
      <w:r>
        <w:rPr>
          <w:rFonts w:ascii="Calibri" w:cs="Calibri" w:eastAsia="Calibri" w:hAnsi="Calibri"/>
          <w:sz w:val="22"/>
          <w:szCs w:val="22"/>
        </w:rPr>
        <w:t xml:space="preserve">Do NOT add a “create separate subscription” customer-facing action; exceptions are handled by the admin team (per Q2 recommendation).</w:t>
      </w:r>
    </w:p>
    <w:p>
      <w:pPr>
        <w:spacing w:after="120" w:before="280"/>
      </w:pPr>
      <w:r>
        <w:rPr>
          <w:rFonts w:ascii="Calibri" w:cs="Calibri" w:eastAsia="Calibri" w:hAnsi="Calibri"/>
          <w:b/>
          <w:bCs/>
          <w:color w:val="1A1A1A"/>
          <w:sz w:val="26"/>
          <w:szCs w:val="26"/>
        </w:rPr>
        <w:t xml:space="preserve">B4. License Reactivation</w:t>
      </w:r>
    </w:p>
    <w:p>
      <w:pPr>
        <w:pStyle w:val="ListParagraph"/>
        <w:numPr>
          <w:ilvl w:val="0"/>
          <w:numId w:val="2"/>
        </w:numPr>
        <w:spacing w:after="60"/>
      </w:pPr>
      <w:r>
        <w:rPr>
          <w:rFonts w:ascii="Calibri" w:cs="Calibri" w:eastAsia="Calibri" w:hAnsi="Calibri"/>
          <w:sz w:val="22"/>
          <w:szCs w:val="22"/>
        </w:rPr>
        <w:t xml:space="preserve">Implement reactivation flow: customer pays only the prorated cost for the remainder of the current subscription year.</w:t>
      </w:r>
    </w:p>
    <w:p>
      <w:pPr>
        <w:pStyle w:val="ListParagraph"/>
        <w:numPr>
          <w:ilvl w:val="0"/>
          <w:numId w:val="2"/>
        </w:numPr>
        <w:spacing w:after="60"/>
      </w:pPr>
      <w:r>
        <w:rPr>
          <w:rFonts w:ascii="Calibri" w:cs="Calibri" w:eastAsia="Calibri" w:hAnsi="Calibri"/>
          <w:sz w:val="22"/>
          <w:szCs w:val="22"/>
        </w:rPr>
        <w:t xml:space="preserve">Remove any prior back-charge logic for missed renewal years.</w:t>
      </w:r>
    </w:p>
    <w:p>
      <w:pPr>
        <w:pStyle w:val="ListParagraph"/>
        <w:numPr>
          <w:ilvl w:val="0"/>
          <w:numId w:val="2"/>
        </w:numPr>
        <w:spacing w:after="60"/>
      </w:pPr>
      <w:r>
        <w:rPr>
          <w:rFonts w:ascii="Calibri" w:cs="Calibri" w:eastAsia="Calibri" w:hAnsi="Calibri"/>
          <w:sz w:val="22"/>
          <w:szCs w:val="22"/>
        </w:rPr>
        <w:t xml:space="preserve">Reactivation available to Account Owner + Billing Admin (per Q6 recommendation, pending confirmation).</w:t>
      </w:r>
    </w:p>
    <w:p>
      <w:pPr>
        <w:pStyle w:val="ListParagraph"/>
        <w:numPr>
          <w:ilvl w:val="0"/>
          <w:numId w:val="2"/>
        </w:numPr>
        <w:spacing w:after="60"/>
      </w:pPr>
      <w:r>
        <w:rPr>
          <w:rFonts w:ascii="Calibri" w:cs="Calibri" w:eastAsia="Calibri" w:hAnsi="Calibri"/>
          <w:sz w:val="22"/>
          <w:szCs w:val="22"/>
        </w:rPr>
        <w:t xml:space="preserve">Expose a list of previously-held licenses available for reactivation within the Manage Licenses flow (per Q7 recommendation, pending confirmation).</w:t>
      </w:r>
    </w:p>
    <w:p>
      <w:pPr>
        <w:spacing w:after="120" w:before="280"/>
      </w:pPr>
      <w:r>
        <w:rPr>
          <w:rFonts w:ascii="Calibri" w:cs="Calibri" w:eastAsia="Calibri" w:hAnsi="Calibri"/>
          <w:b/>
          <w:bCs/>
          <w:color w:val="1A1A1A"/>
          <w:sz w:val="26"/>
          <w:szCs w:val="26"/>
        </w:rPr>
        <w:t xml:space="preserve">B5. Quotes</w:t>
      </w:r>
    </w:p>
    <w:p>
      <w:pPr>
        <w:pStyle w:val="ListParagraph"/>
        <w:numPr>
          <w:ilvl w:val="0"/>
          <w:numId w:val="2"/>
        </w:numPr>
        <w:spacing w:after="60"/>
      </w:pPr>
      <w:r>
        <w:rPr>
          <w:rFonts w:ascii="Calibri" w:cs="Calibri" w:eastAsia="Calibri" w:hAnsi="Calibri"/>
          <w:sz w:val="22"/>
          <w:szCs w:val="22"/>
        </w:rPr>
        <w:t xml:space="preserve">Keep BOTH options: customer self-creates a quote AND customer requests a quote from admin.</w:t>
      </w:r>
    </w:p>
    <w:p>
      <w:pPr>
        <w:pStyle w:val="ListParagraph"/>
        <w:numPr>
          <w:ilvl w:val="0"/>
          <w:numId w:val="2"/>
        </w:numPr>
        <w:spacing w:after="60"/>
      </w:pPr>
      <w:r>
        <w:rPr>
          <w:rFonts w:ascii="Calibri" w:cs="Calibri" w:eastAsia="Calibri" w:hAnsi="Calibri"/>
          <w:sz w:val="22"/>
          <w:szCs w:val="22"/>
        </w:rPr>
        <w:t xml:space="preserve">Allow PO entry on customer-created quotes.</w:t>
      </w:r>
    </w:p>
    <w:p>
      <w:pPr>
        <w:pStyle w:val="ListParagraph"/>
        <w:numPr>
          <w:ilvl w:val="0"/>
          <w:numId w:val="2"/>
        </w:numPr>
        <w:spacing w:after="60"/>
      </w:pPr>
      <w:r>
        <w:rPr>
          <w:rFonts w:ascii="Calibri" w:cs="Calibri" w:eastAsia="Calibri" w:hAnsi="Calibri"/>
          <w:sz w:val="22"/>
          <w:szCs w:val="22"/>
        </w:rPr>
        <w:t xml:space="preserve">Self-created quote requires only product(s) with seat counts; PO and notes optional (per Q8 recommendation, pending confirmation).</w:t>
      </w:r>
    </w:p>
    <w:p>
      <w:pPr>
        <w:spacing w:after="120" w:before="280"/>
      </w:pPr>
      <w:r>
        <w:rPr>
          <w:rFonts w:ascii="Calibri" w:cs="Calibri" w:eastAsia="Calibri" w:hAnsi="Calibri"/>
          <w:b/>
          <w:bCs/>
          <w:color w:val="1A1A1A"/>
          <w:sz w:val="26"/>
          <w:szCs w:val="26"/>
        </w:rPr>
        <w:t xml:space="preserve">B6. Manage Licenses Flyout — Seat Reduction</w:t>
      </w:r>
    </w:p>
    <w:p>
      <w:pPr>
        <w:pStyle w:val="ListParagraph"/>
        <w:numPr>
          <w:ilvl w:val="0"/>
          <w:numId w:val="2"/>
        </w:numPr>
        <w:spacing w:after="60"/>
      </w:pPr>
      <w:r>
        <w:rPr>
          <w:rFonts w:ascii="Calibri" w:cs="Calibri" w:eastAsia="Calibri" w:hAnsi="Calibri"/>
          <w:sz w:val="22"/>
          <w:szCs w:val="22"/>
        </w:rPr>
        <w:t xml:space="preserve">Implement the two distinct intents (reduce paid licenses vs unassign a user) as separate, clearly-labeled actions within the flyout.</w:t>
      </w:r>
    </w:p>
    <w:p>
      <w:pPr>
        <w:pStyle w:val="ListParagraph"/>
        <w:numPr>
          <w:ilvl w:val="0"/>
          <w:numId w:val="2"/>
        </w:numPr>
        <w:spacing w:after="60"/>
      </w:pPr>
      <w:r>
        <w:rPr>
          <w:rFonts w:ascii="Calibri" w:cs="Calibri" w:eastAsia="Calibri" w:hAnsi="Calibri"/>
          <w:sz w:val="22"/>
          <w:szCs w:val="22"/>
        </w:rPr>
        <w:t xml:space="preserve">When paid licenses are reduced below assigned, present each over-allocated user with a Remove-now vs Expire-end-of-cycle choice.</w:t>
      </w:r>
    </w:p>
    <w:p>
      <w:pPr>
        <w:pStyle w:val="ListParagraph"/>
        <w:numPr>
          <w:ilvl w:val="0"/>
          <w:numId w:val="2"/>
        </w:numPr>
        <w:spacing w:after="60"/>
      </w:pPr>
      <w:r>
        <w:rPr>
          <w:rFonts w:ascii="Calibri" w:cs="Calibri" w:eastAsia="Calibri" w:hAnsi="Calibri"/>
          <w:sz w:val="22"/>
          <w:szCs w:val="22"/>
        </w:rPr>
        <w:t xml:space="preserve">Apply the reduced paid-license count only at the next renewal — not mid-cycle.</w:t>
      </w:r>
    </w:p>
    <w:p>
      <w:pPr>
        <w:pStyle w:val="ListParagraph"/>
        <w:numPr>
          <w:ilvl w:val="0"/>
          <w:numId w:val="2"/>
        </w:numPr>
        <w:spacing w:after="60"/>
      </w:pPr>
      <w:r>
        <w:rPr>
          <w:rFonts w:ascii="Calibri" w:cs="Calibri" w:eastAsia="Calibri" w:hAnsi="Calibri"/>
          <w:sz w:val="22"/>
          <w:szCs w:val="22"/>
        </w:rPr>
        <w:t xml:space="preserve">Update terminology to “Current paid licenses” and “Paid licenses at next renewal” (per Q9 recommendation, pending confirmation).</w:t>
      </w:r>
    </w:p>
    <w:p>
      <w:pPr>
        <w:spacing w:after="120" w:before="280"/>
      </w:pPr>
      <w:r>
        <w:rPr>
          <w:rFonts w:ascii="Calibri" w:cs="Calibri" w:eastAsia="Calibri" w:hAnsi="Calibri"/>
          <w:b/>
          <w:bCs/>
          <w:color w:val="1A1A1A"/>
          <w:sz w:val="26"/>
          <w:szCs w:val="26"/>
        </w:rPr>
        <w:t xml:space="preserve">B7. Expiring vs Renewing Seats</w:t>
      </w:r>
    </w:p>
    <w:p>
      <w:pPr>
        <w:pStyle w:val="ListParagraph"/>
        <w:numPr>
          <w:ilvl w:val="0"/>
          <w:numId w:val="2"/>
        </w:numPr>
        <w:spacing w:after="60"/>
      </w:pPr>
      <w:r>
        <w:rPr>
          <w:rFonts w:ascii="Calibri" w:cs="Calibri" w:eastAsia="Calibri" w:hAnsi="Calibri"/>
          <w:sz w:val="22"/>
          <w:szCs w:val="22"/>
        </w:rPr>
        <w:t xml:space="preserve">Allow License Admin to assign a user to an existing expiring seat (mid-cycle), with the notice text from Q10.</w:t>
      </w:r>
    </w:p>
    <w:p>
      <w:pPr>
        <w:pStyle w:val="ListParagraph"/>
        <w:numPr>
          <w:ilvl w:val="0"/>
          <w:numId w:val="2"/>
        </w:numPr>
        <w:spacing w:after="60"/>
      </w:pPr>
      <w:r>
        <w:rPr>
          <w:rFonts w:ascii="Calibri" w:cs="Calibri" w:eastAsia="Calibri" w:hAnsi="Calibri"/>
          <w:sz w:val="22"/>
          <w:szCs w:val="22"/>
        </w:rPr>
        <w:t xml:space="preserve">Allow Billing Admin to change a seat’s status between expiring and renewing, in the Manage Licenses flyout only (per Q11 recommendation).</w:t>
      </w:r>
    </w:p>
    <w:p>
      <w:pPr>
        <w:pStyle w:val="ListParagraph"/>
        <w:numPr>
          <w:ilvl w:val="0"/>
          <w:numId w:val="2"/>
        </w:numPr>
        <w:spacing w:after="60"/>
      </w:pPr>
      <w:r>
        <w:rPr>
          <w:rFonts w:ascii="Calibri" w:cs="Calibri" w:eastAsia="Calibri" w:hAnsi="Calibri"/>
          <w:sz w:val="22"/>
          <w:szCs w:val="22"/>
        </w:rPr>
        <w:t xml:space="preserve">License Admin cannot change expiring/renewing status.</w:t>
      </w:r>
    </w:p>
    <w:p>
      <w:pPr>
        <w:spacing w:after="120" w:before="280"/>
      </w:pPr>
      <w:r>
        <w:rPr>
          <w:rFonts w:ascii="Calibri" w:cs="Calibri" w:eastAsia="Calibri" w:hAnsi="Calibri"/>
          <w:b/>
          <w:bCs/>
          <w:color w:val="1A1A1A"/>
          <w:sz w:val="26"/>
          <w:szCs w:val="26"/>
        </w:rPr>
        <w:t xml:space="preserve">B8. Role Permission Updates</w:t>
      </w:r>
    </w:p>
    <w:p>
      <w:pPr>
        <w:pStyle w:val="ListParagraph"/>
        <w:numPr>
          <w:ilvl w:val="0"/>
          <w:numId w:val="2"/>
        </w:numPr>
        <w:spacing w:after="60"/>
      </w:pPr>
      <w:r>
        <w:rPr>
          <w:rFonts w:ascii="Calibri" w:cs="Calibri" w:eastAsia="Calibri" w:hAnsi="Calibri"/>
          <w:sz w:val="22"/>
          <w:szCs w:val="22"/>
        </w:rPr>
        <w:t xml:space="preserve">Enforce the updated permission table from Section A7 across the Manage Licenses flyout.</w:t>
      </w:r>
    </w:p>
    <w:p>
      <w:pPr>
        <w:pStyle w:val="ListParagraph"/>
        <w:numPr>
          <w:ilvl w:val="0"/>
          <w:numId w:val="2"/>
        </w:numPr>
        <w:spacing w:after="60"/>
      </w:pPr>
      <w:r>
        <w:rPr>
          <w:rFonts w:ascii="Calibri" w:cs="Calibri" w:eastAsia="Calibri" w:hAnsi="Calibri"/>
          <w:sz w:val="22"/>
          <w:szCs w:val="22"/>
        </w:rPr>
        <w:t xml:space="preserve">Reserve account ownership transfer and account closure/cancellation to Account Owner only (per Q13 recommendation).</w:t>
      </w:r>
    </w:p>
    <w:p>
      <w:pPr>
        <w:pStyle w:val="ListParagraph"/>
        <w:numPr>
          <w:ilvl w:val="0"/>
          <w:numId w:val="2"/>
        </w:numPr>
        <w:spacing w:after="60"/>
      </w:pPr>
      <w:r>
        <w:rPr>
          <w:rFonts w:ascii="Calibri" w:cs="Calibri" w:eastAsia="Calibri" w:hAnsi="Calibri"/>
          <w:sz w:val="22"/>
          <w:szCs w:val="22"/>
        </w:rPr>
        <w:t xml:space="preserve">Confirm broader role matrix is consistent with the updated rules.</w:t>
      </w:r>
    </w:p>
    <w:p>
      <w:pPr>
        <w:spacing w:after="120" w:before="280"/>
      </w:pPr>
      <w:r>
        <w:rPr>
          <w:rFonts w:ascii="Calibri" w:cs="Calibri" w:eastAsia="Calibri" w:hAnsi="Calibri"/>
          <w:b/>
          <w:bCs/>
          <w:color w:val="1A1A1A"/>
          <w:sz w:val="26"/>
          <w:szCs w:val="26"/>
        </w:rPr>
        <w:t xml:space="preserve">B9. Customer Portal Labels and Copy</w:t>
      </w:r>
    </w:p>
    <w:p>
      <w:pPr>
        <w:pStyle w:val="ListParagraph"/>
        <w:numPr>
          <w:ilvl w:val="0"/>
          <w:numId w:val="2"/>
        </w:numPr>
        <w:spacing w:after="60"/>
      </w:pPr>
      <w:r>
        <w:rPr>
          <w:rFonts w:ascii="Calibri" w:cs="Calibri" w:eastAsia="Calibri" w:hAnsi="Calibri"/>
          <w:sz w:val="22"/>
          <w:szCs w:val="22"/>
        </w:rPr>
        <w:t xml:space="preserve">Update the “Number of paid licenses” label and related copy per Q9 recommendation.</w:t>
      </w:r>
    </w:p>
    <w:p>
      <w:pPr>
        <w:pStyle w:val="ListParagraph"/>
        <w:numPr>
          <w:ilvl w:val="0"/>
          <w:numId w:val="2"/>
        </w:numPr>
        <w:spacing w:after="60"/>
      </w:pPr>
      <w:r>
        <w:rPr>
          <w:rFonts w:ascii="Calibri" w:cs="Calibri" w:eastAsia="Calibri" w:hAnsi="Calibri"/>
          <w:sz w:val="22"/>
          <w:szCs w:val="22"/>
        </w:rPr>
        <w:t xml:space="preserve">Keep current role labels across the portal (per Q14 recommendation, pending confirmation).</w:t>
      </w:r>
    </w:p>
    <w:p>
      <w:pPr>
        <w:pBdr>
          <w:bottom w:val="single" w:color="1D618E" w:sz="6" w:space="4"/>
        </w:pBdr>
        <w:spacing w:after="180" w:before="360"/>
      </w:pPr>
      <w:r>
        <w:rPr>
          <w:rFonts w:ascii="Calibri" w:cs="Calibri" w:eastAsia="Calibri" w:hAnsi="Calibri"/>
          <w:b/>
          <w:bCs/>
          <w:color w:val="1D618E"/>
          <w:sz w:val="32"/>
          <w:szCs w:val="32"/>
        </w:rPr>
        <w:t xml:space="preserve">Section C — Consolidated Open Questions and Recommendations</w:t>
      </w:r>
    </w:p>
    <w:p>
      <w:pPr>
        <w:spacing w:after="120"/>
      </w:pPr>
      <w:r>
        <w:rPr>
          <w:rFonts w:ascii="Calibri" w:cs="Calibri" w:eastAsia="Calibri" w:hAnsi="Calibri"/>
          <w:sz w:val="22"/>
          <w:szCs w:val="22"/>
        </w:rPr>
        <w:t xml:space="preserve">All open questions and team recommendations from Section A, consolidated for easy review and reply. Please confirm each recommendation or propose an alternative.</w:t>
      </w:r>
    </w:p>
    <w:p>
      <w:pPr>
        <w:spacing w:after="120" w:before="280"/>
      </w:pPr>
      <w:r>
        <w:rPr>
          <w:rFonts w:ascii="Calibri" w:cs="Calibri" w:eastAsia="Calibri" w:hAnsi="Calibri"/>
          <w:b/>
          <w:bCs/>
          <w:color w:val="1A1A1A"/>
          <w:sz w:val="26"/>
          <w:szCs w:val="26"/>
        </w:rPr>
        <w:t xml:space="preserve">CRITICAL questions (must be answered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5DC" w:sz="4"/>
              <w:left w:val="single" w:color="D0D5DC" w:sz="4"/>
              <w:bottom w:val="single" w:color="D0D5DC" w:sz="4"/>
              <w:right w:val="single" w:color="D0D5DC" w:sz="4"/>
            </w:tcBorders>
            <w:shd w:fill="C0392B"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400"/>
            <w:tcBorders>
              <w:top w:val="single" w:color="D0D5DC" w:sz="4"/>
              <w:left w:val="single" w:color="D0D5DC" w:sz="4"/>
              <w:bottom w:val="single" w:color="D0D5DC" w:sz="4"/>
              <w:right w:val="single" w:color="D0D5DC" w:sz="4"/>
            </w:tcBorders>
            <w:shd w:fill="C0392B"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6360"/>
            <w:tcBorders>
              <w:top w:val="single" w:color="D0D5DC" w:sz="4"/>
              <w:left w:val="single" w:color="D0D5DC" w:sz="4"/>
              <w:bottom w:val="single" w:color="D0D5DC" w:sz="4"/>
              <w:right w:val="single" w:color="D0D5DC" w:sz="4"/>
            </w:tcBorders>
            <w:shd w:fill="C0392B" w:val="clear"/>
            <w:tcMar>
              <w:top w:type="dxa" w:w="100"/>
              <w:left w:type="dxa" w:w="140"/>
              <w:bottom w:type="dxa" w:w="100"/>
              <w:right w:type="dxa" w:w="140"/>
            </w:tcMar>
          </w:tcPr>
          <w:p>
            <w:r>
              <w:rPr>
                <w:rFonts w:ascii="Calibri" w:cs="Calibri" w:eastAsia="Calibri" w:hAnsi="Calibri"/>
                <w:b/>
                <w:bCs/>
                <w:color w:val="FFFFFF"/>
                <w:sz w:val="20"/>
                <w:szCs w:val="20"/>
              </w:rPr>
              <w:t xml:space="preserve">Team Recommendation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Pricing — non-maintenance portion</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Charge non-maintenance portion in full at time of add; maintenance portion is prorated daily.</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Q3</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PO field placement</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On the Pay Now invoice screen.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Q4</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Internal notification</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Notify only when (a) PO is entered, OR (b) company is flagged for PO/terms.</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Q9</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Terminology</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“Current paid licenses” and “Paid licenses at next renewal.”</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Q10</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Notice wording</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“This license is paid through {endOfCycleDate}. To continue this seat at renewal, your Billing Admin must mark it as renewing in Manage Licenses.”</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Q12</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Role permissions</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Confirm the table in Section A7 as captured.</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Q14</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Role naming</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Keep current labels (Account Owner, Billing Admin, License Admin, Registered Contact).</w:t>
            </w:r>
          </w:p>
        </w:tc>
      </w:tr>
    </w:tbl>
    <w:p>
      <w:pPr>
        <w:spacing w:after="120"/>
      </w:pPr>
      <w:r>
        <w:rPr>
          <w:rFonts w:ascii="Calibri" w:cs="Calibri" w:eastAsia="Calibri" w:hAnsi="Calibri"/>
        </w:rPr>
        <w:t xml:space="preserve"/>
      </w:r>
    </w:p>
    <w:p>
      <w:pPr>
        <w:spacing w:after="120" w:before="280"/>
      </w:pPr>
      <w:r>
        <w:rPr>
          <w:rFonts w:ascii="Calibri" w:cs="Calibri" w:eastAsia="Calibri" w:hAnsi="Calibri"/>
          <w:b/>
          <w:bCs/>
          <w:color w:val="1A1A1A"/>
          <w:sz w:val="26"/>
          <w:szCs w:val="26"/>
        </w:rPr>
        <w:t xml:space="preserve">NICE-TO-CLARIFY questions (helpful, not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5DC" w:sz="4"/>
              <w:left w:val="single" w:color="D0D5DC" w:sz="4"/>
              <w:bottom w:val="single" w:color="D0D5DC" w:sz="4"/>
              <w:right w:val="single" w:color="D0D5DC" w:sz="4"/>
            </w:tcBorders>
            <w:shd w:fill="8B691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400"/>
            <w:tcBorders>
              <w:top w:val="single" w:color="D0D5DC" w:sz="4"/>
              <w:left w:val="single" w:color="D0D5DC" w:sz="4"/>
              <w:bottom w:val="single" w:color="D0D5DC" w:sz="4"/>
              <w:right w:val="single" w:color="D0D5DC" w:sz="4"/>
            </w:tcBorders>
            <w:shd w:fill="8B6914"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6360"/>
            <w:tcBorders>
              <w:top w:val="single" w:color="D0D5DC" w:sz="4"/>
              <w:left w:val="single" w:color="D0D5DC" w:sz="4"/>
              <w:bottom w:val="single" w:color="D0D5DC" w:sz="4"/>
              <w:right w:val="single" w:color="D0D5DC" w:sz="4"/>
            </w:tcBorders>
            <w:shd w:fill="8B6914" w:val="clear"/>
            <w:tcMar>
              <w:top w:type="dxa" w:w="100"/>
              <w:left w:type="dxa" w:w="140"/>
              <w:bottom w:type="dxa" w:w="100"/>
              <w:right w:type="dxa" w:w="140"/>
            </w:tcMar>
          </w:tcPr>
          <w:p>
            <w:r>
              <w:rPr>
                <w:rFonts w:ascii="Calibri" w:cs="Calibri" w:eastAsia="Calibri" w:hAnsi="Calibri"/>
                <w:b/>
                <w:bCs/>
                <w:color w:val="FFFFFF"/>
                <w:sz w:val="20"/>
                <w:szCs w:val="20"/>
              </w:rPr>
              <w:t xml:space="preserve">Team Recommendation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Q2</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Separate-subscription exception</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No portal action; out-of-band contact is sufficient.</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Q5</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Admin configurations</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Three settings: default payment method, terms days, always-require-PO flag.</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Q6</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Reactivation roles</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Account Owner + Billing Admin.</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Q7</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Reactivation discoverability</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Yes — list previously-held licenses in Manage Licenses.</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Q8</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Self-created quote fields</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Required: product(s) + seats. PO and note optional.</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Q11</w:t>
            </w:r>
          </w:p>
        </w:tc>
        <w:tc>
          <w:tcPr>
            <w:tcW w:type="dxa" w:w="24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Expiring/renewing toggle location</w:t>
            </w:r>
          </w:p>
        </w:tc>
        <w:tc>
          <w:tcPr>
            <w:tcW w:type="dxa" w:w="63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Manage Licenses flyout only.</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Q13</w:t>
            </w:r>
          </w:p>
        </w:tc>
        <w:tc>
          <w:tcPr>
            <w:tcW w:type="dxa" w:w="24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Owner-only capabilities</w:t>
            </w:r>
          </w:p>
        </w:tc>
        <w:tc>
          <w:tcPr>
            <w:tcW w:type="dxa" w:w="63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Reserve ownership transfer + account closure for Account Owner.</w:t>
            </w:r>
          </w:p>
        </w:tc>
      </w:tr>
    </w:tbl>
    <w:p>
      <w:pPr>
        <w:pBdr>
          <w:bottom w:val="single" w:color="1D618E" w:sz="6" w:space="4"/>
        </w:pBdr>
        <w:spacing w:after="180" w:before="360"/>
      </w:pPr>
      <w:r>
        <w:rPr>
          <w:rFonts w:ascii="Calibri" w:cs="Calibri" w:eastAsia="Calibri" w:hAnsi="Calibri"/>
          <w:b/>
          <w:bCs/>
          <w:color w:val="1D618E"/>
          <w:sz w:val="32"/>
          <w:szCs w:val="32"/>
        </w:rPr>
        <w:t xml:space="preserve">Section D — Next Steps</w:t>
      </w:r>
    </w:p>
    <w:p>
      <w:pPr>
        <w:pStyle w:val="ListParagraph"/>
        <w:numPr>
          <w:ilvl w:val="0"/>
          <w:numId w:val="3"/>
        </w:numPr>
        <w:spacing w:after="60"/>
      </w:pPr>
      <w:r>
        <w:rPr>
          <w:rFonts w:ascii="Calibri" w:cs="Calibri" w:eastAsia="Calibri" w:hAnsi="Calibri"/>
          <w:sz w:val="22"/>
          <w:szCs w:val="22"/>
        </w:rPr>
        <w:t xml:space="preserve">Client reviews this document and confirms or proposes alternatives for each recommendation in Section C.</w:t>
      </w:r>
    </w:p>
    <w:p>
      <w:pPr>
        <w:pStyle w:val="ListParagraph"/>
        <w:numPr>
          <w:ilvl w:val="0"/>
          <w:numId w:val="3"/>
        </w:numPr>
        <w:spacing w:after="60"/>
      </w:pPr>
      <w:r>
        <w:rPr>
          <w:rFonts w:ascii="Calibri" w:cs="Calibri" w:eastAsia="Calibri" w:hAnsi="Calibri"/>
          <w:sz w:val="22"/>
          <w:szCs w:val="22"/>
        </w:rPr>
        <w:t xml:space="preserve">Team incorporates confirmations into a finalized requirements set; any remaining ambiguities resolved in a follow-up call.</w:t>
      </w:r>
    </w:p>
    <w:p>
      <w:pPr>
        <w:pStyle w:val="ListParagraph"/>
        <w:numPr>
          <w:ilvl w:val="0"/>
          <w:numId w:val="3"/>
        </w:numPr>
        <w:spacing w:after="60"/>
      </w:pPr>
      <w:r>
        <w:rPr>
          <w:rFonts w:ascii="Calibri" w:cs="Calibri" w:eastAsia="Calibri" w:hAnsi="Calibri"/>
          <w:sz w:val="22"/>
          <w:szCs w:val="22"/>
        </w:rPr>
        <w:t xml:space="preserve">User stories and admin-tool configurations are written based on the confirmed rules.</w:t>
      </w:r>
    </w:p>
    <w:p>
      <w:pPr>
        <w:pStyle w:val="ListParagraph"/>
        <w:numPr>
          <w:ilvl w:val="0"/>
          <w:numId w:val="3"/>
        </w:numPr>
        <w:spacing w:after="60"/>
      </w:pPr>
      <w:r>
        <w:rPr>
          <w:rFonts w:ascii="Calibri" w:cs="Calibri" w:eastAsia="Calibri" w:hAnsi="Calibri"/>
          <w:sz w:val="22"/>
          <w:szCs w:val="22"/>
        </w:rPr>
        <w:t xml:space="preserve">Development proceeds per the updated requirements; QA validates against the confirmed 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Discovery Summary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2026-06-01T08:29:26.651Z</dcterms:created>
  <dcterms:modified xsi:type="dcterms:W3CDTF">2026-06-01T08:29:26.652Z</dcterms:modified>
</cp:coreProperties>
</file>

<file path=docProps/custom.xml><?xml version="1.0" encoding="utf-8"?>
<Properties xmlns="http://schemas.openxmlformats.org/officeDocument/2006/custom-properties" xmlns:vt="http://schemas.openxmlformats.org/officeDocument/2006/docPropsVTypes"/>
</file>