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i/>
          <w:iCs/>
          <w:color w:val="5C6470"/>
          <w:sz w:val="20"/>
          <w:szCs w:val="20"/>
        </w:rPr>
        <w:t xml:space="preserve">Customer Portal — User Story</w:t>
      </w:r>
    </w:p>
    <w:p>
      <w:pPr>
        <w:spacing w:after="80"/>
      </w:pPr>
      <w:r>
        <w:rPr>
          <w:rFonts w:ascii="Calibri" w:cs="Calibri" w:eastAsia="Calibri" w:hAnsi="Calibri"/>
          <w:b/>
          <w:bCs/>
          <w:color w:val="1D618E"/>
          <w:sz w:val="32"/>
          <w:szCs w:val="32"/>
        </w:rPr>
        <w:t xml:space="preserve">US-SP07-DASH-002</w:t>
      </w:r>
    </w:p>
    <w:p>
      <w:pPr>
        <w:spacing w:after="180"/>
      </w:pPr>
      <w:r>
        <w:rPr>
          <w:rFonts w:ascii="Calibri" w:cs="Calibri" w:eastAsia="Calibri" w:hAnsi="Calibri"/>
          <w:b/>
          <w:bCs/>
          <w:sz w:val="26"/>
          <w:szCs w:val="26"/>
        </w:rPr>
        <w:t xml:space="preserve">As a Customer Portal User, I Should Be Able to Open the Manage Licenses Drawer From Both the Dashboard License Assignments Section and the Subscriptions Page, So That I Can Manage Seats From Wherever I Am.</w:t>
      </w:r>
    </w:p>
    <w:p>
      <w:pPr>
        <w:pBdr>
          <w:bottom w:val="single" w:color="1D618E" w:sz="6" w:space="4"/>
        </w:pBdr>
        <w:spacing w:after="240"/>
      </w:pPr>
      <w:r>
        <w:rPr>
          <w:rFonts w:ascii="Calibri" w:cs="Calibri" w:eastAsia="Calibri" w:hAnsi="Calibri"/>
          <w:b/>
          <w:bCs/>
          <w:sz w:val="22"/>
          <w:szCs w:val="22"/>
        </w:rPr>
        <w:t xml:space="preserve">Functional Area: </w:t>
      </w:r>
      <w:r>
        <w:rPr>
          <w:rFonts w:ascii="Calibri" w:cs="Calibri" w:eastAsia="Calibri" w:hAnsi="Calibri"/>
          <w:sz w:val="22"/>
          <w:szCs w:val="22"/>
        </w:rPr>
        <w:t xml:space="preserve">Dashboard / License Assignments</w:t>
      </w:r>
    </w:p>
    <w:p>
      <w:pPr>
        <w:pBdr>
          <w:bottom w:val="single" w:color="1D618E" w:sz="6" w:space="4"/>
        </w:pBdr>
        <w:spacing w:after="180" w:before="360"/>
      </w:pPr>
      <w:r>
        <w:rPr>
          <w:rFonts w:ascii="Calibri" w:cs="Calibri" w:eastAsia="Calibri" w:hAnsi="Calibri"/>
          <w:b/>
          <w:bCs/>
          <w:color w:val="1D618E"/>
          <w:sz w:val="28"/>
          <w:szCs w:val="28"/>
        </w:rPr>
        <w:t xml:space="preserve">1. </w:t>
      </w:r>
      <w:r>
        <w:rPr>
          <w:rFonts w:ascii="Calibri" w:cs="Calibri" w:eastAsia="Calibri" w:hAnsi="Calibri"/>
          <w:b/>
          <w:bCs/>
          <w:color w:val="1D618E"/>
          <w:sz w:val="28"/>
          <w:szCs w:val="28"/>
        </w:rPr>
        <w:t xml:space="preserve">Basic Information</w:t>
      </w:r>
    </w:p>
    <w:p>
      <w:pPr>
        <w:spacing w:after="120"/>
      </w:pPr>
      <w:r>
        <w:rPr>
          <w:rFonts w:ascii="Calibri" w:cs="Calibri" w:eastAsia="Calibri" w:hAnsi="Calibri"/>
          <w:sz w:val="22"/>
          <w:szCs w:val="22"/>
        </w:rPr>
        <w:t xml:space="preserve">USID: US-SP07-DASH-002</w:t>
      </w:r>
    </w:p>
    <w:p>
      <w:pPr>
        <w:spacing w:after="120"/>
      </w:pPr>
      <w:r>
        <w:rPr>
          <w:rFonts w:ascii="Calibri" w:cs="Calibri" w:eastAsia="Calibri" w:hAnsi="Calibri"/>
          <w:sz w:val="22"/>
          <w:szCs w:val="22"/>
        </w:rPr>
        <w:t xml:space="preserve">Functional Area: Dashboard / License Assignments</w:t>
      </w:r>
    </w:p>
    <w:p>
      <w:pPr>
        <w:spacing w:after="120"/>
      </w:pPr>
      <w:r>
        <w:rPr>
          <w:rFonts w:ascii="Calibri" w:cs="Calibri" w:eastAsia="Calibri" w:hAnsi="Calibri"/>
          <w:sz w:val="22"/>
          <w:szCs w:val="22"/>
        </w:rPr>
        <w:t xml:space="preserve">Title: As a Customer Portal user, clicking Manage against a product — whether from the Dashboard License Assignments section or from the Subscriptions page — should open the same Manage Licenses drawer for that product.</w:t>
      </w:r>
    </w:p>
    <w:p>
      <w:pPr>
        <w:pBdr>
          <w:bottom w:val="single" w:color="1D618E" w:sz="6" w:space="4"/>
        </w:pBdr>
        <w:spacing w:after="180" w:before="360"/>
      </w:pPr>
      <w:r>
        <w:rPr>
          <w:rFonts w:ascii="Calibri" w:cs="Calibri" w:eastAsia="Calibri" w:hAnsi="Calibri"/>
          <w:b/>
          <w:bCs/>
          <w:color w:val="1D618E"/>
          <w:sz w:val="28"/>
          <w:szCs w:val="28"/>
        </w:rPr>
        <w:t xml:space="preserve">2. </w:t>
      </w:r>
      <w:r>
        <w:rPr>
          <w:rFonts w:ascii="Calibri" w:cs="Calibri" w:eastAsia="Calibri" w:hAnsi="Calibri"/>
          <w:b/>
          <w:bCs/>
          <w:color w:val="1D618E"/>
          <w:sz w:val="28"/>
          <w:szCs w:val="28"/>
        </w:rPr>
        <w:t xml:space="preserve">User</w:t>
      </w:r>
    </w:p>
    <w:p>
      <w:pPr>
        <w:pStyle w:val="ListParagraph"/>
        <w:numPr>
          <w:ilvl w:val="0"/>
          <w:numId w:val="2"/>
        </w:numPr>
        <w:spacing w:after="60"/>
      </w:pPr>
      <w:r>
        <w:rPr>
          <w:rFonts w:ascii="Calibri" w:cs="Calibri" w:eastAsia="Calibri" w:hAnsi="Calibri"/>
          <w:sz w:val="22"/>
          <w:szCs w:val="22"/>
        </w:rPr>
        <w:t xml:space="preserve">Account Owner</w:t>
      </w:r>
    </w:p>
    <w:p>
      <w:pPr>
        <w:pStyle w:val="ListParagraph"/>
        <w:numPr>
          <w:ilvl w:val="0"/>
          <w:numId w:val="2"/>
        </w:numPr>
        <w:spacing w:after="60"/>
      </w:pPr>
      <w:r>
        <w:rPr>
          <w:rFonts w:ascii="Calibri" w:cs="Calibri" w:eastAsia="Calibri" w:hAnsi="Calibri"/>
          <w:sz w:val="22"/>
          <w:szCs w:val="22"/>
        </w:rPr>
        <w:t xml:space="preserve">Billing Admin</w:t>
      </w:r>
    </w:p>
    <w:p>
      <w:pPr>
        <w:pStyle w:val="ListParagraph"/>
        <w:numPr>
          <w:ilvl w:val="0"/>
          <w:numId w:val="2"/>
        </w:numPr>
        <w:spacing w:after="60"/>
      </w:pPr>
      <w:r>
        <w:rPr>
          <w:rFonts w:ascii="Calibri" w:cs="Calibri" w:eastAsia="Calibri" w:hAnsi="Calibri"/>
          <w:sz w:val="22"/>
          <w:szCs w:val="22"/>
        </w:rPr>
        <w:t xml:space="preserve">License Admin</w:t>
      </w:r>
    </w:p>
    <w:p>
      <w:pPr>
        <w:spacing w:after="120"/>
      </w:pPr>
      <w:r>
        <w:rPr>
          <w:rFonts w:ascii="Calibri" w:cs="Calibri" w:eastAsia="Calibri" w:hAnsi="Calibri"/>
          <w:sz w:val="22"/>
          <w:szCs w:val="22"/>
        </w:rPr>
        <w:t xml:space="preserve">Registered Contact can view the License Assignments list but does not see the Manage action (read-only). Seat management inside the drawer is governed by the existing Manage Licenses story and the role matrix.</w:t>
      </w:r>
    </w:p>
    <w:p>
      <w:pPr>
        <w:pBdr>
          <w:bottom w:val="single" w:color="1D618E" w:sz="6" w:space="4"/>
        </w:pBdr>
        <w:spacing w:after="180" w:before="360"/>
      </w:pPr>
      <w:r>
        <w:rPr>
          <w:rFonts w:ascii="Calibri" w:cs="Calibri" w:eastAsia="Calibri" w:hAnsi="Calibri"/>
          <w:b/>
          <w:bCs/>
          <w:color w:val="1D618E"/>
          <w:sz w:val="28"/>
          <w:szCs w:val="28"/>
        </w:rPr>
        <w:t xml:space="preserve">3. </w:t>
      </w:r>
      <w:r>
        <w:rPr>
          <w:rFonts w:ascii="Calibri" w:cs="Calibri" w:eastAsia="Calibri" w:hAnsi="Calibri"/>
          <w:b/>
          <w:bCs/>
          <w:color w:val="1D618E"/>
          <w:sz w:val="28"/>
          <w:szCs w:val="28"/>
        </w:rPr>
        <w:t xml:space="preserve">Sample Screenshot</w:t>
      </w:r>
    </w:p>
    <w:p>
      <w:pPr>
        <w:spacing w:after="100"/>
      </w:pPr>
      <w:r>
        <w:rPr>
          <w:rFonts w:ascii="Calibri" w:cs="Calibri" w:eastAsia="Calibri" w:hAnsi="Calibri"/>
          <w:i/>
          <w:iCs/>
          <w:color w:val="5C6470"/>
          <w:sz w:val="20"/>
          <w:szCs w:val="20"/>
        </w:rPr>
        <w:t xml:space="preserve">[Placeholder — Dashboard “License Assignments” section listing each subscribed product with seats used/available and a Manage button; the same Manage button shown per product on the Subscriptions page; both opening the identical Manage Licenses drawer.]</w:t>
      </w:r>
    </w:p>
    <w:p>
      <w:pPr>
        <w:pBdr>
          <w:bottom w:val="single" w:color="1D618E" w:sz="6" w:space="4"/>
        </w:pBdr>
        <w:spacing w:after="180" w:before="360"/>
      </w:pPr>
      <w:r>
        <w:rPr>
          <w:rFonts w:ascii="Calibri" w:cs="Calibri" w:eastAsia="Calibri" w:hAnsi="Calibri"/>
          <w:b/>
          <w:bCs/>
          <w:color w:val="1D618E"/>
          <w:sz w:val="28"/>
          <w:szCs w:val="28"/>
        </w:rPr>
        <w:t xml:space="preserve">4. </w:t>
      </w:r>
      <w:r>
        <w:rPr>
          <w:rFonts w:ascii="Calibri" w:cs="Calibri" w:eastAsia="Calibri" w:hAnsi="Calibri"/>
          <w:b/>
          <w:bCs/>
          <w:color w:val="1D618E"/>
          <w:sz w:val="28"/>
          <w:szCs w:val="28"/>
        </w:rPr>
        <w:t xml:space="preserve">Goal</w:t>
      </w:r>
    </w:p>
    <w:p>
      <w:pPr>
        <w:pStyle w:val="ListParagraph"/>
        <w:numPr>
          <w:ilvl w:val="0"/>
          <w:numId w:val="2"/>
        </w:numPr>
        <w:spacing w:after="60"/>
      </w:pPr>
      <w:r>
        <w:rPr>
          <w:rFonts w:ascii="Calibri" w:cs="Calibri" w:eastAsia="Calibri" w:hAnsi="Calibri"/>
          <w:sz w:val="22"/>
          <w:szCs w:val="22"/>
        </w:rPr>
        <w:t xml:space="preserve">Provide a License Assignments section on the Dashboard listing all subscribed products</w:t>
      </w:r>
    </w:p>
    <w:p>
      <w:pPr>
        <w:pStyle w:val="ListParagraph"/>
        <w:numPr>
          <w:ilvl w:val="0"/>
          <w:numId w:val="2"/>
        </w:numPr>
        <w:spacing w:after="60"/>
      </w:pPr>
      <w:r>
        <w:rPr>
          <w:rFonts w:ascii="Calibri" w:cs="Calibri" w:eastAsia="Calibri" w:hAnsi="Calibri"/>
          <w:sz w:val="22"/>
          <w:szCs w:val="22"/>
        </w:rPr>
        <w:t xml:space="preserve">Expose a Manage action per product in two places: the Dashboard section and the Subscriptions page</w:t>
      </w:r>
    </w:p>
    <w:p>
      <w:pPr>
        <w:pStyle w:val="ListParagraph"/>
        <w:numPr>
          <w:ilvl w:val="0"/>
          <w:numId w:val="2"/>
        </w:numPr>
        <w:spacing w:after="60"/>
      </w:pPr>
      <w:r>
        <w:rPr>
          <w:rFonts w:ascii="Calibri" w:cs="Calibri" w:eastAsia="Calibri" w:hAnsi="Calibri"/>
          <w:sz w:val="22"/>
          <w:szCs w:val="22"/>
        </w:rPr>
        <w:t xml:space="preserve">Ensure both Manage actions open the SAME Manage Licenses drawer for the selected product</w:t>
      </w:r>
    </w:p>
    <w:p>
      <w:pPr>
        <w:pStyle w:val="ListParagraph"/>
        <w:numPr>
          <w:ilvl w:val="0"/>
          <w:numId w:val="2"/>
        </w:numPr>
        <w:spacing w:after="60"/>
      </w:pPr>
      <w:r>
        <w:rPr>
          <w:rFonts w:ascii="Calibri" w:cs="Calibri" w:eastAsia="Calibri" w:hAnsi="Calibri"/>
          <w:sz w:val="22"/>
          <w:szCs w:val="22"/>
        </w:rPr>
        <w:t xml:space="preserve">Avoid a separate dedicated License Assignment page — the Subscriptions page is the second entry point</w:t>
      </w:r>
    </w:p>
    <w:p>
      <w:pPr>
        <w:pBdr>
          <w:bottom w:val="single" w:color="1D618E" w:sz="6" w:space="4"/>
        </w:pBdr>
        <w:spacing w:after="180" w:before="360"/>
      </w:pPr>
      <w:r>
        <w:rPr>
          <w:rFonts w:ascii="Calibri" w:cs="Calibri" w:eastAsia="Calibri" w:hAnsi="Calibri"/>
          <w:b/>
          <w:bCs/>
          <w:color w:val="1D618E"/>
          <w:sz w:val="28"/>
          <w:szCs w:val="28"/>
        </w:rPr>
        <w:t xml:space="preserve">5. </w:t>
      </w:r>
      <w:r>
        <w:rPr>
          <w:rFonts w:ascii="Calibri" w:cs="Calibri" w:eastAsia="Calibri" w:hAnsi="Calibri"/>
          <w:b/>
          <w:bCs/>
          <w:color w:val="1D618E"/>
          <w:sz w:val="28"/>
          <w:szCs w:val="28"/>
        </w:rPr>
        <w:t xml:space="preserve">Description</w:t>
      </w:r>
    </w:p>
    <w:p>
      <w:pPr>
        <w:spacing w:after="120"/>
      </w:pPr>
      <w:r>
        <w:rPr>
          <w:rFonts w:ascii="Calibri" w:cs="Calibri" w:eastAsia="Calibri" w:hAnsi="Calibri"/>
          <w:sz w:val="22"/>
          <w:szCs w:val="22"/>
        </w:rPr>
        <w:t xml:space="preserve">The Dashboard includes a License Assignments section that lists every product on the customer’s active subscription(s). Each row shows the product name, plan and renewal context, and seat usage (seats used and seats available), along with a Manage button.</w:t>
      </w:r>
    </w:p>
    <w:p>
      <w:pPr>
        <w:spacing w:after="120"/>
      </w:pPr>
      <w:r>
        <w:rPr>
          <w:rFonts w:ascii="Calibri" w:cs="Calibri" w:eastAsia="Calibri" w:hAnsi="Calibri"/>
          <w:sz w:val="22"/>
          <w:szCs w:val="22"/>
        </w:rPr>
        <w:t xml:space="preserve">The Subscriptions page lists the same products, each with its own Manage button. Regardless of which Manage button the user clicks — on the Dashboard or on the Subscriptions page — the system opens the identical Manage Licenses drawer for that product. This story covers the listing and the redirection-to-drawer behavior only; the drawer’s internal seat-management functionality is specified in the existing Manage Licenses story.</w:t>
      </w:r>
    </w:p>
    <w:p>
      <w:pPr>
        <w:pBdr>
          <w:bottom w:val="single" w:color="1D618E" w:sz="6" w:space="4"/>
        </w:pBdr>
        <w:spacing w:after="180" w:before="360"/>
      </w:pPr>
      <w:r>
        <w:rPr>
          <w:rFonts w:ascii="Calibri" w:cs="Calibri" w:eastAsia="Calibri" w:hAnsi="Calibri"/>
          <w:b/>
          <w:bCs/>
          <w:color w:val="1D618E"/>
          <w:sz w:val="28"/>
          <w:szCs w:val="28"/>
        </w:rPr>
        <w:t xml:space="preserve">6. </w:t>
      </w:r>
      <w:r>
        <w:rPr>
          <w:rFonts w:ascii="Calibri" w:cs="Calibri" w:eastAsia="Calibri" w:hAnsi="Calibri"/>
          <w:b/>
          <w:bCs/>
          <w:color w:val="1D618E"/>
          <w:sz w:val="28"/>
          <w:szCs w:val="28"/>
        </w:rPr>
        <w:t xml:space="preserve">Functional Requirements</w:t>
      </w:r>
    </w:p>
    <w:p>
      <w:pPr>
        <w:shd w:fill="EBF3F7" w:val="clear"/>
        <w:spacing w:after="140" w:before="240"/>
      </w:pPr>
      <w:r>
        <w:rPr>
          <w:rFonts w:ascii="Calibri" w:cs="Calibri" w:eastAsia="Calibri" w:hAnsi="Calibri"/>
          <w:b/>
          <w:bCs/>
          <w:color w:val="1A1A1A"/>
          <w:sz w:val="24"/>
          <w:szCs w:val="24"/>
        </w:rPr>
        <w:t xml:space="preserve">Dashboard License Assignments section</w:t>
      </w:r>
    </w:p>
    <w:p>
      <w:pPr>
        <w:pStyle w:val="ListParagraph"/>
        <w:numPr>
          <w:ilvl w:val="0"/>
          <w:numId w:val="2"/>
        </w:numPr>
        <w:spacing w:after="60"/>
      </w:pPr>
      <w:r>
        <w:rPr>
          <w:rFonts w:ascii="Calibri" w:cs="Calibri" w:eastAsia="Calibri" w:hAnsi="Calibri"/>
          <w:sz w:val="22"/>
          <w:szCs w:val="22"/>
        </w:rPr>
        <w:t xml:space="preserve">A section on the Dashboard titled “License Assignments”</w:t>
      </w:r>
    </w:p>
    <w:p>
      <w:pPr>
        <w:pStyle w:val="ListParagraph"/>
        <w:numPr>
          <w:ilvl w:val="0"/>
          <w:numId w:val="2"/>
        </w:numPr>
        <w:spacing w:after="60"/>
      </w:pPr>
      <w:r>
        <w:rPr>
          <w:rFonts w:ascii="Calibri" w:cs="Calibri" w:eastAsia="Calibri" w:hAnsi="Calibri"/>
          <w:sz w:val="22"/>
          <w:szCs w:val="22"/>
        </w:rPr>
        <w:t xml:space="preserve">Lists every product on the customer’s active subscription(s), one row per product</w:t>
      </w:r>
    </w:p>
    <w:p>
      <w:pPr>
        <w:pStyle w:val="ListParagraph"/>
        <w:numPr>
          <w:ilvl w:val="0"/>
          <w:numId w:val="2"/>
        </w:numPr>
        <w:spacing w:after="60"/>
      </w:pPr>
      <w:r>
        <w:rPr>
          <w:rFonts w:ascii="Calibri" w:cs="Calibri" w:eastAsia="Calibri" w:hAnsi="Calibri"/>
          <w:sz w:val="22"/>
          <w:szCs w:val="22"/>
        </w:rPr>
        <w:t xml:space="preserve">Each row shows: product name, plan label and renewal date, seats total with seats used, and seats available (e.g., “2/30 available”)</w:t>
      </w:r>
    </w:p>
    <w:p>
      <w:pPr>
        <w:pStyle w:val="ListParagraph"/>
        <w:numPr>
          <w:ilvl w:val="0"/>
          <w:numId w:val="2"/>
        </w:numPr>
        <w:spacing w:after="60"/>
      </w:pPr>
      <w:r>
        <w:rPr>
          <w:rFonts w:ascii="Calibri" w:cs="Calibri" w:eastAsia="Calibri" w:hAnsi="Calibri"/>
          <w:sz w:val="22"/>
          <w:szCs w:val="22"/>
        </w:rPr>
        <w:t xml:space="preserve">Each row has a Manage button (visible to Account Owner, Billing Admin, License Admin; hidden for Registered Contact)</w:t>
      </w:r>
    </w:p>
    <w:p>
      <w:pPr>
        <w:pStyle w:val="ListParagraph"/>
        <w:numPr>
          <w:ilvl w:val="0"/>
          <w:numId w:val="2"/>
        </w:numPr>
        <w:spacing w:after="60"/>
      </w:pPr>
      <w:r>
        <w:rPr>
          <w:rFonts w:ascii="Calibri" w:cs="Calibri" w:eastAsia="Calibri" w:hAnsi="Calibri"/>
          <w:sz w:val="22"/>
          <w:szCs w:val="22"/>
        </w:rPr>
        <w:t xml:space="preserve">An optional “View all” affordance may link to the Subscriptions page</w:t>
      </w:r>
    </w:p>
    <w:p>
      <w:pPr>
        <w:shd w:fill="EBF3F7" w:val="clear"/>
        <w:spacing w:after="140" w:before="240"/>
      </w:pPr>
      <w:r>
        <w:rPr>
          <w:rFonts w:ascii="Calibri" w:cs="Calibri" w:eastAsia="Calibri" w:hAnsi="Calibri"/>
          <w:b/>
          <w:bCs/>
          <w:color w:val="1A1A1A"/>
          <w:sz w:val="24"/>
          <w:szCs w:val="24"/>
        </w:rPr>
        <w:t xml:space="preserve">Subscriptions page Manage action</w:t>
      </w:r>
    </w:p>
    <w:p>
      <w:pPr>
        <w:pStyle w:val="ListParagraph"/>
        <w:numPr>
          <w:ilvl w:val="0"/>
          <w:numId w:val="2"/>
        </w:numPr>
        <w:spacing w:after="60"/>
      </w:pPr>
      <w:r>
        <w:rPr>
          <w:rFonts w:ascii="Calibri" w:cs="Calibri" w:eastAsia="Calibri" w:hAnsi="Calibri"/>
          <w:sz w:val="22"/>
          <w:szCs w:val="22"/>
        </w:rPr>
        <w:t xml:space="preserve">The Subscriptions page lists the same products with the same per-product Manage button</w:t>
      </w:r>
    </w:p>
    <w:p>
      <w:pPr>
        <w:pStyle w:val="ListParagraph"/>
        <w:numPr>
          <w:ilvl w:val="0"/>
          <w:numId w:val="2"/>
        </w:numPr>
        <w:spacing w:after="60"/>
      </w:pPr>
      <w:r>
        <w:rPr>
          <w:rFonts w:ascii="Calibri" w:cs="Calibri" w:eastAsia="Calibri" w:hAnsi="Calibri"/>
          <w:sz w:val="22"/>
          <w:szCs w:val="22"/>
        </w:rPr>
        <w:t xml:space="preserve">The Manage button follows the same role visibility rules</w:t>
      </w:r>
    </w:p>
    <w:p>
      <w:pPr>
        <w:shd w:fill="EBF3F7" w:val="clear"/>
        <w:spacing w:after="140" w:before="240"/>
      </w:pPr>
      <w:r>
        <w:rPr>
          <w:rFonts w:ascii="Calibri" w:cs="Calibri" w:eastAsia="Calibri" w:hAnsi="Calibri"/>
          <w:b/>
          <w:bCs/>
          <w:color w:val="1A1A1A"/>
          <w:sz w:val="24"/>
          <w:szCs w:val="24"/>
        </w:rPr>
        <w:t xml:space="preserve">Shared drawer redirection</w:t>
      </w:r>
    </w:p>
    <w:p>
      <w:pPr>
        <w:pStyle w:val="ListParagraph"/>
        <w:numPr>
          <w:ilvl w:val="0"/>
          <w:numId w:val="3"/>
        </w:numPr>
        <w:spacing w:after="60"/>
      </w:pPr>
      <w:r>
        <w:rPr>
          <w:rFonts w:ascii="Calibri" w:cs="Calibri" w:eastAsia="Calibri" w:hAnsi="Calibri"/>
          <w:sz w:val="22"/>
          <w:szCs w:val="22"/>
        </w:rPr>
        <w:t xml:space="preserve">Clicking Manage on a product (from either location) opens the Manage Licenses drawer for that specific product</w:t>
      </w:r>
    </w:p>
    <w:p>
      <w:pPr>
        <w:pStyle w:val="ListParagraph"/>
        <w:numPr>
          <w:ilvl w:val="0"/>
          <w:numId w:val="3"/>
        </w:numPr>
        <w:spacing w:after="60"/>
      </w:pPr>
      <w:r>
        <w:rPr>
          <w:rFonts w:ascii="Calibri" w:cs="Calibri" w:eastAsia="Calibri" w:hAnsi="Calibri"/>
          <w:sz w:val="22"/>
          <w:szCs w:val="22"/>
        </w:rPr>
        <w:t xml:space="preserve">The drawer is the SAME component in both cases — not a duplicate — receiving the selected product/subscription as context</w:t>
      </w:r>
    </w:p>
    <w:p>
      <w:pPr>
        <w:pStyle w:val="ListParagraph"/>
        <w:numPr>
          <w:ilvl w:val="0"/>
          <w:numId w:val="3"/>
        </w:numPr>
        <w:spacing w:after="60"/>
      </w:pPr>
      <w:r>
        <w:rPr>
          <w:rFonts w:ascii="Calibri" w:cs="Calibri" w:eastAsia="Calibri" w:hAnsi="Calibri"/>
          <w:sz w:val="22"/>
          <w:szCs w:val="22"/>
        </w:rPr>
        <w:t xml:space="preserve">Closing the drawer returns the user to the page they launched it from (Dashboard or Subscriptions)</w:t>
      </w:r>
    </w:p>
    <w:p>
      <w:pPr>
        <w:shd w:fill="EBF3F7" w:val="clear"/>
        <w:spacing w:after="140" w:before="240"/>
      </w:pPr>
      <w:r>
        <w:rPr>
          <w:rFonts w:ascii="Calibri" w:cs="Calibri" w:eastAsia="Calibri" w:hAnsi="Calibri"/>
          <w:b/>
          <w:bCs/>
          <w:color w:val="1A1A1A"/>
          <w:sz w:val="24"/>
          <w:szCs w:val="24"/>
        </w:rPr>
        <w:t xml:space="preserve">Out of scope (referenced, not specified here)</w:t>
      </w:r>
    </w:p>
    <w:p>
      <w:pPr>
        <w:pStyle w:val="ListParagraph"/>
        <w:numPr>
          <w:ilvl w:val="0"/>
          <w:numId w:val="2"/>
        </w:numPr>
        <w:spacing w:after="60"/>
      </w:pPr>
      <w:r>
        <w:rPr>
          <w:rFonts w:ascii="Calibri" w:cs="Calibri" w:eastAsia="Calibri" w:hAnsi="Calibri"/>
          <w:sz w:val="22"/>
          <w:szCs w:val="22"/>
        </w:rPr>
        <w:t xml:space="preserve">The drawer’s seat increase/decrease, assignment, and save behavior are defined in the existing Manage Licenses story</w:t>
      </w:r>
    </w:p>
    <w:p>
      <w:pPr>
        <w:pStyle w:val="ListParagraph"/>
        <w:numPr>
          <w:ilvl w:val="0"/>
          <w:numId w:val="2"/>
        </w:numPr>
        <w:spacing w:after="60"/>
      </w:pPr>
      <w:r>
        <w:rPr>
          <w:rFonts w:ascii="Calibri" w:cs="Calibri" w:eastAsia="Calibri" w:hAnsi="Calibri"/>
          <w:sz w:val="22"/>
          <w:szCs w:val="22"/>
        </w:rPr>
        <w:t xml:space="preserve">This story only establishes the two entry points and the shared-drawer redirection</w:t>
      </w:r>
    </w:p>
    <w:p>
      <w:pPr>
        <w:pBdr>
          <w:bottom w:val="single" w:color="1D618E" w:sz="6" w:space="4"/>
        </w:pBdr>
        <w:spacing w:after="180" w:before="360"/>
      </w:pPr>
      <w:r>
        <w:rPr>
          <w:rFonts w:ascii="Calibri" w:cs="Calibri" w:eastAsia="Calibri" w:hAnsi="Calibri"/>
          <w:b/>
          <w:bCs/>
          <w:color w:val="1D618E"/>
          <w:sz w:val="28"/>
          <w:szCs w:val="28"/>
        </w:rPr>
        <w:t xml:space="preserve">7. </w:t>
      </w:r>
      <w:r>
        <w:rPr>
          <w:rFonts w:ascii="Calibri" w:cs="Calibri" w:eastAsia="Calibri" w:hAnsi="Calibri"/>
          <w:b/>
          <w:bCs/>
          <w:color w:val="1D618E"/>
          <w:sz w:val="28"/>
          <w:szCs w:val="28"/>
        </w:rPr>
        <w:t xml:space="preserve">Validation Rules</w:t>
      </w:r>
    </w:p>
    <w:p>
      <w:pPr>
        <w:pStyle w:val="ListParagraph"/>
        <w:numPr>
          <w:ilvl w:val="0"/>
          <w:numId w:val="2"/>
        </w:numPr>
        <w:spacing w:after="60"/>
      </w:pPr>
      <w:r>
        <w:rPr>
          <w:rFonts w:ascii="Calibri" w:cs="Calibri" w:eastAsia="Calibri" w:hAnsi="Calibri"/>
          <w:sz w:val="22"/>
          <w:szCs w:val="22"/>
        </w:rPr>
        <w:t xml:space="preserve">Both entry points must open the same drawer component, not separate copies</w:t>
      </w:r>
    </w:p>
    <w:p>
      <w:pPr>
        <w:pStyle w:val="ListParagraph"/>
        <w:numPr>
          <w:ilvl w:val="0"/>
          <w:numId w:val="2"/>
        </w:numPr>
        <w:spacing w:after="60"/>
      </w:pPr>
      <w:r>
        <w:rPr>
          <w:rFonts w:ascii="Calibri" w:cs="Calibri" w:eastAsia="Calibri" w:hAnsi="Calibri"/>
          <w:sz w:val="22"/>
          <w:szCs w:val="22"/>
        </w:rPr>
        <w:t xml:space="preserve">The Manage action must be hidden for Registered Contact in both locations</w:t>
      </w:r>
    </w:p>
    <w:p>
      <w:pPr>
        <w:pStyle w:val="ListParagraph"/>
        <w:numPr>
          <w:ilvl w:val="0"/>
          <w:numId w:val="2"/>
        </w:numPr>
        <w:spacing w:after="60"/>
      </w:pPr>
      <w:r>
        <w:rPr>
          <w:rFonts w:ascii="Calibri" w:cs="Calibri" w:eastAsia="Calibri" w:hAnsi="Calibri"/>
          <w:sz w:val="22"/>
          <w:szCs w:val="22"/>
        </w:rPr>
        <w:t xml:space="preserve">The Dashboard list must reflect all products on active subscription(s), consistent with the Subscriptions page</w:t>
      </w:r>
    </w:p>
    <w:p>
      <w:pPr>
        <w:pStyle w:val="ListParagraph"/>
        <w:numPr>
          <w:ilvl w:val="0"/>
          <w:numId w:val="2"/>
        </w:numPr>
        <w:spacing w:after="60"/>
      </w:pPr>
      <w:r>
        <w:rPr>
          <w:rFonts w:ascii="Calibri" w:cs="Calibri" w:eastAsia="Calibri" w:hAnsi="Calibri"/>
          <w:sz w:val="22"/>
          <w:szCs w:val="22"/>
        </w:rPr>
        <w:t xml:space="preserve">There is no dedicated standalone License Assignment page — the Subscriptions page serves as the second entry point</w:t>
      </w:r>
    </w:p>
    <w:p>
      <w:pPr>
        <w:pBdr>
          <w:bottom w:val="single" w:color="1D618E" w:sz="6" w:space="4"/>
        </w:pBdr>
        <w:spacing w:after="180" w:before="360"/>
      </w:pPr>
      <w:r>
        <w:rPr>
          <w:rFonts w:ascii="Calibri" w:cs="Calibri" w:eastAsia="Calibri" w:hAnsi="Calibri"/>
          <w:b/>
          <w:bCs/>
          <w:color w:val="1D618E"/>
          <w:sz w:val="28"/>
          <w:szCs w:val="28"/>
        </w:rPr>
        <w:t xml:space="preserve">8. </w:t>
      </w:r>
      <w:r>
        <w:rPr>
          <w:rFonts w:ascii="Calibri" w:cs="Calibri" w:eastAsia="Calibri" w:hAnsi="Calibri"/>
          <w:b/>
          <w:bCs/>
          <w:color w:val="1D618E"/>
          <w:sz w:val="28"/>
          <w:szCs w:val="28"/>
        </w:rPr>
        <w:t xml:space="preserve">Acceptance Criteria</w:t>
      </w:r>
    </w:p>
    <w:p>
      <w:pPr>
        <w:pStyle w:val="ListParagraph"/>
        <w:numPr>
          <w:ilvl w:val="0"/>
          <w:numId w:val="2"/>
        </w:numPr>
        <w:spacing w:after="60"/>
      </w:pPr>
      <w:r>
        <w:rPr>
          <w:rFonts w:ascii="Calibri" w:cs="Calibri" w:eastAsia="Calibri" w:hAnsi="Calibri"/>
          <w:sz w:val="22"/>
          <w:szCs w:val="22"/>
        </w:rPr>
        <w:t xml:space="preserve">The Dashboard shows a License Assignments section listing each subscribed product with seats used and seats available</w:t>
      </w:r>
    </w:p>
    <w:p>
      <w:pPr>
        <w:pStyle w:val="ListParagraph"/>
        <w:numPr>
          <w:ilvl w:val="0"/>
          <w:numId w:val="2"/>
        </w:numPr>
        <w:spacing w:after="60"/>
      </w:pPr>
      <w:r>
        <w:rPr>
          <w:rFonts w:ascii="Calibri" w:cs="Calibri" w:eastAsia="Calibri" w:hAnsi="Calibri"/>
          <w:sz w:val="22"/>
          <w:szCs w:val="22"/>
        </w:rPr>
        <w:t xml:space="preserve">Each Dashboard product row shows a Manage button for AO, Billing Admin, and License Admin</w:t>
      </w:r>
    </w:p>
    <w:p>
      <w:pPr>
        <w:pStyle w:val="ListParagraph"/>
        <w:numPr>
          <w:ilvl w:val="0"/>
          <w:numId w:val="2"/>
        </w:numPr>
        <w:spacing w:after="60"/>
      </w:pPr>
      <w:r>
        <w:rPr>
          <w:rFonts w:ascii="Calibri" w:cs="Calibri" w:eastAsia="Calibri" w:hAnsi="Calibri"/>
          <w:sz w:val="22"/>
          <w:szCs w:val="22"/>
        </w:rPr>
        <w:t xml:space="preserve">Registered Contact sees the list but no Manage button in either location</w:t>
      </w:r>
    </w:p>
    <w:p>
      <w:pPr>
        <w:pStyle w:val="ListParagraph"/>
        <w:numPr>
          <w:ilvl w:val="0"/>
          <w:numId w:val="2"/>
        </w:numPr>
        <w:spacing w:after="60"/>
      </w:pPr>
      <w:r>
        <w:rPr>
          <w:rFonts w:ascii="Calibri" w:cs="Calibri" w:eastAsia="Calibri" w:hAnsi="Calibri"/>
          <w:sz w:val="22"/>
          <w:szCs w:val="22"/>
        </w:rPr>
        <w:t xml:space="preserve">The Subscriptions page shows the same products each with a Manage button</w:t>
      </w:r>
    </w:p>
    <w:p>
      <w:pPr>
        <w:pStyle w:val="ListParagraph"/>
        <w:numPr>
          <w:ilvl w:val="0"/>
          <w:numId w:val="2"/>
        </w:numPr>
        <w:spacing w:after="60"/>
      </w:pPr>
      <w:r>
        <w:rPr>
          <w:rFonts w:ascii="Calibri" w:cs="Calibri" w:eastAsia="Calibri" w:hAnsi="Calibri"/>
          <w:sz w:val="22"/>
          <w:szCs w:val="22"/>
        </w:rPr>
        <w:t xml:space="preserve">Clicking Manage from the Dashboard opens the Manage Licenses drawer for that product</w:t>
      </w:r>
    </w:p>
    <w:p>
      <w:pPr>
        <w:pStyle w:val="ListParagraph"/>
        <w:numPr>
          <w:ilvl w:val="0"/>
          <w:numId w:val="2"/>
        </w:numPr>
        <w:spacing w:after="60"/>
      </w:pPr>
      <w:r>
        <w:rPr>
          <w:rFonts w:ascii="Calibri" w:cs="Calibri" w:eastAsia="Calibri" w:hAnsi="Calibri"/>
          <w:sz w:val="22"/>
          <w:szCs w:val="22"/>
        </w:rPr>
        <w:t xml:space="preserve">Clicking Manage from the Subscriptions page opens the same Manage Licenses drawer for that product</w:t>
      </w:r>
    </w:p>
    <w:p>
      <w:pPr>
        <w:pStyle w:val="ListParagraph"/>
        <w:numPr>
          <w:ilvl w:val="0"/>
          <w:numId w:val="2"/>
        </w:numPr>
        <w:spacing w:after="60"/>
      </w:pPr>
      <w:r>
        <w:rPr>
          <w:rFonts w:ascii="Calibri" w:cs="Calibri" w:eastAsia="Calibri" w:hAnsi="Calibri"/>
          <w:sz w:val="22"/>
          <w:szCs w:val="22"/>
        </w:rPr>
        <w:t xml:space="preserve">The drawer opened from either location is the same component and shows the correct product context</w:t>
      </w:r>
    </w:p>
    <w:p>
      <w:pPr>
        <w:pStyle w:val="ListParagraph"/>
        <w:numPr>
          <w:ilvl w:val="0"/>
          <w:numId w:val="2"/>
        </w:numPr>
        <w:spacing w:after="60"/>
      </w:pPr>
      <w:r>
        <w:rPr>
          <w:rFonts w:ascii="Calibri" w:cs="Calibri" w:eastAsia="Calibri" w:hAnsi="Calibri"/>
          <w:sz w:val="22"/>
          <w:szCs w:val="22"/>
        </w:rPr>
        <w:t xml:space="preserve">Closing the drawer returns the user to the originating page</w:t>
      </w:r>
    </w:p>
    <w:p>
      <w:pPr>
        <w:pBdr>
          <w:bottom w:val="single" w:color="1D618E" w:sz="6" w:space="4"/>
        </w:pBdr>
        <w:spacing w:after="180" w:before="360"/>
      </w:pPr>
      <w:r>
        <w:rPr>
          <w:rFonts w:ascii="Calibri" w:cs="Calibri" w:eastAsia="Calibri" w:hAnsi="Calibri"/>
          <w:b/>
          <w:bCs/>
          <w:color w:val="1D618E"/>
          <w:sz w:val="28"/>
          <w:szCs w:val="28"/>
        </w:rPr>
        <w:t xml:space="preserve">9. </w:t>
      </w:r>
      <w:r>
        <w:rPr>
          <w:rFonts w:ascii="Calibri" w:cs="Calibri" w:eastAsia="Calibri" w:hAnsi="Calibri"/>
          <w:b/>
          <w:bCs/>
          <w:color w:val="1D618E"/>
          <w:sz w:val="28"/>
          <w:szCs w:val="28"/>
        </w:rPr>
        <w:t xml:space="preserve">References</w:t>
      </w:r>
    </w:p>
    <w:p>
      <w:pPr>
        <w:spacing w:after="120"/>
      </w:pPr>
      <w:r>
        <w:rPr>
          <w:rFonts w:ascii="Calibri" w:cs="Calibri" w:eastAsia="Calibri" w:hAnsi="Calibri"/>
          <w:sz w:val="22"/>
          <w:szCs w:val="22"/>
        </w:rPr>
        <w:t xml:space="preserve">Role Matrix: Section 5 (License management). Related Stories: the existing Manage Licenses drawer story (drawer internals), the Subscriptions listing story. Business Rules: BR-074, BR-075 (license capacity).</w:t>
      </w:r>
    </w:p>
    <w:p>
      <w:pPr>
        <w:pBdr>
          <w:bottom w:val="single" w:color="1D618E" w:sz="6" w:space="4"/>
        </w:pBdr>
        <w:spacing w:after="180" w:before="360"/>
      </w:pPr>
      <w:r>
        <w:rPr>
          <w:rFonts w:ascii="Calibri" w:cs="Calibri" w:eastAsia="Calibri" w:hAnsi="Calibri"/>
          <w:b/>
          <w:bCs/>
          <w:color w:val="1D618E"/>
          <w:sz w:val="28"/>
          <w:szCs w:val="28"/>
        </w:rPr>
        <w:t xml:space="preserve">10. </w:t>
      </w:r>
      <w:r>
        <w:rPr>
          <w:rFonts w:ascii="Calibri" w:cs="Calibri" w:eastAsia="Calibri" w:hAnsi="Calibri"/>
          <w:b/>
          <w:bCs/>
          <w:color w:val="1D618E"/>
          <w:sz w:val="28"/>
          <w:szCs w:val="28"/>
        </w:rPr>
        <w:t xml:space="preserve">Deviations from Current Prototype</w:t>
      </w:r>
    </w:p>
    <w:p>
      <w:pPr>
        <w:pStyle w:val="ListParagraph"/>
        <w:numPr>
          <w:ilvl w:val="0"/>
          <w:numId w:val="2"/>
        </w:numPr>
        <w:spacing w:after="60"/>
      </w:pPr>
      <w:r>
        <w:rPr>
          <w:rFonts w:ascii="Calibri" w:cs="Calibri" w:eastAsia="Calibri" w:hAnsi="Calibri"/>
          <w:sz w:val="22"/>
          <w:szCs w:val="22"/>
        </w:rPr>
        <w:t xml:space="preserve">Confirm the Dashboard License Assignments section and the Subscriptions page invoke the same shared drawer component rather than two separate implementations.</w:t>
      </w:r>
    </w:p>
    <w:p>
      <w:pPr>
        <w:pStyle w:val="ListParagraph"/>
        <w:numPr>
          <w:ilvl w:val="0"/>
          <w:numId w:val="2"/>
        </w:numPr>
        <w:spacing w:after="60"/>
      </w:pPr>
      <w:r>
        <w:rPr>
          <w:rFonts w:ascii="Calibri" w:cs="Calibri" w:eastAsia="Calibri" w:hAnsi="Calibri"/>
          <w:sz w:val="22"/>
          <w:szCs w:val="22"/>
        </w:rPr>
        <w:t xml:space="preserve">No dedicated License Assignment page exists; the Subscriptions page is the second entry point by design.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w:t>
    </w:r>
    <w:r>
      <w:rPr>
        <w:rFonts w:ascii="Calibri" w:cs="Calibri" w:eastAsia="Calibri" w:hAnsi="Calibri"/>
        <w:color w:val="5C6470"/>
        <w:sz w:val="18"/>
        <w:szCs w:val="18"/>
      </w:rPr>
      <w:t xml:space="preserve">US-SP07-DASH-002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2026-05-26T03:56:22.427Z</dcterms:created>
  <dcterms:modified xsi:type="dcterms:W3CDTF">2026-05-26T03:56:22.443Z</dcterms:modified>
</cp:coreProperties>
</file>

<file path=docProps/custom.xml><?xml version="1.0" encoding="utf-8"?>
<Properties xmlns="http://schemas.openxmlformats.org/officeDocument/2006/custom-properties" xmlns:vt="http://schemas.openxmlformats.org/officeDocument/2006/docPropsVTypes"/>
</file>