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606E4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1. Basic Information</w:t>
      </w:r>
    </w:p>
    <w:p w14:paraId="17F3594E">
      <w:pPr>
        <w:spacing w:after="80"/>
      </w:pPr>
      <w:r>
        <w:rPr>
          <w:rFonts w:ascii="Calibri" w:hAnsi="Calibri" w:eastAsia="Calibri" w:cs="Calibri"/>
          <w:b/>
          <w:bCs/>
          <w:color w:val="1D618E"/>
          <w:sz w:val="32"/>
          <w:szCs w:val="32"/>
        </w:rPr>
        <w:t>US-SP08-DN-004</w:t>
      </w:r>
    </w:p>
    <w:p w14:paraId="35248B9D">
      <w:pPr>
        <w:spacing w:after="120"/>
      </w:pPr>
      <w:r>
        <w:rPr>
          <w:rFonts w:ascii="Calibri" w:hAnsi="Calibri" w:eastAsia="Calibri" w:cs="Calibri"/>
          <w:sz w:val="22"/>
          <w:szCs w:val="22"/>
        </w:rPr>
        <w:t>Functional Area: DataNet / Dashboard Redirect</w:t>
      </w:r>
    </w:p>
    <w:p w14:paraId="5DE67E7C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Title: As a Customer Portal user, clicking the View action in the Dashboard DataNet section should navigate me to the DataNet page at /datanet.</w:t>
      </w:r>
    </w:p>
    <w:p w14:paraId="1F66D64A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2. User</w:t>
      </w:r>
    </w:p>
    <w:p w14:paraId="384390A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Account Owner</w:t>
      </w:r>
    </w:p>
    <w:p w14:paraId="23C5C01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Billing Admin</w:t>
      </w:r>
    </w:p>
    <w:p w14:paraId="7E75398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License Admin</w:t>
      </w:r>
    </w:p>
    <w:p w14:paraId="42BDEBE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Registered Contact</w:t>
      </w:r>
    </w:p>
    <w:p w14:paraId="5ED15860">
      <w:pPr>
        <w:spacing w:after="120"/>
        <w:rPr>
          <w:rFonts w:hint="default"/>
          <w:lang w:val="en-IN"/>
        </w:rPr>
      </w:pPr>
      <w:r>
        <w:rPr>
          <w:rFonts w:ascii="Calibri" w:hAnsi="Calibri" w:eastAsia="Calibri" w:cs="Calibri"/>
          <w:sz w:val="22"/>
          <w:szCs w:val="22"/>
        </w:rPr>
        <w:t xml:space="preserve">All authenticated users can use this redirect. The redirect is available regardless of subscription state; users without a DataNet subscription </w:t>
      </w:r>
      <w:r>
        <w:rPr>
          <w:rFonts w:hint="default" w:cs="Calibri"/>
          <w:sz w:val="22"/>
          <w:szCs w:val="22"/>
          <w:lang w:val="en-IN"/>
        </w:rPr>
        <w:t>should see it disabled and grayed out</w:t>
      </w:r>
    </w:p>
    <w:p w14:paraId="52B7FC52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3. Sample Screenshot</w:t>
      </w:r>
    </w:p>
    <w:p w14:paraId="5BFB9F77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4. Goal</w:t>
      </w:r>
    </w:p>
    <w:p w14:paraId="1742C7A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Provide a one-click navigation from the Dashboard to the DataNet page</w:t>
      </w:r>
    </w:p>
    <w:p w14:paraId="7AC5A15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Avoid forcing the user to find the DataNet item in the sidebar</w:t>
      </w:r>
    </w:p>
    <w:p w14:paraId="1BD6A050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5. Description</w:t>
      </w:r>
    </w:p>
    <w:p w14:paraId="58AC140E">
      <w:pPr>
        <w:spacing w:after="120"/>
      </w:pPr>
      <w:r>
        <w:rPr>
          <w:rFonts w:ascii="Calibri" w:hAnsi="Calibri" w:eastAsia="Calibri" w:cs="Calibri"/>
          <w:sz w:val="22"/>
          <w:szCs w:val="22"/>
        </w:rPr>
        <w:t>The Dashboard has a DataNet section in the upper-right area of the page. The section contains the View button (and, per US-SP08-DN-003, a checkbox for email preference). Clicking the View button uses React Router navigation to take the user to /datanet.</w:t>
      </w:r>
    </w:p>
    <w:p w14:paraId="029A6ACA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6. Functional Requirements</w:t>
      </w:r>
    </w:p>
    <w:p w14:paraId="62B01B83">
      <w:pPr>
        <w:shd w:val="clear" w:fill="EBF3F7"/>
        <w:spacing w:before="240" w:after="140"/>
      </w:pPr>
      <w:r>
        <w:rPr>
          <w:rFonts w:ascii="Calibri" w:hAnsi="Calibri" w:eastAsia="Calibri" w:cs="Calibri"/>
          <w:b/>
          <w:bCs/>
          <w:color w:val="1A1A1A"/>
          <w:sz w:val="24"/>
          <w:szCs w:val="24"/>
        </w:rPr>
        <w:t>Dashboard DataNet section View action</w:t>
      </w:r>
    </w:p>
    <w:p w14:paraId="6666328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button labeled View is present in the Dashboard DataNet section</w:t>
      </w:r>
    </w:p>
    <w:p w14:paraId="76F8920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Click handler calls navigate(‘/datanet’)</w:t>
      </w:r>
    </w:p>
    <w:p w14:paraId="6E2030F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Uses internal React Router navigation; no full page reload, no new browser tab</w:t>
      </w:r>
    </w:p>
    <w:p w14:paraId="1EB509F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Available to all authenticated users regardless of role or subscription state</w:t>
      </w:r>
    </w:p>
    <w:p w14:paraId="6097BC64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7. Validation Rules</w:t>
      </w:r>
    </w:p>
    <w:p w14:paraId="7714162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Navigation must use React Router (not window.open) so the SPA state and sidebar remain intact</w:t>
      </w:r>
    </w:p>
    <w:p w14:paraId="3ADECF5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The target /datanet page handles its own subscription gating; this story does not duplicate that gating</w:t>
      </w:r>
    </w:p>
    <w:p w14:paraId="2BE390E9">
      <w:pPr>
        <w:pBdr>
          <w:bottom w:val="single" w:color="1D618E" w:sz="6" w:space="4"/>
        </w:pBdr>
        <w:spacing w:before="360" w:after="180"/>
      </w:pPr>
      <w:r>
        <w:rPr>
          <w:rFonts w:ascii="Calibri" w:hAnsi="Calibri" w:eastAsia="Calibri" w:cs="Calibri"/>
          <w:b/>
          <w:bCs/>
          <w:color w:val="1D618E"/>
          <w:sz w:val="28"/>
          <w:szCs w:val="28"/>
        </w:rPr>
        <w:t>8. Acceptance Criteria</w:t>
      </w:r>
    </w:p>
    <w:p w14:paraId="479FB22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Clicking View in the Dashboard DataNet section navigates the user to /datanet in the same tab</w:t>
      </w:r>
    </w:p>
    <w:p w14:paraId="0F7EBB9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Navigation works for users in companies subscribed to DataNet (lands on the sheet table)</w:t>
      </w:r>
    </w:p>
    <w:p w14:paraId="35B36410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Navigation works for users in companies not subscribed to DataNet (lands on the empty state)</w:t>
      </w:r>
    </w:p>
    <w:p w14:paraId="20CE8A8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Sidebar and header remain present after navigation (no full page reload)</w:t>
      </w:r>
    </w:p>
    <w:p w14:paraId="54B54642">
      <w:pPr>
        <w:pStyle w:val="16"/>
        <w:numPr>
          <w:numId w:val="0"/>
        </w:numPr>
        <w:spacing w:after="6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AFC9F">
    <w:pPr>
      <w:jc w:val="center"/>
    </w:pPr>
    <w:r>
      <w:rPr>
        <w:rFonts w:ascii="Calibri" w:hAnsi="Calibri" w:eastAsia="Calibri" w:cs="Calibri"/>
        <w:color w:val="5C6470"/>
        <w:sz w:val="18"/>
        <w:szCs w:val="18"/>
      </w:rPr>
      <w:t xml:space="preserve">Page </w:t>
    </w:r>
    <w:r>
      <w:rPr>
        <w:rFonts w:ascii="Calibri" w:hAnsi="Calibri" w:eastAsia="Calibri" w:cs="Calibri"/>
        <w:color w:val="5C6470"/>
        <w:sz w:val="18"/>
        <w:szCs w:val="18"/>
      </w:rPr>
      <w:fldChar w:fldCharType="begin"/>
    </w:r>
    <w:r>
      <w:rPr>
        <w:rFonts w:ascii="Calibri" w:hAnsi="Calibri" w:eastAsia="Calibri" w:cs="Calibri"/>
        <w:color w:val="5C6470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C6470"/>
        <w:sz w:val="18"/>
        <w:szCs w:val="18"/>
      </w:rPr>
      <w:fldChar w:fldCharType="separate"/>
    </w:r>
    <w:r>
      <w:rPr>
        <w:rFonts w:ascii="Calibri" w:hAnsi="Calibri" w:eastAsia="Calibri" w:cs="Calibri"/>
        <w:color w:val="5C6470"/>
        <w:sz w:val="18"/>
        <w:szCs w:val="18"/>
      </w:rPr>
      <w:fldChar w:fldCharType="end"/>
    </w:r>
    <w:r>
      <w:rPr>
        <w:rFonts w:ascii="Calibri" w:hAnsi="Calibri" w:eastAsia="Calibri" w:cs="Calibri"/>
        <w:color w:val="5C6470"/>
        <w:sz w:val="18"/>
        <w:szCs w:val="18"/>
      </w:rPr>
      <w:t xml:space="preserve"> of </w:t>
    </w:r>
    <w:r>
      <w:rPr>
        <w:rFonts w:ascii="Calibri" w:hAnsi="Calibri" w:eastAsia="Calibri" w:cs="Calibri"/>
        <w:color w:val="5C6470"/>
        <w:sz w:val="18"/>
        <w:szCs w:val="18"/>
      </w:rPr>
      <w:fldChar w:fldCharType="begin"/>
    </w:r>
    <w:r>
      <w:rPr>
        <w:rFonts w:ascii="Calibri" w:hAnsi="Calibri" w:eastAsia="Calibri" w:cs="Calibri"/>
        <w:color w:val="5C6470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C6470"/>
        <w:sz w:val="18"/>
        <w:szCs w:val="18"/>
      </w:rPr>
      <w:fldChar w:fldCharType="separate"/>
    </w:r>
    <w:r>
      <w:rPr>
        <w:rFonts w:ascii="Calibri" w:hAnsi="Calibri" w:eastAsia="Calibri" w:cs="Calibri"/>
        <w:color w:val="5C647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1503C">
    <w:pPr>
      <w:jc w:val="left"/>
    </w:pPr>
    <w:r>
      <w:rPr>
        <w:rFonts w:ascii="Calibri" w:hAnsi="Calibri" w:eastAsia="Calibri" w:cs="Calibri"/>
        <w:b/>
        <w:bCs/>
        <w:color w:val="1D618E"/>
        <w:sz w:val="18"/>
        <w:szCs w:val="18"/>
      </w:rPr>
      <w:t>Leimberg Customer Portal</w:t>
    </w:r>
    <w:r>
      <w:rPr>
        <w:rFonts w:ascii="Calibri" w:hAnsi="Calibri" w:eastAsia="Calibri" w:cs="Calibri"/>
        <w:color w:val="5C6470"/>
        <w:sz w:val="18"/>
        <w:szCs w:val="18"/>
      </w:rPr>
      <w:t xml:space="preserve">   |   US-SP08-DN-004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FC32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390</Words>
  <Characters>2162</Characters>
  <TotalTime>4</TotalTime>
  <ScaleCrop>false</ScaleCrop>
  <LinksUpToDate>false</LinksUpToDate>
  <CharactersWithSpaces>2512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2026-05-20T11:09:00Z</dcterms:created>
  <dc:creator>Un-named</dc:creator>
  <cp:lastModifiedBy>Lokesh Jadhav</cp:lastModifiedBy>
  <dcterms:modified xsi:type="dcterms:W3CDTF">2026-05-20T11:47:53Z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eyJoZGlkIjoiMzQ2ZmVhNTdmZDNlNTBhOTkyMjc4MDY2Nzc1YjQ3MmIiLCJ1c2VySWQiOiI1Njc0NjU3OTA1MDQifQ==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41D3CFA9D7354BA8A64059E24397C0C1_12</vt:lpwstr>
  </property>
</Properties>
</file>