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5C6470"/>
          <w:sz w:val="20"/>
          <w:szCs w:val="20"/>
        </w:rPr>
        <w:t xml:space="preserve">Internal Risk Register</w:t>
      </w:r>
    </w:p>
    <w:p>
      <w:pPr>
        <w:spacing w:after="60"/>
      </w:pPr>
      <w:r>
        <w:rPr>
          <w:rFonts w:ascii="Calibri" w:cs="Calibri" w:eastAsia="Calibri" w:hAnsi="Calibri"/>
          <w:b/>
          <w:bCs/>
          <w:color w:val="1D618E"/>
          <w:sz w:val="32"/>
          <w:szCs w:val="32"/>
        </w:rPr>
        <w:t xml:space="preserve">v13 Discovery Recommendations — Build Against Unconfirmed Assumptions</w:t>
      </w:r>
    </w:p>
    <w:p>
      <w:pPr>
        <w:spacing w:after="240"/>
      </w:pPr>
      <w:r>
        <w:rPr>
          <w:rFonts w:ascii="Calibri" w:cs="Calibri" w:eastAsia="Calibri" w:hAnsi="Calibri"/>
          <w:i/>
          <w:iCs/>
          <w:sz w:val="22"/>
          <w:szCs w:val="22"/>
        </w:rPr>
        <w:t xml:space="preserve">Internal-only document. Maps each recommendation to the files touched and the revert strategy if the client overrides during review.</w:t>
      </w:r>
    </w:p>
    <w:p>
      <w:pPr>
        <w:pBdr>
          <w:bottom w:val="single" w:color="1D618E" w:sz="6" w:space="4"/>
        </w:pBdr>
        <w:spacing w:after="240"/>
      </w:pPr>
      <w:r>
        <w:rPr>
          <w:rFonts w:ascii="Calibri" w:cs="Calibri" w:eastAsia="Calibri" w:hAnsi="Calibri"/>
          <w:b/>
          <w:bCs/>
          <w:sz w:val="22"/>
          <w:szCs w:val="22"/>
        </w:rPr>
        <w:t xml:space="preserve">Codebase: </w:t>
      </w:r>
      <w:r>
        <w:rPr>
          <w:rFonts w:ascii="Calibri" w:cs="Calibri" w:eastAsia="Calibri" w:hAnsi="Calibri"/>
          <w:sz w:val="22"/>
          <w:szCs w:val="22"/>
        </w:rPr>
        <w:t xml:space="preserve">cusotmerportal2 (Lovable prototype).   </w:t>
      </w:r>
      <w:r>
        <w:rPr>
          <w:rFonts w:ascii="Calibri" w:cs="Calibri" w:eastAsia="Calibri" w:hAnsi="Calibri"/>
          <w:b/>
          <w:bCs/>
          <w:sz w:val="22"/>
          <w:szCs w:val="22"/>
        </w:rPr>
        <w:t xml:space="preserve">Prompt: </w:t>
      </w:r>
      <w:r>
        <w:rPr>
          <w:rFonts w:ascii="Calibri" w:cs="Calibri" w:eastAsia="Calibri" w:hAnsi="Calibri"/>
          <w:sz w:val="22"/>
          <w:szCs w:val="22"/>
        </w:rPr>
        <w:t xml:space="preserve">claude-code-prompt-v13-discovery-recommendations.md   </w:t>
      </w:r>
      <w:r>
        <w:rPr>
          <w:rFonts w:ascii="Calibri" w:cs="Calibri" w:eastAsia="Calibri" w:hAnsi="Calibri"/>
          <w:b/>
          <w:bCs/>
          <w:sz w:val="22"/>
          <w:szCs w:val="22"/>
        </w:rPr>
        <w:t xml:space="preserve">Commit strategy: </w:t>
      </w:r>
      <w:r>
        <w:rPr>
          <w:rFonts w:ascii="Calibri" w:cs="Calibri" w:eastAsia="Calibri" w:hAnsi="Calibri"/>
          <w:sz w:val="22"/>
          <w:szCs w:val="22"/>
        </w:rPr>
        <w:t xml:space="preserve">one atomic commit.</w:t>
      </w:r>
    </w:p>
    <w:p>
      <w:pPr>
        <w:pBdr>
          <w:bottom w:val="single" w:color="1D618E" w:sz="6" w:space="4"/>
        </w:pBdr>
        <w:spacing w:after="180" w:before="360"/>
      </w:pPr>
      <w:r>
        <w:rPr>
          <w:rFonts w:ascii="Calibri" w:cs="Calibri" w:eastAsia="Calibri" w:hAnsi="Calibri"/>
          <w:b/>
          <w:bCs/>
          <w:color w:val="1D618E"/>
          <w:sz w:val="32"/>
          <w:szCs w:val="32"/>
        </w:rPr>
        <w:t xml:space="preserve">Purpose</w:t>
      </w:r>
    </w:p>
    <w:p>
      <w:pPr>
        <w:spacing w:after="120"/>
      </w:pPr>
      <w:r>
        <w:rPr>
          <w:rFonts w:ascii="Calibri" w:cs="Calibri" w:eastAsia="Calibri" w:hAnsi="Calibri"/>
          <w:sz w:val="22"/>
          <w:szCs w:val="22"/>
        </w:rPr>
        <w:t xml:space="preserve">You chose to build all 14 client recommendations into the Lovable prototype before the client has confirmed them. This risk register exists so that if the client overrides any recommendation during review, the team can perform a surgical revert instead of unwinding the entire commit.</w:t>
      </w:r>
    </w:p>
    <w:p>
      <w:pPr>
        <w:spacing w:after="120"/>
      </w:pPr>
      <w:r>
        <w:rPr>
          <w:rFonts w:ascii="Calibri" w:cs="Calibri" w:eastAsia="Calibri" w:hAnsi="Calibri"/>
          <w:sz w:val="22"/>
          <w:szCs w:val="22"/>
        </w:rPr>
        <w:t xml:space="preserve">For each recommendation: status, files touched, revert effort estimate, and the rollback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How to use this document</w:t>
            </w:r>
          </w:p>
          <w:p>
            <w:r>
              <w:rPr>
                <w:rFonts w:ascii="Calibri" w:cs="Calibri" w:eastAsia="Calibri" w:hAnsi="Calibri"/>
                <w:sz w:val="22"/>
                <w:szCs w:val="22"/>
              </w:rPr>
              <w:t xml:space="preserve">If the client confirms a recommendation as-is: no action. If the client overrides: locate the Q# below, follow the revert path. The revert effort estimates are best-case assuming the v13 commit is otherwise stable. Use git revert at the file/hunk level rather than reverting the whole commit.</w:t>
            </w:r>
          </w:p>
        </w:tc>
      </w:tr>
    </w:tbl>
    <w:p>
      <w:pPr>
        <w:pBdr>
          <w:bottom w:val="single" w:color="1D618E" w:sz="6" w:space="4"/>
        </w:pBdr>
        <w:spacing w:after="180" w:before="360"/>
      </w:pPr>
      <w:r>
        <w:rPr>
          <w:rFonts w:ascii="Calibri" w:cs="Calibri" w:eastAsia="Calibri" w:hAnsi="Calibri"/>
          <w:b/>
          <w:bCs/>
          <w:color w:val="1D618E"/>
          <w:sz w:val="32"/>
          <w:szCs w:val="32"/>
        </w:rPr>
        <w:t xml:space="preserve">CRITICAL recommendations (revert paths)</w:t>
      </w:r>
    </w:p>
    <w:p>
      <w:pPr>
        <w:spacing w:after="120" w:before="280"/>
      </w:pPr>
      <w:r>
        <w:rPr>
          <w:rFonts w:ascii="Calibri" w:cs="Calibri" w:eastAsia="Calibri" w:hAnsi="Calibri"/>
          <w:b/>
          <w:bCs/>
          <w:color w:val="1A1A1A"/>
          <w:sz w:val="26"/>
          <w:szCs w:val="26"/>
        </w:rPr>
        <w:t xml:space="preserve">Q1 — License + maintenance split with proration only on maintenance</w:t>
      </w:r>
    </w:p>
    <w:p>
      <w:pPr>
        <w:spacing w:after="100"/>
      </w:pPr>
      <w:r>
        <w:rPr>
          <w:rFonts w:ascii="Calibri" w:cs="Calibri" w:eastAsia="Calibri" w:hAnsi="Calibri"/>
          <w:i/>
          <w:iCs/>
          <w:color w:val="5C6470"/>
          <w:sz w:val="20"/>
          <w:szCs w:val="20"/>
        </w:rPr>
        <w:t xml:space="preserve">Highest-risk recommendation. Touches the core money math. Mitigated by the legacy-proration fallback toggle built into the Admin Tool.</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src/lib/proration.ts (new file or significant addition)</w:t>
      </w:r>
    </w:p>
    <w:p>
      <w:pPr>
        <w:pStyle w:val="ListParagraph"/>
        <w:numPr>
          <w:ilvl w:val="0"/>
          <w:numId w:val="2"/>
        </w:numPr>
        <w:spacing w:after="60"/>
      </w:pPr>
      <w:r>
        <w:rPr>
          <w:rFonts w:ascii="Calibri" w:cs="Calibri" w:eastAsia="Calibri" w:hAnsi="Calibri"/>
          <w:sz w:val="22"/>
          <w:szCs w:val="22"/>
        </w:rPr>
        <w:t xml:space="preserve">src/contexts/AppContext.tsx — CatalogProduct type extension, useLegacyProration flag, all places that invoke proration (requestLicenseChange, addProductToSubscription, renewal-invoice generator)</w:t>
      </w:r>
    </w:p>
    <w:p>
      <w:pPr>
        <w:pStyle w:val="ListParagraph"/>
        <w:numPr>
          <w:ilvl w:val="0"/>
          <w:numId w:val="2"/>
        </w:numPr>
        <w:spacing w:after="60"/>
      </w:pPr>
      <w:r>
        <w:rPr>
          <w:rFonts w:ascii="Calibri" w:cs="Calibri" w:eastAsia="Calibri" w:hAnsi="Calibri"/>
          <w:sz w:val="22"/>
          <w:szCs w:val="22"/>
        </w:rPr>
        <w:t xml:space="preserve">src/data/seed.ts (or wherever catalog seeds live) — maintenancePerSeatPerYear values added per product</w:t>
      </w:r>
    </w:p>
    <w:p>
      <w:pPr>
        <w:pStyle w:val="ListParagraph"/>
        <w:numPr>
          <w:ilvl w:val="0"/>
          <w:numId w:val="2"/>
        </w:numPr>
        <w:spacing w:after="60"/>
      </w:pPr>
      <w:r>
        <w:rPr>
          <w:rFonts w:ascii="Calibri" w:cs="Calibri" w:eastAsia="Calibri" w:hAnsi="Calibri"/>
          <w:sz w:val="22"/>
          <w:szCs w:val="22"/>
        </w:rPr>
        <w:t xml:space="preserve">src/pages/AdminPage.tsx — Product Pricing Configuration section + Pricing Calculation Mode toggle</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Toggle Pricing Calculation Mode to Legacy in the Admin Tool. This is a runtime flip — no code change required for an immediate revert of the math. If the client wants the new pricing model removed entirely, delete the new helpers and the Product Pricing Configuration UI; the catalog data extension can stay (harmless additional fields).</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Runtime flip: &lt; 1 minute. Full code removal: 1–2 hours.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Q3 — PO field on Pay Now invoice screen</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src/pages/PaymentPage.tsx (or equivalent /pay page)</w:t>
      </w:r>
    </w:p>
    <w:p>
      <w:pPr>
        <w:pStyle w:val="ListParagraph"/>
        <w:numPr>
          <w:ilvl w:val="0"/>
          <w:numId w:val="2"/>
        </w:numPr>
        <w:spacing w:after="60"/>
      </w:pPr>
      <w:r>
        <w:rPr>
          <w:rFonts w:ascii="Calibri" w:cs="Calibri" w:eastAsia="Calibri" w:hAnsi="Calibri"/>
          <w:sz w:val="22"/>
          <w:szCs w:val="22"/>
        </w:rPr>
        <w:t xml:space="preserve">src/contexts/AppContext.tsx — markInvoicePaid or equivalent now accepts PO</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Hide the PO field on Pay Now via a conditional render. The data field on invoices can stay (additive). If the client wants PO entry at a different placement (e.g., checkout step), move the field rather than delete it.</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Hide field: 5 minutes. Move to checkout step: 30–60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Q4 — Notification trigger on PO-entered mid-cycle invoice</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src/contexts/AppContext.tsx — new NotificationType admin.po_entered_on_invoice + catalog entry + notify call in payment handler</w:t>
      </w:r>
    </w:p>
    <w:p>
      <w:pPr>
        <w:pStyle w:val="ListParagraph"/>
        <w:numPr>
          <w:ilvl w:val="0"/>
          <w:numId w:val="2"/>
        </w:numPr>
        <w:spacing w:after="60"/>
      </w:pPr>
      <w:r>
        <w:rPr>
          <w:rFonts w:ascii="Calibri" w:cs="Calibri" w:eastAsia="Calibri" w:hAnsi="Calibri"/>
          <w:sz w:val="22"/>
          <w:szCs w:val="22"/>
        </w:rPr>
        <w:t xml:space="preserve">src/pages/PaymentPage.tsx — conditional notify call when PO is entered on mid-cycle invoice</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Comment out or delete the notify call. The notification type definition can remain in the catalog (the toggle still works). If the client wants a different trigger (e.g., every mid-cycle invoice regardless of PO), change the conditional logic in one place.</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Remove trigger: 10 minutes. Change trigger condition: 15–30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Q9 — Terminology for paid-license labels</w:t>
      </w:r>
    </w:p>
    <w:p>
      <w:pPr>
        <w:spacing w:after="100"/>
      </w:pPr>
      <w:r>
        <w:rPr>
          <w:rFonts w:ascii="Calibri" w:cs="Calibri" w:eastAsia="Calibri" w:hAnsi="Calibri"/>
          <w:i/>
          <w:iCs/>
          <w:color w:val="5C6470"/>
          <w:sz w:val="20"/>
          <w:szCs w:val="20"/>
        </w:rPr>
        <w:t xml:space="preserve">Affects multiple places in the Manage Licenses drawer. Easy to find-and-replace.</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src/components/subscriptions/QuoteDialogs.tsx (or wherever ManageLicensesDrawer lives)</w:t>
      </w:r>
    </w:p>
    <w:p>
      <w:pPr>
        <w:pStyle w:val="ListParagraph"/>
        <w:numPr>
          <w:ilvl w:val="0"/>
          <w:numId w:val="2"/>
        </w:numPr>
        <w:spacing w:after="60"/>
      </w:pPr>
      <w:r>
        <w:rPr>
          <w:rFonts w:ascii="Calibri" w:cs="Calibri" w:eastAsia="Calibri" w:hAnsi="Calibri"/>
          <w:sz w:val="22"/>
          <w:szCs w:val="22"/>
        </w:rPr>
        <w:t xml:space="preserve">Possibly tooltip strings, toast messages referencing the counts</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Global find-and-replace from "Current paid licenses" / "Paid licenses at next renewal" to the new wording the client supplies. No structural changes required.</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15–30 minutes for a clean rename.</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Q10 — Expiring-seat assignment notice</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src/components/subscriptions/QuoteDialogs.tsx (Manage Licenses drawer assignment dialog)</w:t>
      </w:r>
    </w:p>
    <w:p>
      <w:pPr>
        <w:pStyle w:val="ListParagraph"/>
        <w:numPr>
          <w:ilvl w:val="0"/>
          <w:numId w:val="2"/>
        </w:numPr>
        <w:spacing w:after="60"/>
      </w:pPr>
      <w:r>
        <w:rPr>
          <w:rFonts w:ascii="Calibri" w:cs="Calibri" w:eastAsia="Calibri" w:hAnsi="Calibri"/>
          <w:sz w:val="22"/>
          <w:szCs w:val="22"/>
        </w:rPr>
        <w:t xml:space="preserve">Possibly src/components/users/UserEditDrawer.tsx (if user-record path also assigns seats)</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Replace the notice text with the new wording. The conditional logic (License Admin only) and placement can stay regardless of wording changes.</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Update copy: 5–10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Q12 — Manage Licenses role permissions</w:t>
      </w:r>
    </w:p>
    <w:p>
      <w:pPr>
        <w:spacing w:after="100"/>
      </w:pPr>
      <w:r>
        <w:rPr>
          <w:rFonts w:ascii="Calibri" w:cs="Calibri" w:eastAsia="Calibri" w:hAnsi="Calibri"/>
          <w:i/>
          <w:iCs/>
          <w:color w:val="5C6470"/>
          <w:sz w:val="20"/>
          <w:szCs w:val="20"/>
        </w:rPr>
        <w:t xml:space="preserve">Touches the permission system — used in many places. Mitigated by centralizing the permission keys.</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src/lib/permissions.ts (or wherever the permission map lives) — new action keys: manage_seats_count, manage_user_assignment, manage_seat_renewal_status, reactivate_license</w:t>
      </w:r>
    </w:p>
    <w:p>
      <w:pPr>
        <w:pStyle w:val="ListParagraph"/>
        <w:numPr>
          <w:ilvl w:val="0"/>
          <w:numId w:val="2"/>
        </w:numPr>
        <w:spacing w:after="60"/>
      </w:pPr>
      <w:r>
        <w:rPr>
          <w:rFonts w:ascii="Calibri" w:cs="Calibri" w:eastAsia="Calibri" w:hAnsi="Calibri"/>
          <w:sz w:val="22"/>
          <w:szCs w:val="22"/>
        </w:rPr>
        <w:t xml:space="preserve">src/components/subscriptions/QuoteDialogs.tsx — useCan() checks added at the relevant controls</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Adjust the role-allowed array in permissions.ts for the specific action(s) the client overrides. Single-file change for most permission overrides.</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Per-action permission change: 5–10 minutes. Restructuring the permission keys themselves: 30–60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Q14 — Role naming convention (keep current)</w:t>
      </w:r>
    </w:p>
    <w:p>
      <w:pPr>
        <w:spacing w:after="80" w:before="200"/>
      </w:pPr>
      <w:r>
        <w:rPr>
          <w:rFonts w:ascii="Calibri" w:cs="Calibri" w:eastAsia="Calibri" w:hAnsi="Calibri"/>
          <w:b/>
          <w:bCs/>
          <w:sz w:val="22"/>
          <w:szCs w:val="22"/>
        </w:rPr>
        <w:t xml:space="preserve">Files touched</w:t>
      </w:r>
    </w:p>
    <w:p>
      <w:pPr>
        <w:spacing w:after="120"/>
      </w:pPr>
      <w:r>
        <w:rPr>
          <w:rFonts w:ascii="Calibri" w:cs="Calibri" w:eastAsia="Calibri" w:hAnsi="Calibri"/>
          <w:sz w:val="22"/>
          <w:szCs w:val="22"/>
        </w:rPr>
        <w:t xml:space="preserve">None (verification only — current labels are kept).</w:t>
      </w:r>
    </w:p>
    <w:p>
      <w:pPr>
        <w:spacing w:after="80" w:before="200"/>
      </w:pPr>
      <w:r>
        <w:rPr>
          <w:rFonts w:ascii="Calibri" w:cs="Calibri" w:eastAsia="Calibri" w:hAnsi="Calibri"/>
          <w:b/>
          <w:bCs/>
          <w:sz w:val="22"/>
          <w:szCs w:val="22"/>
        </w:rPr>
        <w:t xml:space="preserve">Revert strategy if client overrides (i.e., client wants a rename)</w:t>
      </w:r>
    </w:p>
    <w:p>
      <w:pPr>
        <w:spacing w:after="120"/>
      </w:pPr>
      <w:r>
        <w:rPr>
          <w:rFonts w:ascii="Calibri" w:cs="Calibri" w:eastAsia="Calibri" w:hAnsi="Calibri"/>
          <w:sz w:val="22"/>
          <w:szCs w:val="22"/>
        </w:rPr>
        <w:t xml:space="preserve">A rename would require sweeping the codebase for ROLE_LABELS, the four role keys (account_owner, billing_admin, license_admin, registered_contact), and any UI copy. The role IDs themselves can stay (account_owner, etc.); only the display labels in ROLE_LABELS need to change.</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Label-only rename: 30–60 minutes (one map plus all UI references). Full ID rename: 4–6 hours (much higher risk, not recommended).</w:t>
      </w:r>
    </w:p>
    <w:p>
      <w:pPr>
        <w:spacing w:after="120"/>
      </w:pPr>
      <w:r>
        <w:rPr>
          <w:rFonts w:ascii="Calibri" w:cs="Calibri" w:eastAsia="Calibri" w:hAnsi="Calibri"/>
        </w:rPr>
        <w:t xml:space="preserve"/>
      </w:r>
    </w:p>
    <w:p>
      <w:pPr>
        <w:pBdr>
          <w:bottom w:val="single" w:color="1D618E" w:sz="6" w:space="4"/>
        </w:pBdr>
        <w:spacing w:after="180" w:before="360"/>
      </w:pPr>
      <w:r>
        <w:rPr>
          <w:rFonts w:ascii="Calibri" w:cs="Calibri" w:eastAsia="Calibri" w:hAnsi="Calibri"/>
          <w:b/>
          <w:bCs/>
          <w:color w:val="1D618E"/>
          <w:sz w:val="32"/>
          <w:szCs w:val="32"/>
        </w:rPr>
        <w:t xml:space="preserve">NICE recommendations (revert paths)</w:t>
      </w:r>
    </w:p>
    <w:p>
      <w:pPr>
        <w:spacing w:after="120" w:before="280"/>
      </w:pPr>
      <w:r>
        <w:rPr>
          <w:rFonts w:ascii="Calibri" w:cs="Calibri" w:eastAsia="Calibri" w:hAnsi="Calibri"/>
          <w:b/>
          <w:bCs/>
          <w:color w:val="1A1A1A"/>
          <w:sz w:val="26"/>
          <w:szCs w:val="26"/>
        </w:rPr>
        <w:t xml:space="preserve">Q2 — No portal action for separate-subscription exception</w:t>
      </w:r>
    </w:p>
    <w:p>
      <w:pPr>
        <w:spacing w:after="120"/>
      </w:pPr>
      <w:r>
        <w:rPr>
          <w:rFonts w:ascii="Calibri" w:cs="Calibri" w:eastAsia="Calibri" w:hAnsi="Calibri"/>
          <w:sz w:val="22"/>
          <w:szCs w:val="22"/>
        </w:rPr>
        <w:t xml:space="preserve">Verification only. No code changes expected. If the client wants a portal action added, that is a NEW feature, not a revert.</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Q5 — Admin tool product pricing configuration</w:t>
      </w:r>
    </w:p>
    <w:p>
      <w:pPr>
        <w:spacing w:after="100"/>
      </w:pPr>
      <w:r>
        <w:rPr>
          <w:rFonts w:ascii="Calibri" w:cs="Calibri" w:eastAsia="Calibri" w:hAnsi="Calibri"/>
          <w:i/>
          <w:iCs/>
          <w:color w:val="5C6470"/>
          <w:sz w:val="20"/>
          <w:szCs w:val="20"/>
        </w:rPr>
        <w:t xml:space="preserve">Refined during planning: only the per-product maintenance configuration + Pricing Calculation Mode toggle. No "always require PO" flag.</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src/pages/AdminPage.tsx — new Product Pricing Configuration section</w:t>
      </w:r>
    </w:p>
    <w:p>
      <w:pPr>
        <w:pStyle w:val="ListParagraph"/>
        <w:numPr>
          <w:ilvl w:val="0"/>
          <w:numId w:val="2"/>
        </w:numPr>
        <w:spacing w:after="60"/>
      </w:pPr>
      <w:r>
        <w:rPr>
          <w:rFonts w:ascii="Calibri" w:cs="Calibri" w:eastAsia="Calibri" w:hAnsi="Calibri"/>
          <w:sz w:val="22"/>
          <w:szCs w:val="22"/>
        </w:rPr>
        <w:t xml:space="preserve">A new dialog component (e.g., ProductPricingPreviewDialog.tsx) for the live calculator</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Removing the admin-tool section is a clean delete of one section and the dialog component. The underlying catalog data extension (maintenancePerSeatPerYear) can stay regardless.</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30–60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Q6 — Reactivation role permissions</w:t>
      </w:r>
    </w:p>
    <w:p>
      <w:pPr>
        <w:spacing w:after="120"/>
      </w:pPr>
      <w:r>
        <w:rPr>
          <w:rFonts w:ascii="Calibri" w:cs="Calibri" w:eastAsia="Calibri" w:hAnsi="Calibri"/>
          <w:sz w:val="22"/>
          <w:szCs w:val="22"/>
        </w:rPr>
        <w:t xml:space="preserve">Coupled with Q7. Permission change is a single line in permissions.ts.</w:t>
      </w:r>
    </w:p>
    <w:p>
      <w:pPr>
        <w:spacing w:after="120"/>
      </w:pPr>
      <w:r>
        <w:rPr>
          <w:rFonts w:ascii="Calibri" w:cs="Calibri" w:eastAsia="Calibri" w:hAnsi="Calibri"/>
          <w:sz w:val="22"/>
          <w:szCs w:val="22"/>
        </w:rPr>
        <w:t xml:space="preserve">Revert effort: 5 minutes if client wants different roles to access reactivation.</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Q7 — Previously-held licenses for reactivation</w:t>
      </w:r>
    </w:p>
    <w:p>
      <w:pPr>
        <w:spacing w:after="100"/>
      </w:pPr>
      <w:r>
        <w:rPr>
          <w:rFonts w:ascii="Calibri" w:cs="Calibri" w:eastAsia="Calibri" w:hAnsi="Calibri"/>
          <w:i/>
          <w:iCs/>
          <w:color w:val="5C6470"/>
          <w:sz w:val="20"/>
          <w:szCs w:val="20"/>
        </w:rPr>
        <w:t xml:space="preserve">NEW feature, highest-effort revert in the NICE category.</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src/contexts/AppContext.tsx — License type extension (deactivatedAt, deactivatedReason)</w:t>
      </w:r>
    </w:p>
    <w:p>
      <w:pPr>
        <w:pStyle w:val="ListParagraph"/>
        <w:numPr>
          <w:ilvl w:val="0"/>
          <w:numId w:val="2"/>
        </w:numPr>
        <w:spacing w:after="60"/>
      </w:pPr>
      <w:r>
        <w:rPr>
          <w:rFonts w:ascii="Calibri" w:cs="Calibri" w:eastAsia="Calibri" w:hAnsi="Calibri"/>
          <w:sz w:val="22"/>
          <w:szCs w:val="22"/>
        </w:rPr>
        <w:t xml:space="preserve">src/components/subscriptions/QuoteDialogs.tsx — new "Previously held licenses" section</w:t>
      </w:r>
    </w:p>
    <w:p>
      <w:pPr>
        <w:pStyle w:val="ListParagraph"/>
        <w:numPr>
          <w:ilvl w:val="0"/>
          <w:numId w:val="2"/>
        </w:numPr>
        <w:spacing w:after="60"/>
      </w:pPr>
      <w:r>
        <w:rPr>
          <w:rFonts w:ascii="Calibri" w:cs="Calibri" w:eastAsia="Calibri" w:hAnsi="Calibri"/>
          <w:sz w:val="22"/>
          <w:szCs w:val="22"/>
        </w:rPr>
        <w:t xml:space="preserve">New ReactivateLicenseDialog component</w:t>
      </w:r>
    </w:p>
    <w:p>
      <w:pPr>
        <w:pStyle w:val="ListParagraph"/>
        <w:numPr>
          <w:ilvl w:val="0"/>
          <w:numId w:val="2"/>
        </w:numPr>
        <w:spacing w:after="60"/>
      </w:pPr>
      <w:r>
        <w:rPr>
          <w:rFonts w:ascii="Calibri" w:cs="Calibri" w:eastAsia="Calibri" w:hAnsi="Calibri"/>
          <w:sz w:val="22"/>
          <w:szCs w:val="22"/>
        </w:rPr>
        <w:t xml:space="preserve">src/data/seed.ts — deactivated license seed entries for ABC</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Remove the "Previously held licenses" section from the drawer. The deactivatedAt field on License can stay (additive). The seed deactivated licenses become invisible if the section is removed.</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45–90 minutes for a clean removal.</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Q8 — Self-quote field requirements</w:t>
      </w:r>
    </w:p>
    <w:p>
      <w:pPr>
        <w:spacing w:after="120"/>
      </w:pPr>
      <w:r>
        <w:rPr>
          <w:rFonts w:ascii="Calibri" w:cs="Calibri" w:eastAsia="Calibri" w:hAnsi="Calibri"/>
          <w:sz w:val="22"/>
          <w:szCs w:val="22"/>
        </w:rPr>
        <w:t xml:space="preserve">Validation-only change. Reverting field-required-ness is a single-condition tweak in the Request Quote dialog.</w:t>
      </w:r>
    </w:p>
    <w:p>
      <w:pPr>
        <w:spacing w:after="120"/>
      </w:pPr>
      <w:r>
        <w:rPr>
          <w:rFonts w:ascii="Calibri" w:cs="Calibri" w:eastAsia="Calibri" w:hAnsi="Calibri"/>
          <w:sz w:val="22"/>
          <w:szCs w:val="22"/>
        </w:rPr>
        <w:t xml:space="preserve">Revert effort: 5–10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Q11 — Expiring/renewing toggle location</w:t>
      </w:r>
    </w:p>
    <w:p>
      <w:pPr>
        <w:spacing w:after="120"/>
      </w:pPr>
      <w:r>
        <w:rPr>
          <w:rFonts w:ascii="Calibri" w:cs="Calibri" w:eastAsia="Calibri" w:hAnsi="Calibri"/>
          <w:sz w:val="22"/>
          <w:szCs w:val="22"/>
        </w:rPr>
        <w:t xml:space="preserve">Verification only. If a duplicate was removed elsewhere as part of v13, restoring it is a code-uncomment.</w:t>
      </w:r>
    </w:p>
    <w:p>
      <w:pPr>
        <w:spacing w:after="120"/>
      </w:pPr>
      <w:r>
        <w:rPr>
          <w:rFonts w:ascii="Calibri" w:cs="Calibri" w:eastAsia="Calibri" w:hAnsi="Calibri"/>
          <w:sz w:val="22"/>
          <w:szCs w:val="22"/>
        </w:rPr>
        <w:t xml:space="preserve">Revert effort: 10 minutes.</w:t>
      </w:r>
    </w:p>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Q13 — Owner-only Account Management stubs</w:t>
      </w:r>
    </w:p>
    <w:p>
      <w:pPr>
        <w:spacing w:after="80" w:before="200"/>
      </w:pPr>
      <w:r>
        <w:rPr>
          <w:rFonts w:ascii="Calibri" w:cs="Calibri" w:eastAsia="Calibri" w:hAnsi="Calibri"/>
          <w:b/>
          <w:bCs/>
          <w:sz w:val="22"/>
          <w:szCs w:val="22"/>
        </w:rPr>
        <w:t xml:space="preserve">Files touched</w:t>
      </w:r>
    </w:p>
    <w:p>
      <w:pPr>
        <w:pStyle w:val="ListParagraph"/>
        <w:numPr>
          <w:ilvl w:val="0"/>
          <w:numId w:val="2"/>
        </w:numPr>
        <w:spacing w:after="60"/>
      </w:pPr>
      <w:r>
        <w:rPr>
          <w:rFonts w:ascii="Calibri" w:cs="Calibri" w:eastAsia="Calibri" w:hAnsi="Calibri"/>
          <w:sz w:val="22"/>
          <w:szCs w:val="22"/>
        </w:rPr>
        <w:t xml:space="preserve">src/pages/AdminPage.tsx — new Account Management section with stub buttons</w:t>
      </w:r>
    </w:p>
    <w:p>
      <w:pPr>
        <w:pStyle w:val="ListParagraph"/>
        <w:numPr>
          <w:ilvl w:val="0"/>
          <w:numId w:val="2"/>
        </w:numPr>
        <w:spacing w:after="60"/>
      </w:pPr>
      <w:r>
        <w:rPr>
          <w:rFonts w:ascii="Calibri" w:cs="Calibri" w:eastAsia="Calibri" w:hAnsi="Calibri"/>
          <w:sz w:val="22"/>
          <w:szCs w:val="22"/>
        </w:rPr>
        <w:t xml:space="preserve">src/lib/permissions.ts — owner_only_actions key (or similar)</w:t>
      </w:r>
    </w:p>
    <w:p>
      <w:pPr>
        <w:spacing w:after="80" w:before="200"/>
      </w:pPr>
      <w:r>
        <w:rPr>
          <w:rFonts w:ascii="Calibri" w:cs="Calibri" w:eastAsia="Calibri" w:hAnsi="Calibri"/>
          <w:b/>
          <w:bCs/>
          <w:sz w:val="22"/>
          <w:szCs w:val="22"/>
        </w:rPr>
        <w:t xml:space="preserve">Revert strategy if client overrides</w:t>
      </w:r>
    </w:p>
    <w:p>
      <w:pPr>
        <w:spacing w:after="120"/>
      </w:pPr>
      <w:r>
        <w:rPr>
          <w:rFonts w:ascii="Calibri" w:cs="Calibri" w:eastAsia="Calibri" w:hAnsi="Calibri"/>
          <w:sz w:val="22"/>
          <w:szCs w:val="22"/>
        </w:rPr>
        <w:t xml:space="preserve">Remove the new section from AdminPage. The permission key can stay (unused).</w:t>
      </w:r>
    </w:p>
    <w:p>
      <w:pPr>
        <w:spacing w:after="80" w:before="200"/>
      </w:pPr>
      <w:r>
        <w:rPr>
          <w:rFonts w:ascii="Calibri" w:cs="Calibri" w:eastAsia="Calibri" w:hAnsi="Calibri"/>
          <w:b/>
          <w:bCs/>
          <w:sz w:val="22"/>
          <w:szCs w:val="22"/>
        </w:rPr>
        <w:t xml:space="preserve">Revert effort</w:t>
      </w:r>
    </w:p>
    <w:p>
      <w:pPr>
        <w:spacing w:after="120"/>
      </w:pPr>
      <w:r>
        <w:rPr>
          <w:rFonts w:ascii="Calibri" w:cs="Calibri" w:eastAsia="Calibri" w:hAnsi="Calibri"/>
          <w:sz w:val="22"/>
          <w:szCs w:val="22"/>
        </w:rPr>
        <w:t xml:space="preserve">15–30 minutes.</w:t>
      </w:r>
    </w:p>
    <w:p>
      <w:pPr>
        <w:spacing w:after="120"/>
      </w:pPr>
      <w:r>
        <w:rPr>
          <w:rFonts w:ascii="Calibri" w:cs="Calibri" w:eastAsia="Calibri" w:hAnsi="Calibri"/>
        </w:rPr>
        <w:t xml:space="preserve"/>
      </w:r>
    </w:p>
    <w:p>
      <w:pPr>
        <w:pBdr>
          <w:bottom w:val="single" w:color="1D618E" w:sz="6" w:space="4"/>
        </w:pBdr>
        <w:spacing w:after="180" w:before="360"/>
      </w:pPr>
      <w:r>
        <w:rPr>
          <w:rFonts w:ascii="Calibri" w:cs="Calibri" w:eastAsia="Calibri" w:hAnsi="Calibri"/>
          <w:b/>
          <w:bCs/>
          <w:color w:val="1D618E"/>
          <w:sz w:val="32"/>
          <w:szCs w:val="32"/>
        </w:rPr>
        <w:t xml:space="preserve">Summary — revert effort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3160"/>
      </w:tblGrid>
      <w:tr>
        <w:trPr>
          <w:tblHeader/>
        </w:trPr>
        <w:tc>
          <w:tcPr>
            <w:tcW w:type="dxa" w:w="6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42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Recommendation</w:t>
            </w:r>
          </w:p>
        </w:tc>
        <w:tc>
          <w:tcPr>
            <w:tcW w:type="dxa" w:w="14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Tag</w:t>
            </w:r>
          </w:p>
        </w:tc>
        <w:tc>
          <w:tcPr>
            <w:tcW w:type="dxa" w:w="316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Revert Effort</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Pricing split + maintenance proration</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&lt; 1 min runtime (toggle) / 1–2 hr code</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Q3</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PO field on Pay Now</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5–60 min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Q4</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PO-entered notification</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10–30 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Q9</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Label terminology</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15–30 min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Q10</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Expiring-seat notice wording</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5–10 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Q12</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Manage Licenses role permissions</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5–60 min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Q14</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Role naming (keep current)</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CRITICAL</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30 min–6 hr if client wants rename</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Q2</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Separate-subscription exception path</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0 min (verification)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Q5</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Admin tool product pricing</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30–60 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Q6</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Reactivation role permissions</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5 min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Q7</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Previously-held licenses section</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45–90 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Q8</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Self-quote field validation</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5–10 min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Q11</w:t>
            </w:r>
          </w:p>
        </w:tc>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Toggle location verification</w:t>
            </w:r>
          </w:p>
        </w:tc>
        <w:tc>
          <w:tcPr>
            <w:tcW w:type="dxa" w:w="1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10 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Q13</w:t>
            </w:r>
          </w:p>
        </w:tc>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Owner-only stubs</w:t>
            </w:r>
          </w:p>
        </w:tc>
        <w:tc>
          <w:tcPr>
            <w:tcW w:type="dxa" w:w="1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NICE</w:t>
            </w:r>
          </w:p>
        </w:tc>
        <w:tc>
          <w:tcPr>
            <w:tcW w:type="dxa" w:w="31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15–30 min</w:t>
            </w:r>
          </w:p>
        </w:tc>
      </w:tr>
    </w:tbl>
    <w:p>
      <w:pPr>
        <w:spacing w:after="120"/>
      </w:pPr>
      <w:r>
        <w:rPr>
          <w:rFonts w:ascii="Calibri" w:cs="Calibri" w:eastAsia="Calibri" w:hAnsi="Calibri"/>
        </w:rPr>
        <w:t xml:space="preserve"/>
      </w:r>
    </w:p>
    <w:p>
      <w:pPr>
        <w:pBdr>
          <w:bottom w:val="single" w:color="1D618E" w:sz="6" w:space="4"/>
        </w:pBdr>
        <w:spacing w:after="180" w:before="360"/>
      </w:pPr>
      <w:r>
        <w:rPr>
          <w:rFonts w:ascii="Calibri" w:cs="Calibri" w:eastAsia="Calibri" w:hAnsi="Calibri"/>
          <w:b/>
          <w:bCs/>
          <w:color w:val="1D618E"/>
          <w:sz w:val="32"/>
          <w:szCs w:val="32"/>
        </w:rPr>
        <w:t xml:space="preserve">Highest-risk areas if client overrides</w:t>
      </w:r>
    </w:p>
    <w:p>
      <w:pPr>
        <w:pStyle w:val="ListParagraph"/>
        <w:numPr>
          <w:ilvl w:val="0"/>
          <w:numId w:val="2"/>
        </w:numPr>
        <w:spacing w:after="60"/>
      </w:pPr>
      <w:r>
        <w:rPr>
          <w:rFonts w:ascii="Calibri" w:cs="Calibri" w:eastAsia="Calibri" w:hAnsi="Calibri"/>
          <w:sz w:val="22"/>
          <w:szCs w:val="22"/>
        </w:rPr>
        <w:t xml:space="preserve">Q1 (Pricing) — mitigated by the runtime fallback toggle. If the client picks a completely different pricing model (e.g., usage-based), expect 4–6 hours of rework.</w:t>
      </w:r>
    </w:p>
    <w:p>
      <w:pPr>
        <w:pStyle w:val="ListParagraph"/>
        <w:numPr>
          <w:ilvl w:val="0"/>
          <w:numId w:val="2"/>
        </w:numPr>
        <w:spacing w:after="60"/>
      </w:pPr>
      <w:r>
        <w:rPr>
          <w:rFonts w:ascii="Calibri" w:cs="Calibri" w:eastAsia="Calibri" w:hAnsi="Calibri"/>
          <w:sz w:val="22"/>
          <w:szCs w:val="22"/>
        </w:rPr>
        <w:t xml:space="preserve">Q14 (Role naming) — if the client wants a rename, low effort for labels-only, high effort if they want the underlying role IDs renamed too. Recommend labels-only.</w:t>
      </w:r>
    </w:p>
    <w:p>
      <w:pPr>
        <w:pStyle w:val="ListParagraph"/>
        <w:numPr>
          <w:ilvl w:val="0"/>
          <w:numId w:val="2"/>
        </w:numPr>
        <w:spacing w:after="60"/>
      </w:pPr>
      <w:r>
        <w:rPr>
          <w:rFonts w:ascii="Calibri" w:cs="Calibri" w:eastAsia="Calibri" w:hAnsi="Calibri"/>
          <w:sz w:val="22"/>
          <w:szCs w:val="22"/>
        </w:rPr>
        <w:t xml:space="preserve">Q7 (Previously-held licenses) — the only purely new feature with meaningful surface area. If the client decides reactivation should not exist as a self-service flow, a clean removal is straightforward.</w:t>
      </w:r>
    </w:p>
    <w:p>
      <w:pPr>
        <w:pBdr>
          <w:bottom w:val="single" w:color="1D618E" w:sz="6" w:space="4"/>
        </w:pBdr>
        <w:spacing w:after="180" w:before="360"/>
      </w:pPr>
      <w:r>
        <w:rPr>
          <w:rFonts w:ascii="Calibri" w:cs="Calibri" w:eastAsia="Calibri" w:hAnsi="Calibri"/>
          <w:b/>
          <w:bCs/>
          <w:color w:val="1D618E"/>
          <w:sz w:val="32"/>
          <w:szCs w:val="32"/>
        </w:rPr>
        <w:t xml:space="preserve">Notes for the team</w:t>
      </w:r>
    </w:p>
    <w:p>
      <w:pPr>
        <w:pStyle w:val="ListParagraph"/>
        <w:numPr>
          <w:ilvl w:val="0"/>
          <w:numId w:val="2"/>
        </w:numPr>
        <w:spacing w:after="60"/>
      </w:pPr>
      <w:r>
        <w:rPr>
          <w:rFonts w:ascii="Calibri" w:cs="Calibri" w:eastAsia="Calibri" w:hAnsi="Calibri"/>
          <w:sz w:val="22"/>
          <w:szCs w:val="22"/>
        </w:rPr>
        <w:t xml:space="preserve">Run the v13 prompt against the Lovable prototype.</w:t>
      </w:r>
    </w:p>
    <w:p>
      <w:pPr>
        <w:pStyle w:val="ListParagraph"/>
        <w:numPr>
          <w:ilvl w:val="0"/>
          <w:numId w:val="2"/>
        </w:numPr>
        <w:spacing w:after="60"/>
      </w:pPr>
      <w:r>
        <w:rPr>
          <w:rFonts w:ascii="Calibri" w:cs="Calibri" w:eastAsia="Calibri" w:hAnsi="Calibri"/>
          <w:sz w:val="22"/>
          <w:szCs w:val="22"/>
        </w:rPr>
        <w:t xml:space="preserve">Verify the proration sanity check ($2,570.41 for the documented example) before committing.</w:t>
      </w:r>
    </w:p>
    <w:p>
      <w:pPr>
        <w:pStyle w:val="ListParagraph"/>
        <w:numPr>
          <w:ilvl w:val="0"/>
          <w:numId w:val="2"/>
        </w:numPr>
        <w:spacing w:after="60"/>
      </w:pPr>
      <w:r>
        <w:rPr>
          <w:rFonts w:ascii="Calibri" w:cs="Calibri" w:eastAsia="Calibri" w:hAnsi="Calibri"/>
          <w:sz w:val="22"/>
          <w:szCs w:val="22"/>
        </w:rPr>
        <w:t xml:space="preserve">Atomic single commit per the user's explicit choice.</w:t>
      </w:r>
    </w:p>
    <w:p>
      <w:pPr>
        <w:pStyle w:val="ListParagraph"/>
        <w:numPr>
          <w:ilvl w:val="0"/>
          <w:numId w:val="2"/>
        </w:numPr>
        <w:spacing w:after="60"/>
      </w:pPr>
      <w:r>
        <w:rPr>
          <w:rFonts w:ascii="Calibri" w:cs="Calibri" w:eastAsia="Calibri" w:hAnsi="Calibri"/>
          <w:sz w:val="22"/>
          <w:szCs w:val="22"/>
        </w:rPr>
        <w:t xml:space="preserve">Keep this risk register accessible during client review. As soon as client responses arrive, mark each Q# as Confirmed / Overridden and follow the revert path for any overrides.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Internal Risk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2026-06-01T09:25:41.648Z</dcterms:created>
  <dcterms:modified xsi:type="dcterms:W3CDTF">2026-06-01T09:25:41.660Z</dcterms:modified>
</cp:coreProperties>
</file>

<file path=docProps/custom.xml><?xml version="1.0" encoding="utf-8"?>
<Properties xmlns="http://schemas.openxmlformats.org/officeDocument/2006/custom-properties" xmlns:vt="http://schemas.openxmlformats.org/officeDocument/2006/docPropsVTypes"/>
</file>