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1A0E9">
      <w:pPr>
        <w:pBdr>
          <w:bottom w:val="single" w:color="1D618E" w:sz="6" w:space="4"/>
        </w:pBdr>
        <w:spacing w:before="360" w:after="180"/>
      </w:pPr>
      <w:r>
        <w:rPr>
          <w:rFonts w:ascii="Calibri" w:hAnsi="Calibri" w:eastAsia="Calibri" w:cs="Calibri"/>
          <w:b/>
          <w:bCs/>
          <w:color w:val="1D618E"/>
          <w:sz w:val="28"/>
          <w:szCs w:val="28"/>
        </w:rPr>
        <w:t>1. Basic Information</w:t>
      </w:r>
    </w:p>
    <w:p w14:paraId="038013DC">
      <w:pPr>
        <w:spacing w:after="80"/>
      </w:pPr>
      <w:r>
        <w:rPr>
          <w:rFonts w:ascii="Calibri" w:hAnsi="Calibri" w:eastAsia="Calibri" w:cs="Calibri"/>
          <w:b/>
          <w:bCs/>
          <w:color w:val="1D618E"/>
          <w:sz w:val="32"/>
          <w:szCs w:val="32"/>
        </w:rPr>
        <w:t>US-SP09-PAY-002</w:t>
      </w:r>
    </w:p>
    <w:p w14:paraId="30998518">
      <w:pPr>
        <w:spacing w:after="120"/>
      </w:pPr>
      <w:r>
        <w:rPr>
          <w:rFonts w:ascii="Calibri" w:hAnsi="Calibri" w:eastAsia="Calibri" w:cs="Calibri"/>
          <w:sz w:val="22"/>
          <w:szCs w:val="22"/>
        </w:rPr>
        <w:t>Functional Area: Payment / Pay on Terms</w:t>
      </w:r>
    </w:p>
    <w:p w14:paraId="6BF93965">
      <w:pPr>
        <w:spacing w:after="120"/>
      </w:pPr>
      <w:r>
        <w:rPr>
          <w:rFonts w:ascii="Calibri" w:hAnsi="Calibri" w:eastAsia="Calibri" w:cs="Calibri"/>
          <w:sz w:val="22"/>
          <w:szCs w:val="22"/>
        </w:rPr>
        <w:t>Title: When I choose Pay on Terms, the system generates an invoice in Payment Terms Applied status (e.g., Net 30) and activates the subscription or applies seat changes immediately under my credit agreement. Payment is tracked out of band and does not block access.</w:t>
      </w:r>
    </w:p>
    <w:p w14:paraId="61AF0CBC">
      <w:pPr>
        <w:pBdr>
          <w:bottom w:val="single" w:color="1D618E" w:sz="6" w:space="4"/>
        </w:pBdr>
        <w:spacing w:before="360" w:after="180"/>
      </w:pPr>
      <w:r>
        <w:rPr>
          <w:rFonts w:ascii="Calibri" w:hAnsi="Calibri" w:eastAsia="Calibri" w:cs="Calibri"/>
          <w:b/>
          <w:bCs/>
          <w:color w:val="1D618E"/>
          <w:sz w:val="28"/>
          <w:szCs w:val="28"/>
        </w:rPr>
        <w:t>2. User</w:t>
      </w:r>
    </w:p>
    <w:p w14:paraId="31BC818D">
      <w:pPr>
        <w:pStyle w:val="16"/>
        <w:numPr>
          <w:ilvl w:val="0"/>
          <w:numId w:val="1"/>
        </w:numPr>
        <w:spacing w:after="60"/>
      </w:pPr>
      <w:r>
        <w:rPr>
          <w:rFonts w:ascii="Calibri" w:hAnsi="Calibri" w:eastAsia="Calibri" w:cs="Calibri"/>
          <w:sz w:val="22"/>
          <w:szCs w:val="22"/>
        </w:rPr>
        <w:t>Account Owner</w:t>
      </w:r>
    </w:p>
    <w:p w14:paraId="01B37C0B">
      <w:pPr>
        <w:pStyle w:val="16"/>
        <w:numPr>
          <w:ilvl w:val="0"/>
          <w:numId w:val="1"/>
        </w:numPr>
        <w:spacing w:after="60"/>
      </w:pPr>
      <w:r>
        <w:rPr>
          <w:rFonts w:ascii="Calibri" w:hAnsi="Calibri" w:eastAsia="Calibri" w:cs="Calibri"/>
          <w:sz w:val="22"/>
          <w:szCs w:val="22"/>
        </w:rPr>
        <w:t>Billing Admin</w:t>
      </w:r>
    </w:p>
    <w:p w14:paraId="2D0F0976">
      <w:pPr>
        <w:spacing w:after="120"/>
      </w:pPr>
      <w:r>
        <w:rPr>
          <w:rFonts w:ascii="Calibri" w:hAnsi="Calibri" w:eastAsia="Calibri" w:cs="Calibri"/>
          <w:sz w:val="22"/>
          <w:szCs w:val="22"/>
        </w:rPr>
        <w:t>Pay on Terms is available only to companies on a credit agreement with the back-office (e.g., Net 30). Companies not configured for Pay-on-Terms must not see this option in the payment method picker. The customer-facing access behavior described here applies to every user in the customer’s company.</w:t>
      </w:r>
    </w:p>
    <w:p w14:paraId="1F2E941A">
      <w:pPr>
        <w:pBdr>
          <w:bottom w:val="single" w:color="1D618E" w:sz="6" w:space="4"/>
        </w:pBdr>
        <w:spacing w:before="360" w:after="180"/>
      </w:pPr>
      <w:r>
        <w:rPr>
          <w:rFonts w:ascii="Calibri" w:hAnsi="Calibri" w:eastAsia="Calibri" w:cs="Calibri"/>
          <w:b/>
          <w:bCs/>
          <w:color w:val="1D618E"/>
          <w:sz w:val="28"/>
          <w:szCs w:val="28"/>
        </w:rPr>
        <w:t>3. Sample Screenshot</w:t>
      </w:r>
    </w:p>
    <w:p w14:paraId="1E1E5DC4">
      <w:pPr>
        <w:pBdr>
          <w:bottom w:val="single" w:color="1D618E" w:sz="6" w:space="4"/>
        </w:pBdr>
        <w:spacing w:before="360" w:after="180"/>
      </w:pPr>
      <w:r>
        <w:rPr>
          <w:rFonts w:ascii="Calibri" w:hAnsi="Calibri" w:eastAsia="Calibri" w:cs="Calibri"/>
          <w:b/>
          <w:bCs/>
          <w:color w:val="1D618E"/>
          <w:sz w:val="28"/>
          <w:szCs w:val="28"/>
        </w:rPr>
        <w:t>4. Goal</w:t>
      </w:r>
    </w:p>
    <w:p w14:paraId="4909A4D6">
      <w:pPr>
        <w:pStyle w:val="16"/>
        <w:numPr>
          <w:ilvl w:val="0"/>
          <w:numId w:val="1"/>
        </w:numPr>
        <w:spacing w:after="60"/>
      </w:pPr>
      <w:r>
        <w:rPr>
          <w:rFonts w:ascii="Calibri" w:hAnsi="Calibri" w:eastAsia="Calibri" w:cs="Calibri"/>
          <w:sz w:val="22"/>
          <w:szCs w:val="22"/>
        </w:rPr>
        <w:t>Generate an invoice in Payment Terms Applied status with the agreed terms (e.g., Net 30) attached</w:t>
      </w:r>
    </w:p>
    <w:p w14:paraId="27F0FEB1">
      <w:pPr>
        <w:pStyle w:val="16"/>
        <w:numPr>
          <w:ilvl w:val="0"/>
          <w:numId w:val="1"/>
        </w:numPr>
        <w:spacing w:after="60"/>
      </w:pPr>
      <w:r>
        <w:rPr>
          <w:rFonts w:ascii="Calibri" w:hAnsi="Calibri" w:eastAsia="Calibri" w:cs="Calibri"/>
          <w:sz w:val="22"/>
          <w:szCs w:val="22"/>
        </w:rPr>
        <w:t>Activate the subscription immediately on initial purchase</w:t>
      </w:r>
    </w:p>
    <w:p w14:paraId="05232D6D">
      <w:pPr>
        <w:pStyle w:val="16"/>
        <w:numPr>
          <w:ilvl w:val="0"/>
          <w:numId w:val="1"/>
        </w:numPr>
        <w:spacing w:after="60"/>
      </w:pPr>
      <w:r>
        <w:rPr>
          <w:rFonts w:ascii="Calibri" w:hAnsi="Calibri" w:eastAsia="Calibri" w:cs="Calibri"/>
          <w:sz w:val="22"/>
          <w:szCs w:val="22"/>
        </w:rPr>
        <w:t>Apply seat or product changes immediately on Manage Licenses and Accept Quote flows</w:t>
      </w:r>
    </w:p>
    <w:p w14:paraId="2C573DF1">
      <w:pPr>
        <w:pStyle w:val="16"/>
        <w:numPr>
          <w:ilvl w:val="0"/>
          <w:numId w:val="1"/>
        </w:numPr>
        <w:spacing w:after="60"/>
      </w:pPr>
      <w:r>
        <w:rPr>
          <w:rFonts w:ascii="Calibri" w:hAnsi="Calibri" w:eastAsia="Calibri" w:cs="Calibri"/>
          <w:sz w:val="22"/>
          <w:szCs w:val="22"/>
        </w:rPr>
        <w:t>Apply renewal seat changes on the renewal date regardless of invoice payment status</w:t>
      </w:r>
    </w:p>
    <w:p w14:paraId="0ED0966C">
      <w:pPr>
        <w:pStyle w:val="16"/>
        <w:numPr>
          <w:ilvl w:val="0"/>
          <w:numId w:val="1"/>
        </w:numPr>
        <w:spacing w:after="60"/>
      </w:pPr>
      <w:r>
        <w:rPr>
          <w:rFonts w:ascii="Calibri" w:hAnsi="Calibri" w:eastAsia="Calibri" w:cs="Calibri"/>
          <w:sz w:val="22"/>
          <w:szCs w:val="22"/>
        </w:rPr>
        <w:t>Maintain full customer access throughout — no read-only mode</w:t>
      </w:r>
    </w:p>
    <w:p w14:paraId="22AF6706">
      <w:pPr>
        <w:pStyle w:val="16"/>
        <w:numPr>
          <w:ilvl w:val="0"/>
          <w:numId w:val="1"/>
        </w:numPr>
        <w:spacing w:after="60"/>
      </w:pPr>
      <w:r>
        <w:rPr>
          <w:rFonts w:ascii="Calibri" w:hAnsi="Calibri" w:eastAsia="Calibri" w:cs="Calibri"/>
          <w:sz w:val="22"/>
          <w:szCs w:val="22"/>
        </w:rPr>
        <w:t>Exempt Pay-on-Terms companies from auto-suspension; back-office aging report handles overdue follow-up out of band</w:t>
      </w:r>
    </w:p>
    <w:p w14:paraId="23E4F0C4">
      <w:pPr>
        <w:pBdr>
          <w:bottom w:val="single" w:color="1D618E" w:sz="6" w:space="4"/>
        </w:pBdr>
        <w:spacing w:before="360" w:after="180"/>
      </w:pPr>
      <w:r>
        <w:rPr>
          <w:rFonts w:ascii="Calibri" w:hAnsi="Calibri" w:eastAsia="Calibri" w:cs="Calibri"/>
          <w:b/>
          <w:bCs/>
          <w:color w:val="1D618E"/>
          <w:sz w:val="28"/>
          <w:szCs w:val="28"/>
        </w:rPr>
        <w:t>5. Description</w:t>
      </w:r>
    </w:p>
    <w:p w14:paraId="1C02AB10">
      <w:pPr>
        <w:spacing w:after="120"/>
      </w:pPr>
      <w:r>
        <w:rPr>
          <w:rFonts w:ascii="Calibri" w:hAnsi="Calibri" w:eastAsia="Calibri" w:cs="Calibri"/>
          <w:sz w:val="22"/>
          <w:szCs w:val="22"/>
        </w:rPr>
        <w:t>Pay on Terms reflects a credit agreement between the customer and the back-office team. The customer’s access is granted on trust — immediately on action — and payment is captured out of band over the agreed terms window (typically Net 30</w:t>
      </w:r>
      <w:r>
        <w:rPr>
          <w:rFonts w:hint="default" w:cs="Calibri"/>
          <w:sz w:val="22"/>
          <w:szCs w:val="22"/>
          <w:lang w:val="en-IN"/>
        </w:rPr>
        <w:t>/60/90</w:t>
      </w:r>
      <w:r>
        <w:rPr>
          <w:rFonts w:ascii="Calibri" w:hAnsi="Calibri" w:eastAsia="Calibri" w:cs="Calibri"/>
          <w:sz w:val="22"/>
          <w:szCs w:val="22"/>
        </w:rPr>
        <w:t xml:space="preserve"> days).</w:t>
      </w:r>
    </w:p>
    <w:p w14:paraId="75CCE5DF">
      <w:pPr>
        <w:spacing w:after="120"/>
        <w:rPr>
          <w:rFonts w:hint="default"/>
          <w:lang w:val="en-IN"/>
        </w:rPr>
      </w:pPr>
      <w:r>
        <w:rPr>
          <w:rFonts w:ascii="Calibri" w:hAnsi="Calibri" w:eastAsia="Calibri" w:cs="Calibri"/>
          <w:sz w:val="22"/>
          <w:szCs w:val="22"/>
        </w:rPr>
        <w:t xml:space="preserve">Invoices generated under Pay on Terms carry the status Payment Terms Applied with the terms label visible (e.g., “Net 30”). Subscription state activates immediately on initial purchase and seat changes apply immediately on mid-cycle and quote flows. The customer never enters read-only mode because of unpaid Pay-on-Terms invoices. If the agreed terms window is exceeded, </w:t>
      </w:r>
      <w:r>
        <w:rPr>
          <w:rFonts w:hint="default" w:cs="Calibri"/>
          <w:sz w:val="22"/>
          <w:szCs w:val="22"/>
          <w:lang w:val="en-IN"/>
        </w:rPr>
        <w:t>the Subscription will get suspended.</w:t>
      </w:r>
    </w:p>
    <w:p w14:paraId="623D0418">
      <w:pPr>
        <w:pBdr>
          <w:bottom w:val="single" w:color="1D618E" w:sz="6" w:space="4"/>
        </w:pBdr>
        <w:spacing w:before="360" w:after="180"/>
      </w:pPr>
      <w:r>
        <w:rPr>
          <w:rFonts w:ascii="Calibri" w:hAnsi="Calibri" w:eastAsia="Calibri" w:cs="Calibri"/>
          <w:b/>
          <w:bCs/>
          <w:color w:val="1D618E"/>
          <w:sz w:val="28"/>
          <w:szCs w:val="28"/>
        </w:rPr>
        <w:t>6. Functional Requirements</w:t>
      </w:r>
    </w:p>
    <w:p w14:paraId="471955F8">
      <w:pPr>
        <w:shd w:val="clear" w:fill="EBF3F7"/>
        <w:spacing w:before="240" w:after="140"/>
      </w:pPr>
      <w:r>
        <w:rPr>
          <w:rFonts w:ascii="Calibri" w:hAnsi="Calibri" w:eastAsia="Calibri" w:cs="Calibri"/>
          <w:b/>
          <w:bCs/>
          <w:color w:val="1A1A1A"/>
          <w:sz w:val="24"/>
          <w:szCs w:val="24"/>
        </w:rPr>
        <w:t>Invoice status on creation</w:t>
      </w:r>
    </w:p>
    <w:p w14:paraId="21EE21C2">
      <w:pPr>
        <w:pStyle w:val="16"/>
        <w:numPr>
          <w:ilvl w:val="0"/>
          <w:numId w:val="1"/>
        </w:numPr>
        <w:spacing w:after="60"/>
      </w:pPr>
      <w:r>
        <w:rPr>
          <w:rFonts w:ascii="Calibri" w:hAnsi="Calibri" w:eastAsia="Calibri" w:cs="Calibri"/>
          <w:sz w:val="22"/>
          <w:szCs w:val="22"/>
        </w:rPr>
        <w:t xml:space="preserve">Invoice is created with status </w:t>
      </w:r>
      <w:r>
        <w:rPr>
          <w:rFonts w:hint="default" w:cs="Calibri"/>
          <w:sz w:val="22"/>
          <w:szCs w:val="22"/>
          <w:lang w:val="en-IN"/>
        </w:rPr>
        <w:t>Awaiting payemnt</w:t>
      </w:r>
    </w:p>
    <w:p w14:paraId="65F7CA00">
      <w:pPr>
        <w:pStyle w:val="16"/>
        <w:numPr>
          <w:ilvl w:val="0"/>
          <w:numId w:val="1"/>
        </w:numPr>
        <w:spacing w:after="60"/>
      </w:pPr>
      <w:r>
        <w:rPr>
          <w:rFonts w:ascii="Calibri" w:hAnsi="Calibri" w:eastAsia="Calibri" w:cs="Calibri"/>
          <w:sz w:val="22"/>
          <w:szCs w:val="22"/>
        </w:rPr>
        <w:t>Invoice carries the terms label (e.g., “Net 30”) read from the company’s configuration</w:t>
      </w:r>
    </w:p>
    <w:p w14:paraId="0D5E5C9D">
      <w:pPr>
        <w:pStyle w:val="16"/>
        <w:numPr>
          <w:ilvl w:val="0"/>
          <w:numId w:val="1"/>
        </w:numPr>
        <w:spacing w:after="60"/>
      </w:pPr>
      <w:r>
        <w:rPr>
          <w:rFonts w:ascii="Calibri" w:hAnsi="Calibri" w:eastAsia="Calibri" w:cs="Calibri"/>
          <w:sz w:val="22"/>
          <w:szCs w:val="22"/>
        </w:rPr>
        <w:t>Due date is calculated as invoice date + terms days (e.g., today + 30 days for Net 30)</w:t>
      </w:r>
    </w:p>
    <w:p w14:paraId="704D1AF2">
      <w:pPr>
        <w:pStyle w:val="16"/>
        <w:numPr>
          <w:ilvl w:val="0"/>
          <w:numId w:val="1"/>
        </w:numPr>
        <w:spacing w:after="60"/>
      </w:pPr>
      <w:r>
        <w:rPr>
          <w:rFonts w:ascii="Calibri" w:hAnsi="Calibri" w:eastAsia="Calibri" w:cs="Calibri"/>
          <w:sz w:val="22"/>
          <w:szCs w:val="22"/>
        </w:rPr>
        <w:t>Invoice carries the line items, totals, and PO Number (when entered) from the source action</w:t>
      </w:r>
    </w:p>
    <w:p w14:paraId="39EBAD9A">
      <w:pPr>
        <w:shd w:val="clear" w:fill="EBF3F7"/>
        <w:spacing w:before="240" w:after="140"/>
      </w:pPr>
      <w:r>
        <w:rPr>
          <w:rFonts w:ascii="Calibri" w:hAnsi="Calibri" w:eastAsia="Calibri" w:cs="Calibri"/>
          <w:b/>
          <w:bCs/>
          <w:color w:val="1A1A1A"/>
          <w:sz w:val="24"/>
          <w:szCs w:val="24"/>
        </w:rPr>
        <w:t>Subscription effect by trigger</w:t>
      </w:r>
    </w:p>
    <w:p w14:paraId="1F61AE6B">
      <w:pPr>
        <w:spacing w:after="120"/>
      </w:pPr>
      <w:r>
        <w:rPr>
          <w:rFonts w:ascii="Calibri" w:hAnsi="Calibri" w:eastAsia="Calibri" w:cs="Calibri"/>
          <w:sz w:val="22"/>
          <w:szCs w:val="22"/>
        </w:rPr>
        <w:t>The subscription effect at invoice creation depends on which flow triggered Pay on Terms:</w:t>
      </w:r>
    </w:p>
    <w:p w14:paraId="61B26C2C">
      <w:pPr>
        <w:pStyle w:val="16"/>
        <w:numPr>
          <w:ilvl w:val="0"/>
          <w:numId w:val="1"/>
        </w:numPr>
        <w:spacing w:after="60"/>
      </w:pPr>
      <w:r>
        <w:rPr>
          <w:rFonts w:ascii="Calibri" w:hAnsi="Calibri" w:eastAsia="Calibri" w:cs="Calibri"/>
          <w:sz w:val="22"/>
          <w:szCs w:val="22"/>
        </w:rPr>
        <w:t>Initial Checkout (first purchase): subscription is created with status Active immediately</w:t>
      </w:r>
    </w:p>
    <w:p w14:paraId="59BC741D">
      <w:pPr>
        <w:pStyle w:val="16"/>
        <w:numPr>
          <w:ilvl w:val="0"/>
          <w:numId w:val="1"/>
        </w:numPr>
        <w:spacing w:after="60"/>
      </w:pPr>
      <w:r>
        <w:rPr>
          <w:rFonts w:ascii="Calibri" w:hAnsi="Calibri" w:eastAsia="Calibri" w:cs="Calibri"/>
          <w:sz w:val="22"/>
          <w:szCs w:val="22"/>
        </w:rPr>
        <w:t>Manage Licenses (mid-cycle seat change): subscription stays Active; seat changes apply immediately to subscription products</w:t>
      </w:r>
    </w:p>
    <w:p w14:paraId="5DC0B41E">
      <w:pPr>
        <w:pStyle w:val="16"/>
        <w:numPr>
          <w:ilvl w:val="0"/>
          <w:numId w:val="1"/>
        </w:numPr>
        <w:spacing w:after="60"/>
      </w:pPr>
      <w:r>
        <w:rPr>
          <w:rFonts w:ascii="Calibri" w:hAnsi="Calibri" w:eastAsia="Calibri" w:cs="Calibri"/>
          <w:sz w:val="22"/>
          <w:szCs w:val="22"/>
        </w:rPr>
        <w:t>Accept Quote (quote-driven seat change or new product): subscription stays Active; quote line items apply immediately</w:t>
      </w:r>
    </w:p>
    <w:p w14:paraId="7D95348E">
      <w:pPr>
        <w:pStyle w:val="16"/>
        <w:numPr>
          <w:ilvl w:val="0"/>
          <w:numId w:val="1"/>
        </w:numPr>
        <w:spacing w:after="60"/>
      </w:pPr>
      <w:r>
        <w:rPr>
          <w:rFonts w:ascii="Calibri" w:hAnsi="Calibri" w:eastAsia="Calibri" w:cs="Calibri"/>
          <w:sz w:val="22"/>
          <w:szCs w:val="22"/>
        </w:rPr>
        <w:t>Renewal: subscription renewal date advances by 365 days; pending renewal changes apply on the renewal date regardless of invoice payment status</w:t>
      </w:r>
    </w:p>
    <w:p w14:paraId="69401451">
      <w:pPr>
        <w:shd w:val="clear" w:fill="EBF3F7"/>
        <w:spacing w:before="240" w:after="140"/>
      </w:pPr>
      <w:r>
        <w:rPr>
          <w:rFonts w:ascii="Calibri" w:hAnsi="Calibri" w:eastAsia="Calibri" w:cs="Calibri"/>
          <w:b/>
          <w:bCs/>
          <w:color w:val="1A1A1A"/>
          <w:sz w:val="24"/>
          <w:szCs w:val="24"/>
        </w:rPr>
        <w:t>Customer access throughout</w:t>
      </w:r>
    </w:p>
    <w:p w14:paraId="2C7E4FB4">
      <w:pPr>
        <w:pStyle w:val="16"/>
        <w:numPr>
          <w:ilvl w:val="0"/>
          <w:numId w:val="1"/>
        </w:numPr>
        <w:spacing w:after="60"/>
      </w:pPr>
      <w:r>
        <w:rPr>
          <w:rFonts w:ascii="Calibri" w:hAnsi="Calibri" w:eastAsia="Calibri" w:cs="Calibri"/>
          <w:sz w:val="22"/>
          <w:szCs w:val="22"/>
        </w:rPr>
        <w:t>No read-only banner, no read-only mode</w:t>
      </w:r>
    </w:p>
    <w:p w14:paraId="44F0484A">
      <w:pPr>
        <w:pStyle w:val="16"/>
        <w:numPr>
          <w:ilvl w:val="0"/>
          <w:numId w:val="1"/>
        </w:numPr>
        <w:spacing w:after="60"/>
      </w:pPr>
      <w:r>
        <w:rPr>
          <w:rFonts w:ascii="Calibri" w:hAnsi="Calibri" w:eastAsia="Calibri" w:cs="Calibri"/>
          <w:sz w:val="22"/>
          <w:szCs w:val="22"/>
        </w:rPr>
        <w:t>All CRUD actions remain enabled per role</w:t>
      </w:r>
    </w:p>
    <w:p w14:paraId="2935829D">
      <w:pPr>
        <w:pStyle w:val="16"/>
        <w:numPr>
          <w:ilvl w:val="0"/>
          <w:numId w:val="1"/>
        </w:numPr>
        <w:spacing w:after="60"/>
      </w:pPr>
      <w:r>
        <w:rPr>
          <w:rFonts w:ascii="Calibri" w:hAnsi="Calibri" w:eastAsia="Calibri" w:cs="Calibri"/>
          <w:sz w:val="22"/>
          <w:szCs w:val="22"/>
        </w:rPr>
        <w:t>Sidebar shows full menu</w:t>
      </w:r>
    </w:p>
    <w:p w14:paraId="31A8C3DB">
      <w:pPr>
        <w:pStyle w:val="16"/>
        <w:numPr>
          <w:ilvl w:val="0"/>
          <w:numId w:val="1"/>
        </w:numPr>
        <w:spacing w:after="60"/>
      </w:pPr>
      <w:r>
        <w:rPr>
          <w:rFonts w:ascii="Calibri" w:hAnsi="Calibri" w:eastAsia="Calibri" w:cs="Calibri"/>
          <w:sz w:val="22"/>
          <w:szCs w:val="22"/>
        </w:rPr>
        <w:t>Downloads remain available for licensed products</w:t>
      </w:r>
    </w:p>
    <w:p w14:paraId="35E9BF25">
      <w:pPr>
        <w:pStyle w:val="16"/>
        <w:numPr>
          <w:ilvl w:val="0"/>
          <w:numId w:val="1"/>
        </w:numPr>
        <w:spacing w:after="60"/>
      </w:pPr>
      <w:r>
        <w:rPr>
          <w:rFonts w:ascii="Calibri" w:hAnsi="Calibri" w:eastAsia="Calibri" w:cs="Calibri"/>
          <w:sz w:val="22"/>
          <w:szCs w:val="22"/>
        </w:rPr>
        <w:t>Customer sees the Net 30 invoice in their Invoices list with status Payment Terms Applied; no inline Pay Now CTA is required (payment is captured out of band) but a Pay action remains available in the action menu for customers who want to pay early</w:t>
      </w:r>
    </w:p>
    <w:p w14:paraId="49C9C8E2">
      <w:pPr>
        <w:shd w:val="clear" w:fill="EBF3F7"/>
        <w:spacing w:before="240" w:after="140"/>
      </w:pPr>
      <w:r>
        <w:rPr>
          <w:rFonts w:ascii="Calibri" w:hAnsi="Calibri" w:eastAsia="Calibri" w:cs="Calibri"/>
          <w:b/>
          <w:bCs/>
          <w:color w:val="1A1A1A"/>
          <w:sz w:val="24"/>
          <w:szCs w:val="24"/>
        </w:rPr>
        <w:t>Invoice payment — effect on subscription</w:t>
      </w:r>
    </w:p>
    <w:p w14:paraId="5838B4AA">
      <w:pPr>
        <w:pStyle w:val="16"/>
        <w:numPr>
          <w:ilvl w:val="0"/>
          <w:numId w:val="1"/>
        </w:numPr>
        <w:spacing w:after="60"/>
      </w:pPr>
      <w:r>
        <w:rPr>
          <w:rFonts w:ascii="Calibri" w:hAnsi="Calibri" w:eastAsia="Calibri" w:cs="Calibri"/>
          <w:sz w:val="22"/>
          <w:szCs w:val="22"/>
        </w:rPr>
        <w:t>Invoice flips from Payment Terms Applied to Paid</w:t>
      </w:r>
    </w:p>
    <w:p w14:paraId="5DEAC634">
      <w:pPr>
        <w:pStyle w:val="16"/>
        <w:numPr>
          <w:ilvl w:val="0"/>
          <w:numId w:val="1"/>
        </w:numPr>
        <w:spacing w:after="60"/>
      </w:pPr>
      <w:r>
        <w:rPr>
          <w:rFonts w:ascii="Calibri" w:hAnsi="Calibri" w:eastAsia="Calibri" w:cs="Calibri"/>
          <w:sz w:val="22"/>
          <w:szCs w:val="22"/>
        </w:rPr>
        <w:t>Subscription state is NOT changed by payment — it is already Active and remains so</w:t>
      </w:r>
    </w:p>
    <w:p w14:paraId="378F8F2C">
      <w:pPr>
        <w:pStyle w:val="16"/>
        <w:numPr>
          <w:ilvl w:val="0"/>
          <w:numId w:val="1"/>
        </w:numPr>
        <w:spacing w:after="60"/>
      </w:pPr>
      <w:r>
        <w:rPr>
          <w:rFonts w:ascii="Calibri" w:hAnsi="Calibri" w:eastAsia="Calibri" w:cs="Calibri"/>
          <w:sz w:val="22"/>
          <w:szCs w:val="22"/>
        </w:rPr>
        <w:t>No banner, no CRUD lock, no notification of activation (because nothing activates — it was already active)</w:t>
      </w:r>
    </w:p>
    <w:p w14:paraId="09470EF3">
      <w:pPr>
        <w:pStyle w:val="16"/>
        <w:numPr>
          <w:ilvl w:val="0"/>
          <w:numId w:val="1"/>
        </w:numPr>
        <w:spacing w:after="60"/>
      </w:pPr>
      <w:r>
        <w:rPr>
          <w:rFonts w:ascii="Calibri" w:hAnsi="Calibri" w:eastAsia="Calibri" w:cs="Calibri"/>
          <w:sz w:val="22"/>
          <w:szCs w:val="22"/>
        </w:rPr>
        <w:t>A confirmation toast and notification are still emitted for record-keeping (“Payment received — invoice {number}”)</w:t>
      </w:r>
    </w:p>
    <w:p w14:paraId="6DDC034D">
      <w:pPr>
        <w:shd w:val="clear" w:fill="EBF3F7"/>
        <w:spacing w:before="240" w:after="140"/>
      </w:pPr>
      <w:r>
        <w:rPr>
          <w:rFonts w:ascii="Calibri" w:hAnsi="Calibri" w:eastAsia="Calibri" w:cs="Calibri"/>
          <w:b/>
          <w:bCs/>
          <w:color w:val="1A1A1A"/>
          <w:sz w:val="24"/>
          <w:szCs w:val="24"/>
        </w:rPr>
        <w:t>Invoice past due — long-tail behavior</w:t>
      </w:r>
    </w:p>
    <w:p w14:paraId="1C8B5DB7">
      <w:pPr>
        <w:pStyle w:val="16"/>
        <w:numPr>
          <w:ilvl w:val="0"/>
          <w:numId w:val="1"/>
        </w:numPr>
        <w:spacing w:after="60"/>
        <w:rPr>
          <w:color w:val="FF0000"/>
        </w:rPr>
      </w:pPr>
      <w:r>
        <w:rPr>
          <w:rFonts w:ascii="Calibri" w:hAnsi="Calibri" w:eastAsia="Calibri" w:cs="Calibri"/>
          <w:color w:val="FF0000"/>
          <w:sz w:val="22"/>
          <w:szCs w:val="22"/>
        </w:rPr>
        <w:t>Pay-on-Terms accounts are exempt from auto-suspension regardless of how many invoices are past due</w:t>
      </w:r>
    </w:p>
    <w:p w14:paraId="16F2893B">
      <w:pPr>
        <w:pStyle w:val="16"/>
        <w:numPr>
          <w:ilvl w:val="0"/>
          <w:numId w:val="1"/>
        </w:numPr>
        <w:spacing w:after="60"/>
      </w:pPr>
      <w:r>
        <w:rPr>
          <w:rFonts w:ascii="Calibri" w:hAnsi="Calibri" w:eastAsia="Calibri" w:cs="Calibri"/>
          <w:sz w:val="22"/>
          <w:szCs w:val="22"/>
        </w:rPr>
        <w:t>The portal does not display overdue warnings on the customer side beyond marking the invoice status as Overdue in the Invoices list when the due date passes</w:t>
      </w:r>
    </w:p>
    <w:p w14:paraId="2F46CDD3">
      <w:pPr>
        <w:pStyle w:val="16"/>
        <w:numPr>
          <w:ilvl w:val="0"/>
          <w:numId w:val="1"/>
        </w:numPr>
        <w:spacing w:after="60"/>
      </w:pPr>
      <w:r>
        <w:rPr>
          <w:rFonts w:ascii="Calibri" w:hAnsi="Calibri" w:eastAsia="Calibri" w:cs="Calibri"/>
          <w:sz w:val="22"/>
          <w:szCs w:val="22"/>
        </w:rPr>
        <w:t>Back-office aging reports flag the account for follow-up; resolution happens through sales or finance channels outside the portal</w:t>
      </w:r>
    </w:p>
    <w:p w14:paraId="7C930998">
      <w:pPr>
        <w:pStyle w:val="16"/>
        <w:numPr>
          <w:ilvl w:val="0"/>
          <w:numId w:val="1"/>
        </w:numPr>
        <w:spacing w:after="60"/>
      </w:pPr>
      <w:r>
        <w:rPr>
          <w:rFonts w:ascii="Calibri" w:hAnsi="Calibri" w:eastAsia="Calibri" w:cs="Calibri"/>
          <w:sz w:val="22"/>
          <w:szCs w:val="22"/>
        </w:rPr>
        <w:t>If the back-office revokes Pay-on-Terms eligibility, the company’s configuration changes — subsequent invoices fall back to Pay-on-Receipt or Pay Immediately rules</w:t>
      </w:r>
    </w:p>
    <w:p w14:paraId="63880B56">
      <w:pPr>
        <w:shd w:val="clear" w:fill="EBF3F7"/>
        <w:spacing w:before="240" w:after="140"/>
      </w:pPr>
      <w:r>
        <w:rPr>
          <w:rFonts w:ascii="Calibri" w:hAnsi="Calibri" w:eastAsia="Calibri" w:cs="Calibri"/>
          <w:b/>
          <w:bCs/>
          <w:color w:val="1A1A1A"/>
          <w:sz w:val="24"/>
          <w:szCs w:val="24"/>
        </w:rPr>
        <w:t>Subscription status reference (Pay on Terms context)</w:t>
      </w:r>
    </w:p>
    <w:p w14:paraId="3814EDD8">
      <w:pPr>
        <w:pStyle w:val="16"/>
        <w:numPr>
          <w:ilvl w:val="0"/>
          <w:numId w:val="1"/>
        </w:numPr>
        <w:spacing w:after="60"/>
      </w:pPr>
      <w:r>
        <w:rPr>
          <w:rFonts w:ascii="Calibri" w:hAnsi="Calibri" w:eastAsia="Calibri" w:cs="Calibri"/>
          <w:sz w:val="22"/>
          <w:szCs w:val="22"/>
        </w:rPr>
        <w:t>Active — the only normal status for a Pay-on-Terms subscription; persists from initial purchase through all renewal cycles</w:t>
      </w:r>
    </w:p>
    <w:p w14:paraId="6C59F5BF">
      <w:pPr>
        <w:pStyle w:val="16"/>
        <w:numPr>
          <w:ilvl w:val="0"/>
          <w:numId w:val="1"/>
        </w:numPr>
        <w:spacing w:after="60"/>
        <w:rPr>
          <w:color w:val="FF0000"/>
        </w:rPr>
      </w:pPr>
      <w:r>
        <w:rPr>
          <w:rFonts w:ascii="Calibri" w:hAnsi="Calibri" w:eastAsia="Calibri" w:cs="Calibri"/>
          <w:color w:val="FF0000"/>
          <w:sz w:val="22"/>
          <w:szCs w:val="22"/>
        </w:rPr>
        <w:t>Suspended — not reachable via the auto-suspension path for Pay-on-Terms; would only result from explicit back-office action</w:t>
      </w:r>
    </w:p>
    <w:p w14:paraId="2EA48936">
      <w:pPr>
        <w:spacing w:before="100" w:after="40"/>
      </w:pPr>
      <w:r>
        <w:rPr>
          <w:rFonts w:ascii="Calibri" w:hAnsi="Calibri" w:eastAsia="Calibri" w:cs="Calibri"/>
          <w:b/>
          <w:bCs/>
          <w:sz w:val="22"/>
          <w:szCs w:val="22"/>
        </w:rPr>
        <w:t>Invoice description note (Net 30):</w:t>
      </w:r>
    </w:p>
    <w:p w14:paraId="0721BC73">
      <w:pPr>
        <w:spacing w:after="100"/>
        <w:ind w:left="360"/>
      </w:pPr>
      <w:r>
        <w:rPr>
          <w:rFonts w:ascii="Calibri" w:hAnsi="Calibri" w:eastAsia="Calibri" w:cs="Calibri"/>
          <w:i/>
          <w:iCs/>
          <w:sz w:val="22"/>
          <w:szCs w:val="22"/>
        </w:rPr>
        <w:t>Payment terms: Net 30. Due {date}.</w:t>
      </w:r>
    </w:p>
    <w:p w14:paraId="081B6041">
      <w:pPr>
        <w:spacing w:before="100" w:after="40"/>
      </w:pPr>
      <w:r>
        <w:rPr>
          <w:rFonts w:ascii="Calibri" w:hAnsi="Calibri" w:eastAsia="Calibri" w:cs="Calibri"/>
          <w:b/>
          <w:bCs/>
          <w:sz w:val="22"/>
          <w:szCs w:val="22"/>
        </w:rPr>
        <w:t>Success toast on initial purchase:</w:t>
      </w:r>
    </w:p>
    <w:p w14:paraId="481C7B7C">
      <w:pPr>
        <w:spacing w:after="100"/>
        <w:ind w:left="360"/>
      </w:pPr>
      <w:r>
        <w:rPr>
          <w:rFonts w:ascii="Calibri" w:hAnsi="Calibri" w:eastAsia="Calibri" w:cs="Calibri"/>
          <w:i/>
          <w:iCs/>
          <w:sz w:val="22"/>
          <w:szCs w:val="22"/>
        </w:rPr>
        <w:t>Subscription activated under your Net 30 agreement.</w:t>
      </w:r>
    </w:p>
    <w:p w14:paraId="224080D2">
      <w:pPr>
        <w:spacing w:before="100" w:after="40"/>
      </w:pPr>
      <w:r>
        <w:rPr>
          <w:rFonts w:ascii="Calibri" w:hAnsi="Calibri" w:eastAsia="Calibri" w:cs="Calibri"/>
          <w:b/>
          <w:bCs/>
          <w:sz w:val="22"/>
          <w:szCs w:val="22"/>
        </w:rPr>
        <w:t>Confirmation toast on out-of-band invoice payment:</w:t>
      </w:r>
    </w:p>
    <w:p w14:paraId="02A0428F">
      <w:pPr>
        <w:spacing w:after="100"/>
        <w:ind w:left="360"/>
      </w:pPr>
      <w:r>
        <w:rPr>
          <w:rFonts w:ascii="Calibri" w:hAnsi="Calibri" w:eastAsia="Calibri" w:cs="Calibri"/>
          <w:i/>
          <w:iCs/>
          <w:sz w:val="22"/>
          <w:szCs w:val="22"/>
        </w:rPr>
        <w:t>Payment received — invoice {number}.</w:t>
      </w:r>
    </w:p>
    <w:p w14:paraId="4D66D259">
      <w:pPr>
        <w:shd w:val="clear" w:fill="EBF3F7"/>
        <w:spacing w:before="240" w:after="140"/>
      </w:pPr>
      <w:r>
        <w:rPr>
          <w:rFonts w:ascii="Calibri" w:hAnsi="Calibri" w:eastAsia="Calibri" w:cs="Calibri"/>
          <w:b/>
          <w:bCs/>
          <w:color w:val="1A1A1A"/>
          <w:sz w:val="24"/>
          <w:szCs w:val="24"/>
        </w:rPr>
        <w:t>Comparison — Pay Immediately vs. Pay on Receipt vs. Pay on Terms</w:t>
      </w:r>
    </w:p>
    <w:p w14:paraId="0ADDA5DE">
      <w:pPr>
        <w:spacing w:after="120"/>
      </w:pPr>
      <w:r>
        <w:rPr>
          <w:rFonts w:ascii="Calibri" w:hAnsi="Calibri" w:eastAsia="Calibri" w:cs="Calibri"/>
          <w:sz w:val="22"/>
          <w:szCs w:val="22"/>
        </w:rPr>
        <w:t>The table below compares the three payment methods across the customer’s lifecycle stages. Pay on Terms is the focus of this story; the other two are shown for reference.</w:t>
      </w:r>
    </w:p>
    <w:p w14:paraId="324EEF50">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520"/>
        <w:gridCol w:w="2520"/>
        <w:gridCol w:w="2520"/>
      </w:tblGrid>
      <w:tr w14:paraId="5ECA9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D0D5DC" w:sz="4" w:space="0"/>
              <w:left w:val="single" w:color="D0D5DC" w:sz="4" w:space="0"/>
              <w:bottom w:val="single" w:color="D0D5DC" w:sz="4" w:space="0"/>
              <w:right w:val="single" w:color="D0D5DC" w:sz="4" w:space="0"/>
            </w:tcBorders>
            <w:shd w:val="clear" w:color="auto" w:fill="1D618E"/>
            <w:tcMar>
              <w:top w:w="100" w:type="dxa"/>
              <w:left w:w="140" w:type="dxa"/>
              <w:bottom w:w="100" w:type="dxa"/>
              <w:right w:w="140" w:type="dxa"/>
            </w:tcMar>
          </w:tcPr>
          <w:p w14:paraId="0B810E65">
            <w:r>
              <w:rPr>
                <w:rFonts w:ascii="Calibri" w:hAnsi="Calibri" w:eastAsia="Calibri" w:cs="Calibri"/>
                <w:b/>
                <w:bCs/>
                <w:color w:val="FFFFFF"/>
                <w:sz w:val="20"/>
                <w:szCs w:val="20"/>
              </w:rPr>
              <w:t>Stage</w:t>
            </w:r>
          </w:p>
        </w:tc>
        <w:tc>
          <w:tcPr>
            <w:tcW w:w="2520" w:type="dxa"/>
            <w:tcBorders>
              <w:top w:val="single" w:color="D0D5DC" w:sz="4" w:space="0"/>
              <w:left w:val="single" w:color="D0D5DC" w:sz="4" w:space="0"/>
              <w:bottom w:val="single" w:color="D0D5DC" w:sz="4" w:space="0"/>
              <w:right w:val="single" w:color="D0D5DC" w:sz="4" w:space="0"/>
            </w:tcBorders>
            <w:shd w:val="clear" w:color="auto" w:fill="1D618E"/>
            <w:tcMar>
              <w:top w:w="100" w:type="dxa"/>
              <w:left w:w="140" w:type="dxa"/>
              <w:bottom w:w="100" w:type="dxa"/>
              <w:right w:w="140" w:type="dxa"/>
            </w:tcMar>
          </w:tcPr>
          <w:p w14:paraId="15DDC4EF">
            <w:r>
              <w:rPr>
                <w:rFonts w:ascii="Calibri" w:hAnsi="Calibri" w:eastAsia="Calibri" w:cs="Calibri"/>
                <w:b/>
                <w:bCs/>
                <w:color w:val="FFFFFF"/>
                <w:sz w:val="20"/>
                <w:szCs w:val="20"/>
              </w:rPr>
              <w:t>Pay Immediately</w:t>
            </w:r>
          </w:p>
        </w:tc>
        <w:tc>
          <w:tcPr>
            <w:tcW w:w="2520" w:type="dxa"/>
            <w:tcBorders>
              <w:top w:val="single" w:color="D0D5DC" w:sz="4" w:space="0"/>
              <w:left w:val="single" w:color="D0D5DC" w:sz="4" w:space="0"/>
              <w:bottom w:val="single" w:color="D0D5DC" w:sz="4" w:space="0"/>
              <w:right w:val="single" w:color="D0D5DC" w:sz="4" w:space="0"/>
            </w:tcBorders>
            <w:shd w:val="clear" w:color="auto" w:fill="1D618E"/>
            <w:tcMar>
              <w:top w:w="100" w:type="dxa"/>
              <w:left w:w="140" w:type="dxa"/>
              <w:bottom w:w="100" w:type="dxa"/>
              <w:right w:w="140" w:type="dxa"/>
            </w:tcMar>
          </w:tcPr>
          <w:p w14:paraId="1E6C7CA1">
            <w:r>
              <w:rPr>
                <w:rFonts w:ascii="Calibri" w:hAnsi="Calibri" w:eastAsia="Calibri" w:cs="Calibri"/>
                <w:b/>
                <w:bCs/>
                <w:color w:val="FFFFFF"/>
                <w:sz w:val="20"/>
                <w:szCs w:val="20"/>
              </w:rPr>
              <w:t>Pay on Receipt</w:t>
            </w:r>
          </w:p>
        </w:tc>
        <w:tc>
          <w:tcPr>
            <w:tcW w:w="2520" w:type="dxa"/>
            <w:tcBorders>
              <w:top w:val="single" w:color="D0D5DC" w:sz="4" w:space="0"/>
              <w:left w:val="single" w:color="D0D5DC" w:sz="4" w:space="0"/>
              <w:bottom w:val="single" w:color="D0D5DC" w:sz="4" w:space="0"/>
              <w:right w:val="single" w:color="D0D5DC" w:sz="4" w:space="0"/>
            </w:tcBorders>
            <w:shd w:val="clear" w:color="auto" w:fill="1D618E"/>
            <w:tcMar>
              <w:top w:w="100" w:type="dxa"/>
              <w:left w:w="140" w:type="dxa"/>
              <w:bottom w:w="100" w:type="dxa"/>
              <w:right w:w="140" w:type="dxa"/>
            </w:tcMar>
          </w:tcPr>
          <w:p w14:paraId="5D87C79D">
            <w:r>
              <w:rPr>
                <w:rFonts w:ascii="Calibri" w:hAnsi="Calibri" w:eastAsia="Calibri" w:cs="Calibri"/>
                <w:b/>
                <w:bCs/>
                <w:color w:val="FFFFFF"/>
                <w:sz w:val="20"/>
                <w:szCs w:val="20"/>
              </w:rPr>
              <w:t>Pay on Terms</w:t>
            </w:r>
          </w:p>
        </w:tc>
      </w:tr>
      <w:tr w14:paraId="074D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47FE548D">
            <w:r>
              <w:rPr>
                <w:rFonts w:ascii="Calibri" w:hAnsi="Calibri" w:eastAsia="Calibri" w:cs="Calibri"/>
                <w:sz w:val="20"/>
                <w:szCs w:val="20"/>
              </w:rPr>
              <w:t>Invoice created with status</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69A91991">
            <w:r>
              <w:rPr>
                <w:rFonts w:ascii="Calibri" w:hAnsi="Calibri" w:eastAsia="Calibri" w:cs="Calibri"/>
                <w:sz w:val="20"/>
                <w:szCs w:val="20"/>
              </w:rPr>
              <w:t>Awaiting Payment (flips to Paid on payment success)</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694CE456">
            <w:r>
              <w:rPr>
                <w:rFonts w:ascii="Calibri" w:hAnsi="Calibri" w:eastAsia="Calibri" w:cs="Calibri"/>
                <w:sz w:val="20"/>
                <w:szCs w:val="20"/>
              </w:rPr>
              <w:t>Awaiting Payment</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49579F8B">
            <w:r>
              <w:rPr>
                <w:rFonts w:ascii="Calibri" w:hAnsi="Calibri" w:eastAsia="Calibri" w:cs="Calibri"/>
                <w:sz w:val="20"/>
                <w:szCs w:val="20"/>
              </w:rPr>
              <w:t>Payment Terms Applied (e.g., Net 30)</w:t>
            </w:r>
          </w:p>
        </w:tc>
      </w:tr>
      <w:tr w14:paraId="74BA0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77F978AD">
            <w:r>
              <w:rPr>
                <w:rFonts w:ascii="Calibri" w:hAnsi="Calibri" w:eastAsia="Calibri" w:cs="Calibri"/>
                <w:sz w:val="20"/>
                <w:szCs w:val="20"/>
              </w:rPr>
              <w:t>Subscription status on initial purchase</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4DA77B3F">
            <w:r>
              <w:rPr>
                <w:rFonts w:ascii="Calibri" w:hAnsi="Calibri" w:eastAsia="Calibri" w:cs="Calibri"/>
                <w:sz w:val="20"/>
                <w:szCs w:val="20"/>
              </w:rPr>
              <w:t>Active immediately on payment success</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2FBC8DFC">
            <w:r>
              <w:rPr>
                <w:rFonts w:ascii="Calibri" w:hAnsi="Calibri" w:eastAsia="Calibri" w:cs="Calibri"/>
                <w:sz w:val="20"/>
                <w:szCs w:val="20"/>
              </w:rPr>
              <w:t>Pending Payment until invoice is paid</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07EA883F">
            <w:r>
              <w:rPr>
                <w:rFonts w:ascii="Calibri" w:hAnsi="Calibri" w:eastAsia="Calibri" w:cs="Calibri"/>
                <w:sz w:val="20"/>
                <w:szCs w:val="20"/>
              </w:rPr>
              <w:t>Active immediately (terms agreement)</w:t>
            </w:r>
          </w:p>
        </w:tc>
      </w:tr>
      <w:tr w14:paraId="6EE4F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595E6A56">
            <w:r>
              <w:rPr>
                <w:rFonts w:ascii="Calibri" w:hAnsi="Calibri" w:eastAsia="Calibri" w:cs="Calibri"/>
                <w:sz w:val="20"/>
                <w:szCs w:val="20"/>
              </w:rPr>
              <w:t>Customer access on initial purchase</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60758B35">
            <w:r>
              <w:rPr>
                <w:rFonts w:ascii="Calibri" w:hAnsi="Calibri" w:eastAsia="Calibri" w:cs="Calibri"/>
                <w:sz w:val="20"/>
                <w:szCs w:val="20"/>
              </w:rPr>
              <w:t>Full access on payment success</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67E03986">
            <w:r>
              <w:rPr>
                <w:rFonts w:ascii="Calibri" w:hAnsi="Calibri" w:eastAsia="Calibri" w:cs="Calibri"/>
                <w:sz w:val="20"/>
                <w:szCs w:val="20"/>
              </w:rPr>
              <w:t>Read-only mode with persistent banner; only Pay action enabled</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714D0F35">
            <w:r>
              <w:rPr>
                <w:rFonts w:ascii="Calibri" w:hAnsi="Calibri" w:eastAsia="Calibri" w:cs="Calibri"/>
                <w:sz w:val="20"/>
                <w:szCs w:val="20"/>
              </w:rPr>
              <w:t>Full access immediately</w:t>
            </w:r>
          </w:p>
        </w:tc>
      </w:tr>
      <w:tr w14:paraId="0BEEC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13BFDD60">
            <w:r>
              <w:rPr>
                <w:rFonts w:ascii="Calibri" w:hAnsi="Calibri" w:eastAsia="Calibri" w:cs="Calibri"/>
                <w:sz w:val="20"/>
                <w:szCs w:val="20"/>
              </w:rPr>
              <w:t>Seat changes on Manage Licenses</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54D5E1EE">
            <w:r>
              <w:rPr>
                <w:rFonts w:ascii="Calibri" w:hAnsi="Calibri" w:eastAsia="Calibri" w:cs="Calibri"/>
                <w:sz w:val="20"/>
                <w:szCs w:val="20"/>
              </w:rPr>
              <w:t>Applied on payment success</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424DCF8D">
            <w:r>
              <w:rPr>
                <w:rFonts w:ascii="Calibri" w:hAnsi="Calibri" w:eastAsia="Calibri" w:cs="Calibri"/>
                <w:sz w:val="20"/>
                <w:szCs w:val="20"/>
              </w:rPr>
              <w:t>Held until invoice is paid</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0692204B">
            <w:r>
              <w:rPr>
                <w:rFonts w:ascii="Calibri" w:hAnsi="Calibri" w:eastAsia="Calibri" w:cs="Calibri"/>
                <w:sz w:val="20"/>
                <w:szCs w:val="20"/>
              </w:rPr>
              <w:t>Applied immediately</w:t>
            </w:r>
          </w:p>
        </w:tc>
      </w:tr>
      <w:tr w14:paraId="0726B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293C6CA0">
            <w:r>
              <w:rPr>
                <w:rFonts w:ascii="Calibri" w:hAnsi="Calibri" w:eastAsia="Calibri" w:cs="Calibri"/>
                <w:sz w:val="20"/>
                <w:szCs w:val="20"/>
              </w:rPr>
              <w:t>Seat changes on Accept Quote</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0EE14F42">
            <w:r>
              <w:rPr>
                <w:rFonts w:ascii="Calibri" w:hAnsi="Calibri" w:eastAsia="Calibri" w:cs="Calibri"/>
                <w:sz w:val="20"/>
                <w:szCs w:val="20"/>
              </w:rPr>
              <w:t>Applied on payment success</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21EF8060">
            <w:r>
              <w:rPr>
                <w:rFonts w:ascii="Calibri" w:hAnsi="Calibri" w:eastAsia="Calibri" w:cs="Calibri"/>
                <w:sz w:val="20"/>
                <w:szCs w:val="20"/>
              </w:rPr>
              <w:t>Held until invoice is paid</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39ED4C51">
            <w:r>
              <w:rPr>
                <w:rFonts w:ascii="Calibri" w:hAnsi="Calibri" w:eastAsia="Calibri" w:cs="Calibri"/>
                <w:sz w:val="20"/>
                <w:szCs w:val="20"/>
              </w:rPr>
              <w:t>Applied immediately</w:t>
            </w:r>
          </w:p>
        </w:tc>
      </w:tr>
      <w:tr w14:paraId="3F9EA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0B440835">
            <w:r>
              <w:rPr>
                <w:rFonts w:ascii="Calibri" w:hAnsi="Calibri" w:eastAsia="Calibri" w:cs="Calibri"/>
                <w:sz w:val="20"/>
                <w:szCs w:val="20"/>
              </w:rPr>
              <w:t>Seat changes on Renewal</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11355275">
            <w:r>
              <w:rPr>
                <w:rFonts w:ascii="Calibri" w:hAnsi="Calibri" w:eastAsia="Calibri" w:cs="Calibri"/>
                <w:sz w:val="20"/>
                <w:szCs w:val="20"/>
              </w:rPr>
              <w:t>Applied on payment success on or after renewal date</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6D1B7CF1">
            <w:r>
              <w:rPr>
                <w:rFonts w:ascii="Calibri" w:hAnsi="Calibri" w:eastAsia="Calibri" w:cs="Calibri"/>
                <w:sz w:val="20"/>
                <w:szCs w:val="20"/>
              </w:rPr>
              <w:t>Applied on payment success on or after renewal date</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0A3E3F56">
            <w:r>
              <w:rPr>
                <w:rFonts w:ascii="Calibri" w:hAnsi="Calibri" w:eastAsia="Calibri" w:cs="Calibri"/>
                <w:sz w:val="20"/>
                <w:szCs w:val="20"/>
              </w:rPr>
              <w:t>Applied on renewal date regardless of payment status</w:t>
            </w:r>
          </w:p>
        </w:tc>
      </w:tr>
      <w:tr w14:paraId="1B231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7E9B503E">
            <w:r>
              <w:rPr>
                <w:rFonts w:ascii="Calibri" w:hAnsi="Calibri" w:eastAsia="Calibri" w:cs="Calibri"/>
                <w:sz w:val="20"/>
                <w:szCs w:val="20"/>
              </w:rPr>
              <w:t>If invoice never paid (initial)</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3402551A">
            <w:r>
              <w:rPr>
                <w:rFonts w:ascii="Calibri" w:hAnsi="Calibri" w:eastAsia="Calibri" w:cs="Calibri"/>
                <w:sz w:val="20"/>
                <w:szCs w:val="20"/>
              </w:rPr>
              <w:t>No subscription created (payment is required)</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651E606A">
            <w:r>
              <w:rPr>
                <w:rFonts w:ascii="Calibri" w:hAnsi="Calibri" w:eastAsia="Calibri" w:cs="Calibri"/>
                <w:sz w:val="20"/>
                <w:szCs w:val="20"/>
              </w:rPr>
              <w:t>Subscription stays Pending Payment indefinitely; no auto-suspension</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15FFD84B">
            <w:r>
              <w:rPr>
                <w:rFonts w:ascii="Calibri" w:hAnsi="Calibri" w:eastAsia="Calibri" w:cs="Calibri"/>
                <w:sz w:val="20"/>
                <w:szCs w:val="20"/>
              </w:rPr>
              <w:t>N/A — subscription is already active</w:t>
            </w:r>
          </w:p>
        </w:tc>
      </w:tr>
      <w:tr w14:paraId="3CEB7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2B2C98C9">
            <w:r>
              <w:rPr>
                <w:rFonts w:ascii="Calibri" w:hAnsi="Calibri" w:eastAsia="Calibri" w:cs="Calibri"/>
                <w:sz w:val="20"/>
                <w:szCs w:val="20"/>
              </w:rPr>
              <w:t>If invoice past due (renewal)</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557D6DCC">
            <w:r>
              <w:rPr>
                <w:rFonts w:ascii="Calibri" w:hAnsi="Calibri" w:eastAsia="Calibri" w:cs="Calibri"/>
                <w:sz w:val="20"/>
                <w:szCs w:val="20"/>
              </w:rPr>
              <w:t>Subscription auto-suspends on renewal date</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5A3218F9">
            <w:r>
              <w:rPr>
                <w:rFonts w:ascii="Calibri" w:hAnsi="Calibri" w:eastAsia="Calibri" w:cs="Calibri"/>
                <w:sz w:val="20"/>
                <w:szCs w:val="20"/>
              </w:rPr>
              <w:t>Subscription auto-suspends on renewal date</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6C23C0B6">
            <w:r>
              <w:rPr>
                <w:rFonts w:ascii="Calibri" w:hAnsi="Calibri" w:eastAsia="Calibri" w:cs="Calibri"/>
                <w:sz w:val="20"/>
                <w:szCs w:val="20"/>
              </w:rPr>
              <w:t>No auto-suspension; back-office aging report handles follow-up</w:t>
            </w:r>
          </w:p>
        </w:tc>
      </w:tr>
      <w:tr w14:paraId="41796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2995D5D5">
            <w:r>
              <w:rPr>
                <w:rFonts w:ascii="Calibri" w:hAnsi="Calibri" w:eastAsia="Calibri" w:cs="Calibri"/>
                <w:sz w:val="20"/>
                <w:szCs w:val="20"/>
              </w:rPr>
              <w:t>Customer-visible banner</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5EF7C450">
            <w:r>
              <w:rPr>
                <w:rFonts w:ascii="Calibri" w:hAnsi="Calibri" w:eastAsia="Calibri" w:cs="Calibri"/>
                <w:sz w:val="20"/>
                <w:szCs w:val="20"/>
              </w:rPr>
              <w:t>None</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34A9E863">
            <w:r>
              <w:rPr>
                <w:rFonts w:ascii="Calibri" w:hAnsi="Calibri" w:eastAsia="Calibri" w:cs="Calibri"/>
                <w:sz w:val="20"/>
                <w:szCs w:val="20"/>
              </w:rPr>
              <w:t>Persistent amber Pay banner with Pay button</w:t>
            </w:r>
          </w:p>
        </w:tc>
        <w:tc>
          <w:tcPr>
            <w:tcW w:w="2520" w:type="dxa"/>
            <w:tcBorders>
              <w:top w:val="single" w:color="D0D5DC" w:sz="4" w:space="0"/>
              <w:left w:val="single" w:color="D0D5DC" w:sz="4" w:space="0"/>
              <w:bottom w:val="single" w:color="D0D5DC" w:sz="4" w:space="0"/>
              <w:right w:val="single" w:color="D0D5DC" w:sz="4" w:space="0"/>
            </w:tcBorders>
            <w:shd w:val="clear" w:color="auto" w:fill="FFFFFF"/>
            <w:tcMar>
              <w:top w:w="80" w:type="dxa"/>
              <w:left w:w="140" w:type="dxa"/>
              <w:bottom w:w="80" w:type="dxa"/>
              <w:right w:w="140" w:type="dxa"/>
            </w:tcMar>
          </w:tcPr>
          <w:p w14:paraId="19103570">
            <w:r>
              <w:rPr>
                <w:rFonts w:ascii="Calibri" w:hAnsi="Calibri" w:eastAsia="Calibri" w:cs="Calibri"/>
                <w:sz w:val="20"/>
                <w:szCs w:val="20"/>
              </w:rPr>
              <w:t>None</w:t>
            </w:r>
          </w:p>
        </w:tc>
      </w:tr>
      <w:tr w14:paraId="4E9AF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3FC366DE">
            <w:r>
              <w:rPr>
                <w:rFonts w:ascii="Calibri" w:hAnsi="Calibri" w:eastAsia="Calibri" w:cs="Calibri"/>
                <w:sz w:val="20"/>
                <w:szCs w:val="20"/>
              </w:rPr>
              <w:t>Eligible companies</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7EE93B70">
            <w:r>
              <w:rPr>
                <w:rFonts w:ascii="Calibri" w:hAnsi="Calibri" w:eastAsia="Calibri" w:cs="Calibri"/>
                <w:sz w:val="20"/>
                <w:szCs w:val="20"/>
              </w:rPr>
              <w:t>All</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42E74D60">
            <w:r>
              <w:rPr>
                <w:rFonts w:ascii="Calibri" w:hAnsi="Calibri" w:eastAsia="Calibri" w:cs="Calibri"/>
                <w:sz w:val="20"/>
                <w:szCs w:val="20"/>
              </w:rPr>
              <w:t>Companies configured for Pay-on-Receipt billing</w:t>
            </w:r>
          </w:p>
        </w:tc>
        <w:tc>
          <w:tcPr>
            <w:tcW w:w="2520" w:type="dxa"/>
            <w:tcBorders>
              <w:top w:val="single" w:color="D0D5DC" w:sz="4" w:space="0"/>
              <w:left w:val="single" w:color="D0D5DC" w:sz="4" w:space="0"/>
              <w:bottom w:val="single" w:color="D0D5DC" w:sz="4" w:space="0"/>
              <w:right w:val="single" w:color="D0D5DC" w:sz="4" w:space="0"/>
            </w:tcBorders>
            <w:shd w:val="clear" w:color="auto" w:fill="F4F6F8"/>
            <w:tcMar>
              <w:top w:w="80" w:type="dxa"/>
              <w:left w:w="140" w:type="dxa"/>
              <w:bottom w:w="80" w:type="dxa"/>
              <w:right w:w="140" w:type="dxa"/>
            </w:tcMar>
          </w:tcPr>
          <w:p w14:paraId="64DA322D">
            <w:r>
              <w:rPr>
                <w:rFonts w:ascii="Calibri" w:hAnsi="Calibri" w:eastAsia="Calibri" w:cs="Calibri"/>
                <w:sz w:val="20"/>
                <w:szCs w:val="20"/>
              </w:rPr>
              <w:t>Companies with Pay-on-Terms credit agreement (Net 30 default)</w:t>
            </w:r>
          </w:p>
        </w:tc>
      </w:tr>
    </w:tbl>
    <w:p w14:paraId="51D8E289">
      <w:pPr>
        <w:pBdr>
          <w:bottom w:val="single" w:color="1D618E" w:sz="6" w:space="4"/>
        </w:pBdr>
        <w:spacing w:before="360" w:after="180"/>
      </w:pPr>
      <w:r>
        <w:rPr>
          <w:rFonts w:ascii="Calibri" w:hAnsi="Calibri" w:eastAsia="Calibri" w:cs="Calibri"/>
          <w:b/>
          <w:bCs/>
          <w:color w:val="1D618E"/>
          <w:sz w:val="28"/>
          <w:szCs w:val="28"/>
        </w:rPr>
        <w:t>7. Validation Rules</w:t>
      </w:r>
    </w:p>
    <w:p w14:paraId="62D1ED71">
      <w:pPr>
        <w:pStyle w:val="16"/>
        <w:numPr>
          <w:ilvl w:val="0"/>
          <w:numId w:val="1"/>
        </w:numPr>
        <w:spacing w:after="60"/>
      </w:pPr>
      <w:r>
        <w:rPr>
          <w:rFonts w:ascii="Calibri" w:hAnsi="Calibri" w:eastAsia="Calibri" w:cs="Calibri"/>
          <w:sz w:val="22"/>
          <w:szCs w:val="22"/>
        </w:rPr>
        <w:t>Pay on Terms option is available only to companies whose configuration includes a credit agreement (e.g., paymentTerms set to “net30”)</w:t>
      </w:r>
    </w:p>
    <w:p w14:paraId="59AD21CF">
      <w:pPr>
        <w:pStyle w:val="16"/>
        <w:numPr>
          <w:ilvl w:val="0"/>
          <w:numId w:val="1"/>
        </w:numPr>
        <w:spacing w:after="60"/>
      </w:pPr>
      <w:r>
        <w:rPr>
          <w:rFonts w:ascii="Calibri" w:hAnsi="Calibri" w:eastAsia="Calibri" w:cs="Calibri"/>
          <w:sz w:val="22"/>
          <w:szCs w:val="22"/>
        </w:rPr>
        <w:t>Companies not configured for Pay-on-Terms MUST NOT see Pay on Terms in the payment method picker</w:t>
      </w:r>
    </w:p>
    <w:p w14:paraId="2BDC5F3B">
      <w:pPr>
        <w:pStyle w:val="16"/>
        <w:numPr>
          <w:ilvl w:val="0"/>
          <w:numId w:val="1"/>
        </w:numPr>
        <w:spacing w:after="60"/>
      </w:pPr>
      <w:r>
        <w:rPr>
          <w:rFonts w:ascii="Calibri" w:hAnsi="Calibri" w:eastAsia="Calibri" w:cs="Calibri"/>
          <w:sz w:val="22"/>
          <w:szCs w:val="22"/>
        </w:rPr>
        <w:t>A Pay on Terms invoice MUST be created with status Payment Terms Applied, never Awaiting Payment</w:t>
      </w:r>
    </w:p>
    <w:p w14:paraId="671BB0FA">
      <w:pPr>
        <w:pStyle w:val="16"/>
        <w:numPr>
          <w:ilvl w:val="0"/>
          <w:numId w:val="1"/>
        </w:numPr>
        <w:spacing w:after="60"/>
      </w:pPr>
      <w:r>
        <w:rPr>
          <w:rFonts w:ascii="Calibri" w:hAnsi="Calibri" w:eastAsia="Calibri" w:cs="Calibri"/>
          <w:sz w:val="22"/>
          <w:szCs w:val="22"/>
        </w:rPr>
        <w:t>Subscription state changes (activation, seat application) MUST apply immediately at the moment of action — not deferred to invoice payment</w:t>
      </w:r>
    </w:p>
    <w:p w14:paraId="6DAF0898">
      <w:pPr>
        <w:pStyle w:val="16"/>
        <w:numPr>
          <w:ilvl w:val="0"/>
          <w:numId w:val="1"/>
        </w:numPr>
        <w:spacing w:after="60"/>
      </w:pPr>
      <w:r>
        <w:rPr>
          <w:rFonts w:ascii="Calibri" w:hAnsi="Calibri" w:eastAsia="Calibri" w:cs="Calibri"/>
          <w:sz w:val="22"/>
          <w:szCs w:val="22"/>
        </w:rPr>
        <w:t>Pay-on-Terms companies MUST be exempt from the auto-suspension job that runs on renewal-date passing without payment</w:t>
      </w:r>
    </w:p>
    <w:p w14:paraId="62AFFE12">
      <w:pPr>
        <w:pStyle w:val="16"/>
        <w:numPr>
          <w:ilvl w:val="0"/>
          <w:numId w:val="1"/>
        </w:numPr>
        <w:spacing w:after="60"/>
      </w:pPr>
      <w:r>
        <w:rPr>
          <w:rFonts w:ascii="Calibri" w:hAnsi="Calibri" w:eastAsia="Calibri" w:cs="Calibri"/>
          <w:sz w:val="22"/>
          <w:szCs w:val="22"/>
        </w:rPr>
        <w:t>When a Pay-on-Terms invoice is paid out of band, the subscription state MUST NOT change — only the invoice status flips</w:t>
      </w:r>
    </w:p>
    <w:p w14:paraId="37971678">
      <w:pPr>
        <w:pBdr>
          <w:bottom w:val="single" w:color="1D618E" w:sz="6" w:space="4"/>
        </w:pBdr>
        <w:spacing w:before="360" w:after="180"/>
      </w:pPr>
      <w:r>
        <w:rPr>
          <w:rFonts w:ascii="Calibri" w:hAnsi="Calibri" w:eastAsia="Calibri" w:cs="Calibri"/>
          <w:b/>
          <w:bCs/>
          <w:color w:val="1D618E"/>
          <w:sz w:val="28"/>
          <w:szCs w:val="28"/>
        </w:rPr>
        <w:t>8. Acceptance Criteria</w:t>
      </w:r>
    </w:p>
    <w:p w14:paraId="076C084F">
      <w:pPr>
        <w:pStyle w:val="16"/>
        <w:numPr>
          <w:ilvl w:val="0"/>
          <w:numId w:val="1"/>
        </w:numPr>
        <w:spacing w:after="60"/>
      </w:pPr>
      <w:r>
        <w:rPr>
          <w:rFonts w:ascii="Calibri" w:hAnsi="Calibri" w:eastAsia="Calibri" w:cs="Calibri"/>
          <w:sz w:val="22"/>
          <w:szCs w:val="22"/>
        </w:rPr>
        <w:t>A company configured for Pay-on-Terms sees Pay on Terms in the payment method picker; a Pay-on-Receipt company does not</w:t>
      </w:r>
    </w:p>
    <w:p w14:paraId="15125B59">
      <w:pPr>
        <w:pStyle w:val="16"/>
        <w:numPr>
          <w:ilvl w:val="0"/>
          <w:numId w:val="1"/>
        </w:numPr>
        <w:spacing w:after="60"/>
      </w:pPr>
      <w:r>
        <w:rPr>
          <w:rFonts w:ascii="Calibri" w:hAnsi="Calibri" w:eastAsia="Calibri" w:cs="Calibri"/>
          <w:sz w:val="22"/>
          <w:szCs w:val="22"/>
        </w:rPr>
        <w:t>Choosing Pay on Terms at Checkout creates an invoice with status Payment Terms Applied and a subscription with status Active immediately</w:t>
      </w:r>
    </w:p>
    <w:p w14:paraId="1D608627">
      <w:pPr>
        <w:pStyle w:val="16"/>
        <w:numPr>
          <w:ilvl w:val="0"/>
          <w:numId w:val="1"/>
        </w:numPr>
        <w:spacing w:after="60"/>
      </w:pPr>
      <w:r>
        <w:rPr>
          <w:rFonts w:ascii="Calibri" w:hAnsi="Calibri" w:eastAsia="Calibri" w:cs="Calibri"/>
          <w:sz w:val="22"/>
          <w:szCs w:val="22"/>
        </w:rPr>
        <w:t>The customer sees no read-only banner and has full CRUD across the portal</w:t>
      </w:r>
    </w:p>
    <w:p w14:paraId="0840A281">
      <w:pPr>
        <w:pStyle w:val="16"/>
        <w:numPr>
          <w:ilvl w:val="0"/>
          <w:numId w:val="1"/>
        </w:numPr>
        <w:spacing w:after="60"/>
      </w:pPr>
      <w:r>
        <w:rPr>
          <w:rFonts w:ascii="Calibri" w:hAnsi="Calibri" w:eastAsia="Calibri" w:cs="Calibri"/>
          <w:sz w:val="22"/>
          <w:szCs w:val="22"/>
        </w:rPr>
        <w:t>Choosing Pay on Terms at Manage Licenses applies seat changes immediately to the subscription products; no read-only mode triggered</w:t>
      </w:r>
    </w:p>
    <w:p w14:paraId="4C27CD30">
      <w:pPr>
        <w:pStyle w:val="16"/>
        <w:numPr>
          <w:ilvl w:val="0"/>
          <w:numId w:val="1"/>
        </w:numPr>
        <w:spacing w:after="60"/>
      </w:pPr>
      <w:r>
        <w:rPr>
          <w:rFonts w:ascii="Calibri" w:hAnsi="Calibri" w:eastAsia="Calibri" w:cs="Calibri"/>
          <w:sz w:val="22"/>
          <w:szCs w:val="22"/>
        </w:rPr>
        <w:t>Choosing Pay on Terms at Accept Quote applies quote line items immediately to the subscription</w:t>
      </w:r>
    </w:p>
    <w:p w14:paraId="26119362">
      <w:pPr>
        <w:pStyle w:val="16"/>
        <w:numPr>
          <w:ilvl w:val="0"/>
          <w:numId w:val="1"/>
        </w:numPr>
        <w:spacing w:after="60"/>
      </w:pPr>
      <w:r>
        <w:rPr>
          <w:rFonts w:ascii="Calibri" w:hAnsi="Calibri" w:eastAsia="Calibri" w:cs="Calibri"/>
          <w:sz w:val="22"/>
          <w:szCs w:val="22"/>
        </w:rPr>
        <w:t>Choosing Pay on Terms for a Renewal advances the renewal date by 365 days regardless of whether the renewal invoice is paid</w:t>
      </w:r>
    </w:p>
    <w:p w14:paraId="06573C16">
      <w:pPr>
        <w:pStyle w:val="16"/>
        <w:numPr>
          <w:ilvl w:val="0"/>
          <w:numId w:val="1"/>
        </w:numPr>
        <w:spacing w:after="60"/>
      </w:pPr>
      <w:r>
        <w:rPr>
          <w:rFonts w:ascii="Calibri" w:hAnsi="Calibri" w:eastAsia="Calibri" w:cs="Calibri"/>
          <w:sz w:val="22"/>
          <w:szCs w:val="22"/>
        </w:rPr>
        <w:t>A Pay-on-Terms invoice that is past due remains Overdue in the Invoices list but does not trigger auto-suspension</w:t>
      </w:r>
    </w:p>
    <w:p w14:paraId="66B731DD">
      <w:pPr>
        <w:pStyle w:val="16"/>
        <w:numPr>
          <w:ilvl w:val="0"/>
          <w:numId w:val="1"/>
        </w:numPr>
        <w:spacing w:after="60"/>
      </w:pPr>
      <w:r>
        <w:rPr>
          <w:rFonts w:ascii="Calibri" w:hAnsi="Calibri" w:eastAsia="Calibri" w:cs="Calibri"/>
          <w:sz w:val="22"/>
          <w:szCs w:val="22"/>
        </w:rPr>
        <w:t>Paying a Pay-on-Terms invoice flips invoice status to Paid; subscription remains Active unchanged; confirmation toast is shown</w:t>
      </w:r>
    </w:p>
    <w:p w14:paraId="343EE347">
      <w:pPr>
        <w:pStyle w:val="16"/>
        <w:numPr>
          <w:ilvl w:val="0"/>
          <w:numId w:val="1"/>
        </w:numPr>
        <w:spacing w:after="60"/>
      </w:pPr>
      <w:r>
        <w:rPr>
          <w:rFonts w:ascii="Calibri" w:hAnsi="Calibri" w:eastAsia="Calibri" w:cs="Calibri"/>
          <w:sz w:val="22"/>
          <w:szCs w:val="22"/>
        </w:rPr>
        <w:t>If the back-office changes a company’s configuration away from Pay-on-Terms, subsequent invoices and actions follow Pay-on-Receipt or Pay Immediately rules</w:t>
      </w:r>
    </w:p>
    <w:p w14:paraId="688094F6">
      <w:pPr>
        <w:pStyle w:val="16"/>
        <w:numPr>
          <w:ilvl w:val="0"/>
          <w:numId w:val="1"/>
        </w:numPr>
        <w:spacing w:after="60"/>
      </w:pPr>
      <w:bookmarkStart w:id="0" w:name="_GoBack"/>
      <w:bookmarkEnd w:id="0"/>
      <w:r>
        <w:rPr>
          <w:rFonts w:ascii="Calibri" w:hAnsi="Calibri" w:eastAsia="Calibri" w:cs="Calibri"/>
          <w:sz w:val="22"/>
          <w:szCs w:val="22"/>
        </w:rPr>
        <w:t>Net 30 due date calculation: confirm invoice.dueDate is set to invoiceDate + 30 days at creation, not later</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07306">
    <w:pPr>
      <w:jc w:val="center"/>
    </w:pPr>
    <w:r>
      <w:rPr>
        <w:rFonts w:ascii="Calibri" w:hAnsi="Calibri" w:eastAsia="Calibri" w:cs="Calibri"/>
        <w:color w:val="5C6470"/>
        <w:sz w:val="18"/>
        <w:szCs w:val="18"/>
      </w:rPr>
      <w:t xml:space="preserve">Page </w:t>
    </w:r>
    <w:r>
      <w:rPr>
        <w:rFonts w:ascii="Calibri" w:hAnsi="Calibri" w:eastAsia="Calibri" w:cs="Calibri"/>
        <w:color w:val="5C6470"/>
        <w:sz w:val="18"/>
        <w:szCs w:val="18"/>
      </w:rPr>
      <w:fldChar w:fldCharType="begin"/>
    </w:r>
    <w:r>
      <w:rPr>
        <w:rFonts w:ascii="Calibri" w:hAnsi="Calibri" w:eastAsia="Calibri" w:cs="Calibri"/>
        <w:color w:val="5C6470"/>
        <w:sz w:val="18"/>
        <w:szCs w:val="18"/>
      </w:rPr>
      <w:instrText xml:space="preserve">PAGE</w:instrText>
    </w:r>
    <w:r>
      <w:rPr>
        <w:rFonts w:ascii="Calibri" w:hAnsi="Calibri" w:eastAsia="Calibri" w:cs="Calibri"/>
        <w:color w:val="5C6470"/>
        <w:sz w:val="18"/>
        <w:szCs w:val="18"/>
      </w:rPr>
      <w:fldChar w:fldCharType="separate"/>
    </w:r>
    <w:r>
      <w:rPr>
        <w:rFonts w:ascii="Calibri" w:hAnsi="Calibri" w:eastAsia="Calibri" w:cs="Calibri"/>
        <w:color w:val="5C6470"/>
        <w:sz w:val="18"/>
        <w:szCs w:val="18"/>
      </w:rPr>
      <w:fldChar w:fldCharType="end"/>
    </w:r>
    <w:r>
      <w:rPr>
        <w:rFonts w:ascii="Calibri" w:hAnsi="Calibri" w:eastAsia="Calibri" w:cs="Calibri"/>
        <w:color w:val="5C6470"/>
        <w:sz w:val="18"/>
        <w:szCs w:val="18"/>
      </w:rPr>
      <w:t xml:space="preserve"> of </w:t>
    </w:r>
    <w:r>
      <w:rPr>
        <w:rFonts w:ascii="Calibri" w:hAnsi="Calibri" w:eastAsia="Calibri" w:cs="Calibri"/>
        <w:color w:val="5C6470"/>
        <w:sz w:val="18"/>
        <w:szCs w:val="18"/>
      </w:rPr>
      <w:fldChar w:fldCharType="begin"/>
    </w:r>
    <w:r>
      <w:rPr>
        <w:rFonts w:ascii="Calibri" w:hAnsi="Calibri" w:eastAsia="Calibri" w:cs="Calibri"/>
        <w:color w:val="5C6470"/>
        <w:sz w:val="18"/>
        <w:szCs w:val="18"/>
      </w:rPr>
      <w:instrText xml:space="preserve">NUMPAGES</w:instrText>
    </w:r>
    <w:r>
      <w:rPr>
        <w:rFonts w:ascii="Calibri" w:hAnsi="Calibri" w:eastAsia="Calibri" w:cs="Calibri"/>
        <w:color w:val="5C6470"/>
        <w:sz w:val="18"/>
        <w:szCs w:val="18"/>
      </w:rPr>
      <w:fldChar w:fldCharType="separate"/>
    </w:r>
    <w:r>
      <w:rPr>
        <w:rFonts w:ascii="Calibri" w:hAnsi="Calibri" w:eastAsia="Calibri" w:cs="Calibri"/>
        <w:color w:val="5C647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3756E">
    <w:pPr>
      <w:jc w:val="left"/>
    </w:pPr>
    <w:r>
      <w:rPr>
        <w:rFonts w:ascii="Calibri" w:hAnsi="Calibri" w:eastAsia="Calibri" w:cs="Calibri"/>
        <w:b/>
        <w:bCs/>
        <w:color w:val="1D618E"/>
        <w:sz w:val="18"/>
        <w:szCs w:val="18"/>
      </w:rPr>
      <w:t>Leimberg Customer Portal</w:t>
    </w:r>
    <w:r>
      <w:rPr>
        <w:rFonts w:ascii="Calibri" w:hAnsi="Calibri" w:eastAsia="Calibri" w:cs="Calibri"/>
        <w:color w:val="5C6470"/>
        <w:sz w:val="18"/>
        <w:szCs w:val="18"/>
      </w:rPr>
      <w:t xml:space="preserve">   |   US-SP09-PAY-002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2723A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1462</Words>
  <Characters>8399</Characters>
  <TotalTime>6</TotalTime>
  <ScaleCrop>false</ScaleCrop>
  <LinksUpToDate>false</LinksUpToDate>
  <CharactersWithSpaces>9730</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2026-05-20T12:28:00Z</dcterms:created>
  <dc:creator>Un-named</dc:creator>
  <cp:lastModifiedBy>Lokesh Jadhav</cp:lastModifiedBy>
  <dcterms:modified xsi:type="dcterms:W3CDTF">2026-05-20T12:49:01Z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eyJoZGlkIjoiMzQ2ZmVhNTdmZDNlNTBhOTkyMjc4MDY2Nzc1YjQ3MmIiLCJ1c2VySWQiOiI1Njc0NjU3OTA1MDQifQ==</vt:lpwstr>
  </property>
  <property fmtid="{D5CDD505-2E9C-101B-9397-08002B2CF9AE}" pid="3" name="KSOProductBuildVer">
    <vt:lpwstr>1033-12.1.0.25862</vt:lpwstr>
  </property>
  <property fmtid="{D5CDD505-2E9C-101B-9397-08002B2CF9AE}" pid="4" name="ICV">
    <vt:lpwstr>18353A4FD6174931A7554E1983507E8D_12</vt:lpwstr>
  </property>
</Properties>
</file>