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DB Migration Automation - Documentation</w:t>
      </w:r>
    </w:p>
    <w:p>
      <w:r>
        <w:t>Overview: Automates DB migration workflows.</w:t>
      </w:r>
    </w:p>
    <w:p>
      <w:r>
        <w:t>Architecture Flow: API -&gt; Service -&gt; Database.</w:t>
      </w:r>
    </w:p>
    <w:p>
      <w:pPr>
        <w:pStyle w:val="Heading1"/>
      </w:pPr>
      <w:r>
        <w:t>Runbook</w:t>
      </w:r>
    </w:p>
    <w:p>
      <w:r>
        <w:t>1. Build using Maven</w:t>
        <w:br/>
        <w:t>2. Configure DB</w:t>
        <w:br/>
        <w:t>3. Trigger API</w:t>
      </w:r>
    </w:p>
    <w:p>
      <w:pPr>
        <w:pStyle w:val="Heading1"/>
      </w:pPr>
      <w:r>
        <w:t>ER Diagram</w:t>
      </w:r>
    </w:p>
    <w:p>
      <w:r>
        <w:t>SourceDB —&gt; Migration Logs —&gt; TargetDB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