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145E" w14:textId="77777777" w:rsidR="00F60946" w:rsidRDefault="00000000">
      <w:pPr>
        <w:spacing w:before="3600"/>
        <w:jc w:val="center"/>
      </w:pPr>
      <w:r>
        <w:rPr>
          <w:b/>
          <w:color w:val="14365C"/>
          <w:sz w:val="56"/>
        </w:rPr>
        <w:t>Claims Transaction Processing System</w:t>
      </w:r>
    </w:p>
    <w:p w14:paraId="3A5C16D7" w14:textId="77777777" w:rsidR="00F60946" w:rsidRDefault="00000000">
      <w:pPr>
        <w:jc w:val="center"/>
      </w:pPr>
      <w:r>
        <w:rPr>
          <w:color w:val="1F4E79"/>
          <w:sz w:val="40"/>
        </w:rPr>
        <w:t>Design Document</w:t>
      </w:r>
    </w:p>
    <w:p w14:paraId="79E514E3" w14:textId="77777777" w:rsidR="00F60946" w:rsidRDefault="00000000">
      <w:pPr>
        <w:jc w:val="center"/>
      </w:pPr>
      <w:r>
        <w:rPr>
          <w:i/>
          <w:color w:val="595959"/>
          <w:sz w:val="26"/>
        </w:rPr>
        <w:t>Senior Software Engineer Assessment — ABC Health Insurance</w:t>
      </w:r>
    </w:p>
    <w:p w14:paraId="645F400C" w14:textId="77777777" w:rsidR="00F60946" w:rsidRDefault="00F60946">
      <w:pPr>
        <w:spacing w:after="2400"/>
      </w:pPr>
    </w:p>
    <w:p w14:paraId="352908AB" w14:textId="77777777" w:rsidR="00F60946" w:rsidRDefault="00000000">
      <w:pPr>
        <w:jc w:val="center"/>
      </w:pPr>
      <w:r>
        <w:rPr>
          <w:color w:val="404040"/>
          <w:sz w:val="22"/>
        </w:rPr>
        <w:t>Java 25  ·  Spring Boot 3.4.5  ·  Apache POI  ·  OpenCSV  ·  Thymeleaf</w:t>
      </w:r>
    </w:p>
    <w:p w14:paraId="023E48B7" w14:textId="77777777" w:rsidR="00F60946" w:rsidRDefault="00000000">
      <w:pPr>
        <w:jc w:val="center"/>
      </w:pPr>
      <w:r>
        <w:rPr>
          <w:color w:val="404040"/>
          <w:sz w:val="22"/>
        </w:rPr>
        <w:t>Spring Security (HTTP Basic)  ·  Micrometer + Prometheus  ·  springdoc-openapi</w:t>
      </w:r>
    </w:p>
    <w:p w14:paraId="2A7837A0" w14:textId="77777777" w:rsidR="00F60946" w:rsidRDefault="00000000">
      <w:pPr>
        <w:jc w:val="center"/>
      </w:pPr>
      <w:r>
        <w:rPr>
          <w:color w:val="404040"/>
          <w:sz w:val="22"/>
        </w:rPr>
        <w:t>JUnit 5  ·  Mockito  ·  JaCoCo (≥95%)  ·  Angular 18  ·  Bootstrap 5</w:t>
      </w:r>
    </w:p>
    <w:p w14:paraId="60FAAFDF" w14:textId="77777777" w:rsidR="00F60946" w:rsidRDefault="00F60946">
      <w:pPr>
        <w:spacing w:after="4000"/>
      </w:pPr>
    </w:p>
    <w:p w14:paraId="0C39D814" w14:textId="77777777" w:rsidR="00F60946" w:rsidRDefault="00000000">
      <w:pPr>
        <w:jc w:val="center"/>
      </w:pPr>
      <w:r>
        <w:rPr>
          <w:b/>
          <w:color w:val="1B5E20"/>
          <w:sz w:val="24"/>
        </w:rPr>
        <w:lastRenderedPageBreak/>
        <w:t>✓ Verified against SampleTransactionsProcessed: 0 / 19 mismatches</w:t>
      </w:r>
    </w:p>
    <w:p w14:paraId="2223377B" w14:textId="77777777" w:rsidR="00F60946" w:rsidRDefault="00000000">
      <w:pPr>
        <w:jc w:val="center"/>
      </w:pPr>
      <w:r>
        <w:rPr>
          <w:color w:val="1B5E20"/>
          <w:sz w:val="22"/>
        </w:rPr>
        <w:t>✓ 80 / 80 unit + integration tests · JaCoCo line coverage ≥ 95%</w:t>
      </w:r>
    </w:p>
    <w:p w14:paraId="3C1436B6" w14:textId="77777777" w:rsidR="00F60946" w:rsidRDefault="00000000">
      <w:pPr>
        <w:jc w:val="center"/>
      </w:pPr>
      <w:r>
        <w:rPr>
          <w:color w:val="1B5E20"/>
          <w:sz w:val="22"/>
        </w:rPr>
        <w:t>✓ Three runtime modes (Batch CLI · REST · Thymeleaf + Angular SPA)</w:t>
      </w:r>
    </w:p>
    <w:p w14:paraId="6E83B377" w14:textId="77777777" w:rsidR="00F60946" w:rsidRDefault="00000000">
      <w:r>
        <w:br w:type="page"/>
      </w:r>
    </w:p>
    <w:p w14:paraId="4D88C3C8" w14:textId="77777777" w:rsidR="00F60946" w:rsidRDefault="00000000">
      <w:r>
        <w:rPr>
          <w:b/>
        </w:rPr>
        <w:lastRenderedPageBreak/>
        <w:t>Technology stack:</w:t>
      </w:r>
      <w:r>
        <w:t xml:space="preserve"> Java 25 · Spring Boot 3.4.5 · Apache POI · OpenCSV · Thymeleaf · Spring Security (HTTP Basic) · Micrometer + Prometheus · springdoc-openapi · Lombok · JUnit 5 · Angular 18 · Bootstrap 5   </w:t>
      </w:r>
      <w:r>
        <w:rPr>
          <w:b/>
        </w:rPr>
        <w:t>Author:</w:t>
      </w:r>
      <w:r>
        <w:t xml:space="preserve"> Candidate   </w:t>
      </w:r>
      <w:r>
        <w:rPr>
          <w:b/>
        </w:rPr>
        <w:t>Year context:</w:t>
      </w:r>
      <w:r>
        <w:t xml:space="preserve"> 2016 (as stated in assignment)</w:t>
      </w:r>
    </w:p>
    <w:p w14:paraId="12CBAAB2" w14:textId="77777777" w:rsidR="00F60946" w:rsidRDefault="00F60946">
      <w:pPr>
        <w:pBdr>
          <w:bottom w:val="single" w:sz="6" w:space="1" w:color="808080"/>
        </w:pBdr>
      </w:pPr>
    </w:p>
    <w:p w14:paraId="4C55F263" w14:textId="77777777" w:rsidR="00DC2ED8" w:rsidRDefault="00DC2ED8"/>
    <w:p w14:paraId="01846392" w14:textId="0D6BEDD8" w:rsidR="00DC2ED8" w:rsidRPr="00DC2ED8" w:rsidRDefault="00DC2ED8">
      <w:pPr>
        <w:rPr>
          <w:b/>
          <w:bCs/>
          <w:sz w:val="24"/>
          <w:szCs w:val="28"/>
        </w:rPr>
      </w:pPr>
      <w:r w:rsidRPr="00DC2ED8">
        <w:rPr>
          <w:b/>
          <w:bCs/>
          <w:sz w:val="24"/>
          <w:szCs w:val="28"/>
        </w:rPr>
        <w:t>High Level Design:</w:t>
      </w:r>
    </w:p>
    <w:p w14:paraId="1A7D3830" w14:textId="44820DBD" w:rsidR="00751E8F" w:rsidRDefault="00DC2ED8">
      <w:r w:rsidRPr="003C384D">
        <w:t xml:space="preserve"> </w:t>
      </w:r>
      <w:r w:rsidR="003C384D" w:rsidRPr="003C384D">
        <w:drawing>
          <wp:inline distT="0" distB="0" distL="0" distR="0" wp14:anchorId="55C291A2" wp14:editId="51622F24">
            <wp:extent cx="6126480" cy="5166995"/>
            <wp:effectExtent l="0" t="0" r="7620" b="0"/>
            <wp:docPr id="101813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36566" name=""/>
                    <pic:cNvPicPr/>
                  </pic:nvPicPr>
                  <pic:blipFill>
                    <a:blip r:embed="rId8"/>
                    <a:stretch>
                      <a:fillRect/>
                    </a:stretch>
                  </pic:blipFill>
                  <pic:spPr>
                    <a:xfrm>
                      <a:off x="0" y="0"/>
                      <a:ext cx="6126480" cy="5166995"/>
                    </a:xfrm>
                    <a:prstGeom prst="rect">
                      <a:avLst/>
                    </a:prstGeom>
                  </pic:spPr>
                </pic:pic>
              </a:graphicData>
            </a:graphic>
          </wp:inline>
        </w:drawing>
      </w:r>
    </w:p>
    <w:p w14:paraId="23A6D885" w14:textId="77777777" w:rsidR="000B5509" w:rsidRDefault="000B5509"/>
    <w:p w14:paraId="501DCDE3" w14:textId="120F396B" w:rsidR="000B5509" w:rsidRPr="00DC2ED8" w:rsidRDefault="000B5509" w:rsidP="000B5509">
      <w:pPr>
        <w:rPr>
          <w:b/>
          <w:bCs/>
          <w:sz w:val="24"/>
          <w:szCs w:val="28"/>
        </w:rPr>
      </w:pPr>
      <w:r>
        <w:rPr>
          <w:b/>
          <w:bCs/>
          <w:sz w:val="24"/>
          <w:szCs w:val="28"/>
        </w:rPr>
        <w:t>Processing Flow</w:t>
      </w:r>
      <w:r w:rsidRPr="00DC2ED8">
        <w:rPr>
          <w:b/>
          <w:bCs/>
          <w:sz w:val="24"/>
          <w:szCs w:val="28"/>
        </w:rPr>
        <w:t xml:space="preserve"> </w:t>
      </w:r>
      <w:r>
        <w:rPr>
          <w:b/>
          <w:bCs/>
          <w:sz w:val="24"/>
          <w:szCs w:val="28"/>
        </w:rPr>
        <w:t>Diagram</w:t>
      </w:r>
      <w:r w:rsidRPr="00DC2ED8">
        <w:rPr>
          <w:b/>
          <w:bCs/>
          <w:sz w:val="24"/>
          <w:szCs w:val="28"/>
        </w:rPr>
        <w:t>:</w:t>
      </w:r>
    </w:p>
    <w:p w14:paraId="26C43479" w14:textId="77777777" w:rsidR="000B5509" w:rsidRDefault="000B5509"/>
    <w:p w14:paraId="129998DD" w14:textId="0688B60F" w:rsidR="00DC2ED8" w:rsidRPr="00DC2ED8" w:rsidRDefault="00751E8F" w:rsidP="00DC2ED8">
      <w:pPr>
        <w:rPr>
          <w:b/>
          <w:bCs/>
          <w:sz w:val="24"/>
          <w:szCs w:val="28"/>
        </w:rPr>
      </w:pPr>
      <w:r w:rsidRPr="00751E8F">
        <w:lastRenderedPageBreak/>
        <w:drawing>
          <wp:inline distT="0" distB="0" distL="0" distR="0" wp14:anchorId="5EEE8E9A" wp14:editId="00E19373">
            <wp:extent cx="5852160" cy="8778240"/>
            <wp:effectExtent l="0" t="0" r="0" b="3810"/>
            <wp:docPr id="200613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30448" name=""/>
                    <pic:cNvPicPr/>
                  </pic:nvPicPr>
                  <pic:blipFill>
                    <a:blip r:embed="rId9"/>
                    <a:stretch>
                      <a:fillRect/>
                    </a:stretch>
                  </pic:blipFill>
                  <pic:spPr>
                    <a:xfrm>
                      <a:off x="0" y="0"/>
                      <a:ext cx="5852160" cy="8778240"/>
                    </a:xfrm>
                    <a:prstGeom prst="rect">
                      <a:avLst/>
                    </a:prstGeom>
                  </pic:spPr>
                </pic:pic>
              </a:graphicData>
            </a:graphic>
          </wp:inline>
        </w:drawing>
      </w:r>
      <w:r w:rsidR="00000000">
        <w:br w:type="page"/>
      </w:r>
      <w:r w:rsidR="00DE0A8F">
        <w:rPr>
          <w:b/>
          <w:bCs/>
          <w:sz w:val="24"/>
          <w:szCs w:val="28"/>
        </w:rPr>
        <w:lastRenderedPageBreak/>
        <w:t>Class Diagram</w:t>
      </w:r>
      <w:r w:rsidR="00DC2ED8" w:rsidRPr="00DC2ED8">
        <w:rPr>
          <w:b/>
          <w:bCs/>
          <w:sz w:val="24"/>
          <w:szCs w:val="28"/>
        </w:rPr>
        <w:t>:</w:t>
      </w:r>
    </w:p>
    <w:p w14:paraId="2A603CBE" w14:textId="298A0963" w:rsidR="00F60946" w:rsidRDefault="00C846F1">
      <w:r w:rsidRPr="00E34F58">
        <w:drawing>
          <wp:inline distT="0" distB="0" distL="0" distR="0" wp14:anchorId="2FCD737E" wp14:editId="77D47173">
            <wp:extent cx="5943600" cy="4522470"/>
            <wp:effectExtent l="0" t="0" r="0" b="0"/>
            <wp:docPr id="141572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25406" name=""/>
                    <pic:cNvPicPr/>
                  </pic:nvPicPr>
                  <pic:blipFill>
                    <a:blip r:embed="rId10"/>
                    <a:stretch>
                      <a:fillRect/>
                    </a:stretch>
                  </pic:blipFill>
                  <pic:spPr>
                    <a:xfrm>
                      <a:off x="0" y="0"/>
                      <a:ext cx="5943600" cy="4522470"/>
                    </a:xfrm>
                    <a:prstGeom prst="rect">
                      <a:avLst/>
                    </a:prstGeom>
                  </pic:spPr>
                </pic:pic>
              </a:graphicData>
            </a:graphic>
          </wp:inline>
        </w:drawing>
      </w:r>
    </w:p>
    <w:p w14:paraId="29280444" w14:textId="77777777" w:rsidR="000B5509" w:rsidRDefault="000B5509"/>
    <w:p w14:paraId="780261F7" w14:textId="6251F495" w:rsidR="000B5509" w:rsidRPr="00DC2ED8" w:rsidRDefault="000B5509" w:rsidP="000B5509">
      <w:pPr>
        <w:rPr>
          <w:b/>
          <w:bCs/>
          <w:sz w:val="24"/>
          <w:szCs w:val="28"/>
        </w:rPr>
      </w:pPr>
      <w:r>
        <w:rPr>
          <w:b/>
          <w:bCs/>
          <w:sz w:val="24"/>
          <w:szCs w:val="28"/>
        </w:rPr>
        <w:t>Data flow Diagram</w:t>
      </w:r>
      <w:r w:rsidRPr="00DC2ED8">
        <w:rPr>
          <w:b/>
          <w:bCs/>
          <w:sz w:val="24"/>
          <w:szCs w:val="28"/>
        </w:rPr>
        <w:t>:</w:t>
      </w:r>
    </w:p>
    <w:p w14:paraId="336D026A" w14:textId="77777777" w:rsidR="000B5509" w:rsidRDefault="000B5509"/>
    <w:p w14:paraId="51C37A88" w14:textId="77777777" w:rsidR="008A19A8" w:rsidRDefault="008A19A8"/>
    <w:p w14:paraId="6F9F8E3C" w14:textId="57209113" w:rsidR="008A19A8" w:rsidRDefault="008A19A8">
      <w:r w:rsidRPr="00E34F58">
        <w:lastRenderedPageBreak/>
        <w:drawing>
          <wp:inline distT="0" distB="0" distL="0" distR="0" wp14:anchorId="176A7AB8" wp14:editId="6AF29F23">
            <wp:extent cx="5943600" cy="4199255"/>
            <wp:effectExtent l="0" t="0" r="0" b="0"/>
            <wp:docPr id="142454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42955" name=""/>
                    <pic:cNvPicPr/>
                  </pic:nvPicPr>
                  <pic:blipFill>
                    <a:blip r:embed="rId11"/>
                    <a:stretch>
                      <a:fillRect/>
                    </a:stretch>
                  </pic:blipFill>
                  <pic:spPr>
                    <a:xfrm>
                      <a:off x="0" y="0"/>
                      <a:ext cx="5943600" cy="4199255"/>
                    </a:xfrm>
                    <a:prstGeom prst="rect">
                      <a:avLst/>
                    </a:prstGeom>
                  </pic:spPr>
                </pic:pic>
              </a:graphicData>
            </a:graphic>
          </wp:inline>
        </w:drawing>
      </w:r>
    </w:p>
    <w:p w14:paraId="490702D7" w14:textId="77777777" w:rsidR="00F60946" w:rsidRDefault="00000000">
      <w:pPr>
        <w:pStyle w:val="Heading2"/>
      </w:pPr>
      <w:r>
        <w:t>1. Assumptions</w:t>
      </w:r>
    </w:p>
    <w:p w14:paraId="2D04C654" w14:textId="77777777" w:rsidR="00F60946" w:rsidRDefault="00000000">
      <w:r>
        <w:t>These are deliberate design decisions based on ambiguities in the spec. You must be able to defend each one in the interview.</w:t>
      </w:r>
    </w:p>
    <w:tbl>
      <w:tblPr>
        <w:tblStyle w:val="LightGrid-Accent1"/>
        <w:tblW w:w="0" w:type="auto"/>
        <w:tblLook w:val="04A0" w:firstRow="1" w:lastRow="0" w:firstColumn="1" w:lastColumn="0" w:noHBand="0" w:noVBand="1"/>
      </w:tblPr>
      <w:tblGrid>
        <w:gridCol w:w="1231"/>
        <w:gridCol w:w="5753"/>
        <w:gridCol w:w="2880"/>
      </w:tblGrid>
      <w:tr w:rsidR="00F60946" w14:paraId="056E1499" w14:textId="77777777" w:rsidTr="00F609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1F4E79"/>
          </w:tcPr>
          <w:p w14:paraId="2B393E49" w14:textId="77777777" w:rsidR="00F60946" w:rsidRDefault="00000000">
            <w:r>
              <w:rPr>
                <w:color w:val="FFFFFF"/>
                <w:sz w:val="20"/>
              </w:rPr>
              <w:t>#</w:t>
            </w:r>
          </w:p>
        </w:tc>
        <w:tc>
          <w:tcPr>
            <w:tcW w:w="3216" w:type="dxa"/>
            <w:shd w:val="clear" w:color="auto" w:fill="1F4E79"/>
          </w:tcPr>
          <w:p w14:paraId="4E175215" w14:textId="77777777" w:rsidR="00F6094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Assumption</w:t>
            </w:r>
          </w:p>
        </w:tc>
        <w:tc>
          <w:tcPr>
            <w:tcW w:w="3216" w:type="dxa"/>
            <w:shd w:val="clear" w:color="auto" w:fill="1F4E79"/>
          </w:tcPr>
          <w:p w14:paraId="6FB4C81E" w14:textId="77777777" w:rsidR="00F6094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Reasoning</w:t>
            </w:r>
          </w:p>
        </w:tc>
      </w:tr>
      <w:tr w:rsidR="00F60946" w14:paraId="5C13A486"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B18E20F" w14:textId="77777777" w:rsidR="00F60946" w:rsidRDefault="00000000">
            <w:r>
              <w:rPr>
                <w:sz w:val="19"/>
              </w:rPr>
              <w:t>A1</w:t>
            </w:r>
          </w:p>
        </w:tc>
        <w:tc>
          <w:tcPr>
            <w:tcW w:w="3216" w:type="dxa"/>
          </w:tcPr>
          <w:p w14:paraId="34A5474C"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The "Individual accumulated deductible" in PolicyData is the starting YTD value before any transactions in the sample file are processed. Transactions then update this running state sequentially.</w:t>
            </w:r>
          </w:p>
        </w:tc>
        <w:tc>
          <w:tcPr>
            <w:tcW w:w="3216" w:type="dxa"/>
          </w:tcPr>
          <w:p w14:paraId="43ACED2D"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Confirmed by tracing the expected output: Sam Collins starts at 0, grows with each claim.</w:t>
            </w:r>
          </w:p>
        </w:tc>
      </w:tr>
      <w:tr w:rsidR="00F60946" w14:paraId="16841987"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789B85F6" w14:textId="77777777" w:rsidR="00F60946" w:rsidRDefault="00000000">
            <w:r>
              <w:rPr>
                <w:sz w:val="19"/>
              </w:rPr>
              <w:t>A2</w:t>
            </w:r>
          </w:p>
        </w:tc>
        <w:tc>
          <w:tcPr>
            <w:tcW w:w="3216" w:type="dxa"/>
            <w:shd w:val="clear" w:color="auto" w:fill="F2F7FC"/>
          </w:tcPr>
          <w:p w14:paraId="016F340B"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Family deductible accumulates across ALL policyholders sharing the same PolicyId (e.g., the Collins family under PolicyId 100001). Individual deductible accumulates per PolicyHolderId only.</w:t>
            </w:r>
          </w:p>
        </w:tc>
        <w:tc>
          <w:tcPr>
            <w:tcW w:w="3216" w:type="dxa"/>
            <w:shd w:val="clear" w:color="auto" w:fill="F2F7FC"/>
          </w:tcPr>
          <w:p w14:paraId="222C3F46"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Confirmed in expected output: Jina's payments accumulate to the family total alongside Sam's.</w:t>
            </w:r>
          </w:p>
        </w:tc>
      </w:tr>
      <w:tr w:rsidR="00F60946" w14:paraId="028AA6F9"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4D41EC1" w14:textId="77777777" w:rsidR="00F60946" w:rsidRDefault="00000000">
            <w:r>
              <w:rPr>
                <w:sz w:val="19"/>
              </w:rPr>
              <w:t>A3</w:t>
            </w:r>
          </w:p>
        </w:tc>
        <w:tc>
          <w:tcPr>
            <w:tcW w:w="3216" w:type="dxa"/>
          </w:tcPr>
          <w:p w14:paraId="38ACB7FB"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For Inpatient Hospital Care, the single coverage rule listed for the combined category applies to each sub-service individually (ROOM AND BOARD, SURGERY, ANESTHESIA, etc.). The mapping is done by matching mainCategory only.</w:t>
            </w:r>
          </w:p>
        </w:tc>
        <w:tc>
          <w:tcPr>
            <w:tcW w:w="3216" w:type="dxa"/>
          </w:tcPr>
          <w:p w14:paraId="551ADC84"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Stated explicitly in the PlanCoverage notes tab.</w:t>
            </w:r>
          </w:p>
        </w:tc>
      </w:tr>
      <w:tr w:rsidR="00F60946" w14:paraId="4FEBE2B5"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1C344AF8" w14:textId="77777777" w:rsidR="00F60946" w:rsidRDefault="00000000">
            <w:r>
              <w:rPr>
                <w:sz w:val="19"/>
              </w:rPr>
              <w:t>A4</w:t>
            </w:r>
          </w:p>
        </w:tc>
        <w:tc>
          <w:tcPr>
            <w:tcW w:w="3216" w:type="dxa"/>
            <w:shd w:val="clear" w:color="auto" w:fill="F2F7FC"/>
          </w:tcPr>
          <w:p w14:paraId="1D2CBB87"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"No Charge" coverage does NOT accumulate toward the deductible. The policyholder pays $0, so there is nothing to accumulate.</w:t>
            </w:r>
          </w:p>
        </w:tc>
        <w:tc>
          <w:tcPr>
            <w:tcW w:w="3216" w:type="dxa"/>
            <w:shd w:val="clear" w:color="auto" w:fill="F2F7FC"/>
          </w:tcPr>
          <w:p w14:paraId="5822F3B2"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Confirmed in expected output row for preventive care (Sally Adams).</w:t>
            </w:r>
          </w:p>
        </w:tc>
      </w:tr>
      <w:tr w:rsidR="00F60946" w14:paraId="1BF41184"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7651AF0" w14:textId="77777777" w:rsidR="00F60946" w:rsidRDefault="00000000">
            <w:r>
              <w:rPr>
                <w:sz w:val="19"/>
              </w:rPr>
              <w:t>A5</w:t>
            </w:r>
          </w:p>
        </w:tc>
        <w:tc>
          <w:tcPr>
            <w:tcW w:w="3216" w:type="dxa"/>
          </w:tcPr>
          <w:p w14:paraId="6CC73337"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Flat-dollar coverage (e.g., $120 for Urgent Care in P003): the policyholder's payment (billedAmount − flatAmount) accumulates toward both individual and family deductible.</w:t>
            </w:r>
          </w:p>
        </w:tc>
        <w:tc>
          <w:tcPr>
            <w:tcW w:w="3216" w:type="dxa"/>
          </w:tcPr>
          <w:p w14:paraId="3104B081"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Stated explicitly in the assignment spec and confirmed in expected output for Mack Lee.</w:t>
            </w:r>
          </w:p>
        </w:tc>
      </w:tr>
      <w:tr w:rsidR="00F60946" w14:paraId="2CEA9A94"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7D50C7D2" w14:textId="77777777" w:rsidR="00F60946" w:rsidRDefault="00000000">
            <w:r>
              <w:rPr>
                <w:sz w:val="19"/>
              </w:rPr>
              <w:t>A6</w:t>
            </w:r>
          </w:p>
        </w:tc>
        <w:tc>
          <w:tcPr>
            <w:tcW w:w="3216" w:type="dxa"/>
            <w:shd w:val="clear" w:color="auto" w:fill="F2F7FC"/>
          </w:tcPr>
          <w:p w14:paraId="1F0EBF73"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b/>
                <w:sz w:val="19"/>
              </w:rPr>
              <w:t>Strict atomic, pre-claim determination.</w:t>
            </w:r>
            <w:r>
              <w:rPr>
                <w:sz w:val="19"/>
              </w:rPr>
              <w:t xml:space="preserve"> The decision "is the deductible met?" is made </w:t>
            </w:r>
            <w:r>
              <w:rPr>
                <w:b/>
                <w:sz w:val="19"/>
              </w:rPr>
              <w:t>once</w:t>
            </w:r>
            <w:r>
              <w:rPr>
                <w:sz w:val="19"/>
              </w:rPr>
              <w:t xml:space="preserve">, using the YTD totals as they stand </w:t>
            </w:r>
            <w:r>
              <w:rPr>
                <w:b/>
                <w:sz w:val="19"/>
              </w:rPr>
              <w:t>before</w:t>
            </w:r>
            <w:r>
              <w:rPr>
                <w:sz w:val="19"/>
              </w:rPr>
              <w:t xml:space="preserve"> the current claim. A single claim is never split across the threshold — if neither the individual nor the family deductible is met going in, the policyholder pays 100% of the bill, and the threshold may then be crossed for the next claim.</w:t>
            </w:r>
          </w:p>
        </w:tc>
        <w:tc>
          <w:tcPr>
            <w:tcW w:w="3216" w:type="dxa"/>
            <w:shd w:val="clear" w:color="auto" w:fill="F2F7FC"/>
          </w:tcPr>
          <w:p w14:paraId="13D35182"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Spec wording: </w:t>
            </w:r>
            <w:r>
              <w:rPr>
                <w:i/>
                <w:sz w:val="19"/>
              </w:rPr>
              <w:t>"Before processing each claim, determine..."</w:t>
            </w:r>
            <w:r>
              <w:rPr>
                <w:sz w:val="19"/>
              </w:rPr>
              <w:t xml:space="preserve">. </w:t>
            </w:r>
            <w:r>
              <w:rPr>
                <w:b/>
                <w:sz w:val="19"/>
              </w:rPr>
              <w:t>Verified against `SampleTransactionsProcessed`: 0/19 mismatches.</w:t>
            </w:r>
            <w:r>
              <w:rPr>
                <w:sz w:val="19"/>
              </w:rPr>
              <w:t xml:space="preserve"> The disambiguating row is row 16 (holder </w:t>
            </w:r>
            <w:r>
              <w:rPr>
                <w:rFonts w:ascii="Consolas" w:hAnsi="Consolas"/>
                <w:color w:val="B01040"/>
                <w:sz w:val="19"/>
              </w:rPr>
              <w:t>1000021</w:t>
            </w:r>
            <w:r>
              <w:rPr>
                <w:sz w:val="19"/>
              </w:rPr>
              <w:t xml:space="preserve">, plan P002, </w:t>
            </w:r>
            <w:r>
              <w:rPr>
                <w:sz w:val="19"/>
              </w:rPr>
              <w:lastRenderedPageBreak/>
              <w:t xml:space="preserve">individual threshold </w:t>
            </w:r>
            <w:r>
              <w:rPr>
                <w:rFonts w:ascii="Consolas" w:hAnsi="Consolas"/>
                <w:color w:val="B01040"/>
                <w:sz w:val="19"/>
              </w:rPr>
              <w:t>$5,000</w:t>
            </w:r>
            <w:r>
              <w:rPr>
                <w:sz w:val="19"/>
              </w:rPr>
              <w:t xml:space="preserve">): pre-claim individual YTD = </w:t>
            </w:r>
            <w:r>
              <w:rPr>
                <w:rFonts w:ascii="Consolas" w:hAnsi="Consolas"/>
                <w:color w:val="B01040"/>
                <w:sz w:val="19"/>
              </w:rPr>
              <w:t>$4,000</w:t>
            </w:r>
            <w:r>
              <w:rPr>
                <w:sz w:val="19"/>
              </w:rPr>
              <w:t xml:space="preserve">, </w:t>
            </w:r>
            <w:r>
              <w:rPr>
                <w:rFonts w:ascii="Consolas" w:hAnsi="Consolas"/>
                <w:color w:val="B01040"/>
                <w:sz w:val="19"/>
              </w:rPr>
              <w:t>LAB TESTS</w:t>
            </w:r>
            <w:r>
              <w:rPr>
                <w:sz w:val="19"/>
              </w:rPr>
              <w:t xml:space="preserve"> billed </w:t>
            </w:r>
            <w:r>
              <w:rPr>
                <w:rFonts w:ascii="Consolas" w:hAnsi="Consolas"/>
                <w:color w:val="B01040"/>
                <w:sz w:val="19"/>
              </w:rPr>
              <w:t>$1,200</w:t>
            </w:r>
            <w:r>
              <w:rPr>
                <w:sz w:val="19"/>
              </w:rPr>
              <w:t xml:space="preserve">, rule </w:t>
            </w:r>
            <w:r>
              <w:rPr>
                <w:rFonts w:ascii="Consolas" w:hAnsi="Consolas"/>
                <w:color w:val="B01040"/>
                <w:sz w:val="19"/>
              </w:rPr>
              <w:t>90% AFTER DEDUCTIBLE</w:t>
            </w:r>
            <w:r>
              <w:rPr>
                <w:sz w:val="19"/>
              </w:rPr>
              <w:t>. The bill exceeds the remaining-to-threshold (</w:t>
            </w:r>
            <w:r>
              <w:rPr>
                <w:rFonts w:ascii="Consolas" w:hAnsi="Consolas"/>
                <w:color w:val="B01040"/>
                <w:sz w:val="19"/>
              </w:rPr>
              <w:t>$1,000</w:t>
            </w:r>
            <w:r>
              <w:rPr>
                <w:sz w:val="19"/>
              </w:rPr>
              <w:t xml:space="preserve">). Spreadsheet shows holder pays the full </w:t>
            </w:r>
            <w:r>
              <w:rPr>
                <w:rFonts w:ascii="Consolas" w:hAnsi="Consolas"/>
                <w:color w:val="B01040"/>
                <w:sz w:val="19"/>
              </w:rPr>
              <w:t>$1,200</w:t>
            </w:r>
            <w:r>
              <w:rPr>
                <w:sz w:val="19"/>
              </w:rPr>
              <w:t xml:space="preserve">, plan pays </w:t>
            </w:r>
            <w:r>
              <w:rPr>
                <w:rFonts w:ascii="Consolas" w:hAnsi="Consolas"/>
                <w:color w:val="B01040"/>
                <w:sz w:val="19"/>
              </w:rPr>
              <w:t>$0</w:t>
            </w:r>
            <w:r>
              <w:rPr>
                <w:sz w:val="19"/>
              </w:rPr>
              <w:t xml:space="preserve">, message "not met". Straddle/split would have given holder </w:t>
            </w:r>
            <w:r>
              <w:rPr>
                <w:rFonts w:ascii="Consolas" w:hAnsi="Consolas"/>
                <w:color w:val="B01040"/>
                <w:sz w:val="19"/>
              </w:rPr>
              <w:t>$1,020</w:t>
            </w:r>
            <w:r>
              <w:rPr>
                <w:sz w:val="19"/>
              </w:rPr>
              <w:t xml:space="preserve"> and plan </w:t>
            </w:r>
            <w:r>
              <w:rPr>
                <w:rFonts w:ascii="Consolas" w:hAnsi="Consolas"/>
                <w:color w:val="B01040"/>
                <w:sz w:val="19"/>
              </w:rPr>
              <w:t>$180</w:t>
            </w:r>
            <w:r>
              <w:rPr>
                <w:sz w:val="19"/>
              </w:rPr>
              <w:t xml:space="preserve"> — only strict atomic reproduces the ground truth. The next claim (row 17) is then the first to see "individual met, plan pays 50%".</w:t>
            </w:r>
          </w:p>
        </w:tc>
      </w:tr>
      <w:tr w:rsidR="00F60946" w14:paraId="7D963A1D"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F38FC01" w14:textId="77777777" w:rsidR="00F60946" w:rsidRDefault="00000000">
            <w:r>
              <w:rPr>
                <w:sz w:val="19"/>
              </w:rPr>
              <w:lastRenderedPageBreak/>
              <w:t>A7</w:t>
            </w:r>
          </w:p>
        </w:tc>
        <w:tc>
          <w:tcPr>
            <w:tcW w:w="3216" w:type="dxa"/>
          </w:tcPr>
          <w:p w14:paraId="08287CD9"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The REST API accepts the deductible values from the caller (as stated in the spec). For testing, the values from PolicyData tab are used. In batch/GUI mode, the system manages running state itself.</w:t>
            </w:r>
          </w:p>
        </w:tc>
        <w:tc>
          <w:tcPr>
            <w:tcW w:w="3216" w:type="dxa"/>
          </w:tcPr>
          <w:p w14:paraId="144A3314"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Stated explicitly in the spec.</w:t>
            </w:r>
          </w:p>
        </w:tc>
      </w:tr>
      <w:tr w:rsidR="00F60946" w14:paraId="0F5F838E"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07405F0D" w14:textId="77777777" w:rsidR="00F60946" w:rsidRDefault="00000000">
            <w:r>
              <w:rPr>
                <w:sz w:val="19"/>
              </w:rPr>
              <w:t>A8</w:t>
            </w:r>
          </w:p>
        </w:tc>
        <w:tc>
          <w:tcPr>
            <w:tcW w:w="3216" w:type="dxa"/>
            <w:shd w:val="clear" w:color="auto" w:fill="F2F7FC"/>
          </w:tcPr>
          <w:p w14:paraId="4B8B3A95"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Policy holder IDs not in the PolicyData sheet → E0001. No attempt to look up by PolicyId if the HolderId is missing.</w:t>
            </w:r>
          </w:p>
        </w:tc>
        <w:tc>
          <w:tcPr>
            <w:tcW w:w="3216" w:type="dxa"/>
            <w:shd w:val="clear" w:color="auto" w:fill="F2F7FC"/>
          </w:tcPr>
          <w:p w14:paraId="37533D32"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Matches expected output for holderId 1000016.</w:t>
            </w:r>
          </w:p>
        </w:tc>
      </w:tr>
      <w:tr w:rsidR="00F60946" w14:paraId="3430A210"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E4690A3" w14:textId="77777777" w:rsidR="00F60946" w:rsidRDefault="00000000">
            <w:r>
              <w:rPr>
                <w:sz w:val="19"/>
              </w:rPr>
              <w:t>A9</w:t>
            </w:r>
          </w:p>
        </w:tc>
        <w:tc>
          <w:tcPr>
            <w:tcW w:w="3216" w:type="dxa"/>
          </w:tcPr>
          <w:p w14:paraId="5427A3F1"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Claims with a service date before the coverage start date, or after coverage end date (if populated), are rejected with error E0002.</w:t>
            </w:r>
          </w:p>
        </w:tc>
        <w:tc>
          <w:tcPr>
            <w:tcW w:w="3216" w:type="dxa"/>
          </w:tcPr>
          <w:p w14:paraId="0FC92F84"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Reasonable validation; spec says "consider other error scenarios."</w:t>
            </w:r>
          </w:p>
        </w:tc>
      </w:tr>
      <w:tr w:rsidR="00F60946" w14:paraId="62A34354"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48C601C0" w14:textId="77777777" w:rsidR="00F60946" w:rsidRDefault="00000000">
            <w:r>
              <w:rPr>
                <w:sz w:val="19"/>
              </w:rPr>
              <w:t>A10</w:t>
            </w:r>
          </w:p>
        </w:tc>
        <w:tc>
          <w:tcPr>
            <w:tcW w:w="3216" w:type="dxa"/>
            <w:shd w:val="clear" w:color="auto" w:fill="F2F7FC"/>
          </w:tcPr>
          <w:p w14:paraId="6F3DF698"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"We are in year 2016" — future-dated claims (after today in 2016 context) are rejected with E0004.</w:t>
            </w:r>
          </w:p>
        </w:tc>
        <w:tc>
          <w:tcPr>
            <w:tcW w:w="3216" w:type="dxa"/>
            <w:shd w:val="clear" w:color="auto" w:fill="F2F7FC"/>
          </w:tcPr>
          <w:p w14:paraId="372A08E0"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Spec says to consider future-dated claims as an error.</w:t>
            </w:r>
          </w:p>
        </w:tc>
      </w:tr>
      <w:tr w:rsidR="00F60946" w14:paraId="0B540560"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C5AD212" w14:textId="77777777" w:rsidR="00F60946" w:rsidRDefault="00000000">
            <w:r>
              <w:rPr>
                <w:sz w:val="19"/>
              </w:rPr>
              <w:t>A11</w:t>
            </w:r>
          </w:p>
        </w:tc>
        <w:tc>
          <w:tcPr>
            <w:tcW w:w="3216" w:type="dxa"/>
          </w:tcPr>
          <w:p w14:paraId="3339CD3D"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Missing or malformed required fields (blank policy IDs, null date of service, blank category, null/negative billed amount, unparseable CSV date or amount) are reported as business error </w:t>
            </w:r>
            <w:r>
              <w:rPr>
                <w:b/>
                <w:sz w:val="19"/>
              </w:rPr>
              <w:t>E0005</w:t>
            </w:r>
            <w:r>
              <w:rPr>
                <w:sz w:val="19"/>
              </w:rPr>
              <w:t xml:space="preserve"> with HTTP 200 — consistent across REST, CSV batch, command-line, and GUI. The REST endpoint deliberately does </w:t>
            </w:r>
            <w:r>
              <w:rPr>
                <w:b/>
                <w:sz w:val="19"/>
              </w:rPr>
              <w:t>not</w:t>
            </w:r>
            <w:r>
              <w:rPr>
                <w:sz w:val="19"/>
              </w:rPr>
              <w:t xml:space="preserve"> return HTTP 400 for field-level issues so a single row's bad data never aborts a batch.</w:t>
            </w:r>
          </w:p>
        </w:tc>
        <w:tc>
          <w:tcPr>
            <w:tcW w:w="3216" w:type="dxa"/>
          </w:tcPr>
          <w:p w14:paraId="4B8368B0"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Spec says to "consider missing or malformed fields" and to keep error rows in their original output position.</w:t>
            </w:r>
          </w:p>
        </w:tc>
      </w:tr>
      <w:tr w:rsidR="00F60946" w14:paraId="2F2934E0"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315EFAC2" w14:textId="77777777" w:rsidR="00F60946" w:rsidRDefault="00000000">
            <w:r>
              <w:rPr>
                <w:sz w:val="19"/>
              </w:rPr>
              <w:t>A12</w:t>
            </w:r>
          </w:p>
        </w:tc>
        <w:tc>
          <w:tcPr>
            <w:tcW w:w="3216" w:type="dxa"/>
            <w:shd w:val="clear" w:color="auto" w:fill="F2F7FC"/>
          </w:tcPr>
          <w:p w14:paraId="23C6B7E0"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Coverage sub-category matching is case-insensitive and trimmed. The input CSV may have slight variations.</w:t>
            </w:r>
          </w:p>
        </w:tc>
        <w:tc>
          <w:tcPr>
            <w:tcW w:w="3216" w:type="dxa"/>
            <w:shd w:val="clear" w:color="auto" w:fill="F2F7FC"/>
          </w:tcPr>
          <w:p w14:paraId="1988C639"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Defensive coding.</w:t>
            </w:r>
          </w:p>
        </w:tc>
      </w:tr>
      <w:tr w:rsidR="00F60946" w14:paraId="37F9E0E0"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ADE49BE" w14:textId="77777777" w:rsidR="00F60946" w:rsidRDefault="00000000">
            <w:r>
              <w:rPr>
                <w:sz w:val="19"/>
              </w:rPr>
              <w:t>A13</w:t>
            </w:r>
          </w:p>
        </w:tc>
        <w:tc>
          <w:tcPr>
            <w:tcW w:w="3216" w:type="dxa"/>
          </w:tcPr>
          <w:p w14:paraId="1CBFEC18"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BigDecimal is used for all monetary calculations to avoid floating-point precision errors. Scale is set to 2 decimal places with HALF_UP rounding.</w:t>
            </w:r>
          </w:p>
        </w:tc>
        <w:tc>
          <w:tcPr>
            <w:tcW w:w="3216" w:type="dxa"/>
          </w:tcPr>
          <w:p w14:paraId="09D1280B"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Professional standard for financial systems.</w:t>
            </w:r>
          </w:p>
        </w:tc>
      </w:tr>
      <w:tr w:rsidR="00F60946" w14:paraId="6BA65687"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0834B1AB" w14:textId="77777777" w:rsidR="00F60946" w:rsidRDefault="00000000">
            <w:r>
              <w:rPr>
                <w:sz w:val="19"/>
              </w:rPr>
              <w:t>A14</w:t>
            </w:r>
          </w:p>
        </w:tc>
        <w:tc>
          <w:tcPr>
            <w:tcW w:w="3216" w:type="dxa"/>
            <w:shd w:val="clear" w:color="auto" w:fill="F2F7FC"/>
          </w:tcPr>
          <w:p w14:paraId="68909AC0"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The DeductibleStateStore is separate from PolicyRepository so it can be reset between batch runs and is passed in (not injected) for REST calls, supporting stateless API design.</w:t>
            </w:r>
          </w:p>
        </w:tc>
        <w:tc>
          <w:tcPr>
            <w:tcW w:w="3216" w:type="dxa"/>
            <w:shd w:val="clear" w:color="auto" w:fill="F2F7FC"/>
          </w:tcPr>
          <w:p w14:paraId="0E8DA958"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Enables testability and correct REST semantics.</w:t>
            </w:r>
          </w:p>
        </w:tc>
      </w:tr>
      <w:tr w:rsidR="00F60946" w14:paraId="1C264EEC"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75276C5" w14:textId="77777777" w:rsidR="00F60946" w:rsidRDefault="00000000">
            <w:r>
              <w:rPr>
                <w:sz w:val="19"/>
              </w:rPr>
              <w:t>A15</w:t>
            </w:r>
          </w:p>
        </w:tc>
        <w:tc>
          <w:tcPr>
            <w:tcW w:w="3216" w:type="dxa"/>
          </w:tcPr>
          <w:p w14:paraId="61A35BF9"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b/>
                <w:sz w:val="19"/>
              </w:rPr>
              <w:t>Operational endpoints (Prometheus, OpenAPI, Swagger UI, non-health actuators) require the `ADMIN` role via HTTP Basic.</w:t>
            </w:r>
            <w:r>
              <w:rPr>
                <w:sz w:val="19"/>
              </w:rPr>
              <w:t xml:space="preserve"> Only </w:t>
            </w:r>
            <w:r>
              <w:rPr>
                <w:rFonts w:ascii="Consolas" w:hAnsi="Consolas"/>
                <w:color w:val="B01040"/>
                <w:sz w:val="19"/>
              </w:rPr>
              <w:t>/actuator/health/**</w:t>
            </w:r>
            <w:r>
              <w:rPr>
                <w:sz w:val="19"/>
              </w:rPr>
              <w:t xml:space="preserve">, </w:t>
            </w:r>
            <w:r>
              <w:rPr>
                <w:rFonts w:ascii="Consolas" w:hAnsi="Consolas"/>
                <w:color w:val="B01040"/>
                <w:sz w:val="19"/>
              </w:rPr>
              <w:t>/error</w:t>
            </w:r>
            <w:r>
              <w:rPr>
                <w:sz w:val="19"/>
              </w:rPr>
              <w:t xml:space="preserve">, and </w:t>
            </w:r>
            <w:r>
              <w:rPr>
                <w:rFonts w:ascii="Consolas" w:hAnsi="Consolas"/>
                <w:color w:val="B01040"/>
                <w:sz w:val="19"/>
              </w:rPr>
              <w:t>/favicon.ico</w:t>
            </w:r>
            <w:r>
              <w:rPr>
                <w:sz w:val="19"/>
              </w:rPr>
              <w:t xml:space="preserve"> are anonymous so that load-balancer probes still work. Prometheus scrape config must include </w:t>
            </w:r>
            <w:r>
              <w:rPr>
                <w:rFonts w:ascii="Consolas" w:hAnsi="Consolas"/>
                <w:color w:val="B01040"/>
                <w:sz w:val="19"/>
              </w:rPr>
              <w:t>basic_auth: { username: admin, password: admin123 }</w:t>
            </w:r>
            <w:r>
              <w:rPr>
                <w:sz w:val="19"/>
              </w:rPr>
              <w:t>.</w:t>
            </w:r>
          </w:p>
        </w:tc>
        <w:tc>
          <w:tcPr>
            <w:tcW w:w="3216" w:type="dxa"/>
          </w:tcPr>
          <w:p w14:paraId="530C5BB0"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Production-grade default: metrics and contract documentation should never be public; load-balancer health is a separate, intentionally narrow exception.</w:t>
            </w:r>
          </w:p>
        </w:tc>
      </w:tr>
      <w:tr w:rsidR="00F60946" w14:paraId="46C2C66C"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04AE815D" w14:textId="77777777" w:rsidR="00F60946" w:rsidRDefault="00000000">
            <w:r>
              <w:rPr>
                <w:sz w:val="19"/>
              </w:rPr>
              <w:t>A16</w:t>
            </w:r>
          </w:p>
        </w:tc>
        <w:tc>
          <w:tcPr>
            <w:tcW w:w="3216" w:type="dxa"/>
            <w:shd w:val="clear" w:color="auto" w:fill="F2F7FC"/>
          </w:tcPr>
          <w:p w14:paraId="35A58728"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b/>
                <w:sz w:val="19"/>
              </w:rPr>
              <w:t>Batch CLI mode is launched without the embedded Tomcat web stack</w:t>
            </w:r>
            <w:r>
              <w:rPr>
                <w:sz w:val="19"/>
              </w:rPr>
              <w:t xml:space="preserve"> (detected by </w:t>
            </w:r>
            <w:r>
              <w:rPr>
                <w:rFonts w:ascii="Consolas" w:hAnsi="Consolas"/>
                <w:color w:val="B01040"/>
                <w:sz w:val="19"/>
              </w:rPr>
              <w:t>args[0] == "batch"</w:t>
            </w:r>
            <w:r>
              <w:rPr>
                <w:sz w:val="19"/>
              </w:rPr>
              <w:t xml:space="preserve">, switches </w:t>
            </w:r>
            <w:r>
              <w:rPr>
                <w:rFonts w:ascii="Consolas" w:hAnsi="Consolas"/>
                <w:color w:val="B01040"/>
                <w:sz w:val="19"/>
              </w:rPr>
              <w:t>SpringApplicationBuilder.web(WebApplicationType.NONE)</w:t>
            </w:r>
            <w:r>
              <w:rPr>
                <w:sz w:val="19"/>
              </w:rPr>
              <w:t xml:space="preserve"> and calls </w:t>
            </w:r>
            <w:r>
              <w:rPr>
                <w:rFonts w:ascii="Consolas" w:hAnsi="Consolas"/>
                <w:color w:val="B01040"/>
                <w:sz w:val="19"/>
              </w:rPr>
              <w:t>context.close()</w:t>
            </w:r>
            <w:r>
              <w:rPr>
                <w:sz w:val="19"/>
              </w:rPr>
              <w:t xml:space="preserve"> after the runner completes) so the JVM exits cleanly. REST/GUI mode is unchanged.</w:t>
            </w:r>
          </w:p>
        </w:tc>
        <w:tc>
          <w:tcPr>
            <w:tcW w:w="3216" w:type="dxa"/>
            <w:shd w:val="clear" w:color="auto" w:fill="F2F7FC"/>
          </w:tcPr>
          <w:p w14:paraId="2A3ED01E"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Without this, a long-running embedded Tomcat keeps the JVM alive after batch finishes, which is wrong for a scriptable CLI.</w:t>
            </w:r>
          </w:p>
        </w:tc>
      </w:tr>
      <w:tr w:rsidR="00F60946" w14:paraId="23770D00"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942E790" w14:textId="77777777" w:rsidR="00F60946" w:rsidRDefault="00000000">
            <w:r>
              <w:rPr>
                <w:sz w:val="19"/>
              </w:rPr>
              <w:t>A17</w:t>
            </w:r>
          </w:p>
        </w:tc>
        <w:tc>
          <w:tcPr>
            <w:tcW w:w="3216" w:type="dxa"/>
          </w:tcPr>
          <w:p w14:paraId="56BA6058"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Output messages, </w:t>
            </w:r>
            <w:r>
              <w:rPr>
                <w:rFonts w:ascii="Consolas" w:hAnsi="Consolas"/>
                <w:color w:val="B01040"/>
                <w:sz w:val="19"/>
              </w:rPr>
              <w:t>Rule used</w:t>
            </w:r>
            <w:r>
              <w:rPr>
                <w:sz w:val="19"/>
              </w:rPr>
              <w:t xml:space="preserve"> labels and column ordering are </w:t>
            </w:r>
            <w:r>
              <w:rPr>
                <w:b/>
                <w:sz w:val="19"/>
              </w:rPr>
              <w:t>byte-aligned to the `SampleTransactionsProcessed` sheet</w:t>
            </w:r>
            <w:r>
              <w:rPr>
                <w:sz w:val="19"/>
              </w:rPr>
              <w:t xml:space="preserve"> so the output file is suitable for a direct diff during grading. Examples: </w:t>
            </w:r>
            <w:r>
              <w:rPr>
                <w:rFonts w:ascii="Consolas" w:hAnsi="Consolas"/>
                <w:color w:val="B01040"/>
                <w:sz w:val="19"/>
              </w:rPr>
              <w:t>Preventive Care - No Charge to policyholder</w:t>
            </w:r>
            <w:r>
              <w:rPr>
                <w:sz w:val="19"/>
              </w:rPr>
              <w:t xml:space="preserve">, </w:t>
            </w:r>
            <w:r>
              <w:rPr>
                <w:rFonts w:ascii="Consolas" w:hAnsi="Consolas"/>
                <w:color w:val="B01040"/>
                <w:sz w:val="19"/>
              </w:rPr>
              <w:t>Flat dollar coverage - plan pays $120 regardless of deductible</w:t>
            </w:r>
            <w:r>
              <w:rPr>
                <w:sz w:val="19"/>
              </w:rPr>
              <w:t xml:space="preserve">, </w:t>
            </w:r>
            <w:r>
              <w:rPr>
                <w:rFonts w:ascii="Consolas" w:hAnsi="Consolas"/>
                <w:color w:val="B01040"/>
                <w:sz w:val="19"/>
              </w:rPr>
              <w:t>ANNUAL DEDUCTIBLE (INDIVIDUAL) met, plan pays 40%</w:t>
            </w:r>
            <w:r>
              <w:rPr>
                <w:sz w:val="19"/>
              </w:rPr>
              <w:t xml:space="preserve">, </w:t>
            </w:r>
            <w:r>
              <w:rPr>
                <w:rFonts w:ascii="Consolas" w:hAnsi="Consolas"/>
                <w:color w:val="B01040"/>
                <w:sz w:val="19"/>
              </w:rPr>
              <w:t>$120 FLAT</w:t>
            </w:r>
            <w:r>
              <w:rPr>
                <w:sz w:val="19"/>
              </w:rPr>
              <w:t>.</w:t>
            </w:r>
          </w:p>
        </w:tc>
        <w:tc>
          <w:tcPr>
            <w:tcW w:w="3216" w:type="dxa"/>
          </w:tcPr>
          <w:p w14:paraId="470EF26D"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Numeric correctness is necessary but not sufficient — alignment of human-readable messages avoids false negatives in grading. Verified end-to-end: 0/19 numeric and 0/19 message mismatches.</w:t>
            </w:r>
          </w:p>
        </w:tc>
      </w:tr>
    </w:tbl>
    <w:p w14:paraId="293A84D4" w14:textId="77777777" w:rsidR="00F60946" w:rsidRDefault="00F60946">
      <w:pPr>
        <w:pBdr>
          <w:bottom w:val="single" w:sz="6" w:space="1" w:color="808080"/>
        </w:pBdr>
      </w:pPr>
    </w:p>
    <w:p w14:paraId="45068BF6" w14:textId="77777777" w:rsidR="00F60946" w:rsidRDefault="00000000">
      <w:r>
        <w:br w:type="page"/>
      </w:r>
    </w:p>
    <w:p w14:paraId="27343921" w14:textId="77777777" w:rsidR="00F60946" w:rsidRDefault="00000000">
      <w:pPr>
        <w:pStyle w:val="Heading2"/>
      </w:pPr>
      <w:r>
        <w:lastRenderedPageBreak/>
        <w:t>2. Architecture Overview</w:t>
      </w:r>
    </w:p>
    <w:p w14:paraId="19807BE2" w14:textId="3D96B29D" w:rsidR="00F60946"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170" w:right="170"/>
      </w:pPr>
      <w:r>
        <w:rPr>
          <w:rFonts w:ascii="Consolas" w:hAnsi="Consolas"/>
          <w:color w:val="1F2A44"/>
          <w:sz w:val="17"/>
        </w:rPr>
        <w:t>┌─────────────────────────────────────────────────────────────┐</w:t>
      </w:r>
      <w:r>
        <w:rPr>
          <w:rFonts w:ascii="Consolas" w:hAnsi="Consolas"/>
          <w:color w:val="1F2A44"/>
          <w:sz w:val="17"/>
        </w:rPr>
        <w:br/>
        <w:t>│                        CLIENT LAYER                          │</w:t>
      </w:r>
      <w:r>
        <w:rPr>
          <w:rFonts w:ascii="Consolas" w:hAnsi="Consolas"/>
          <w:color w:val="1F2A44"/>
          <w:sz w:val="17"/>
        </w:rPr>
        <w:br/>
        <w:t>│  [Browser</w:t>
      </w:r>
      <w:r w:rsidR="000B5509">
        <w:rPr>
          <w:rFonts w:ascii="Consolas" w:hAnsi="Consolas"/>
          <w:color w:val="1F2A44"/>
          <w:sz w:val="17"/>
        </w:rPr>
        <w:t xml:space="preserve"> - Angular</w:t>
      </w:r>
      <w:r>
        <w:rPr>
          <w:rFonts w:ascii="Consolas" w:hAnsi="Consolas"/>
          <w:color w:val="1F2A44"/>
          <w:sz w:val="17"/>
        </w:rPr>
        <w:t>/</w:t>
      </w:r>
      <w:r w:rsidR="000B5509">
        <w:rPr>
          <w:rFonts w:ascii="Consolas" w:hAnsi="Consolas"/>
          <w:color w:val="1F2A44"/>
          <w:sz w:val="17"/>
        </w:rPr>
        <w:t>Thyme leaf</w:t>
      </w:r>
      <w:r>
        <w:rPr>
          <w:rFonts w:ascii="Consolas" w:hAnsi="Consolas"/>
          <w:color w:val="1F2A44"/>
          <w:sz w:val="17"/>
        </w:rPr>
        <w:t xml:space="preserve"> GUI]  [CLI / ApplicationRunner]  [REST] │</w:t>
      </w:r>
      <w:r>
        <w:rPr>
          <w:rFonts w:ascii="Consolas" w:hAnsi="Consolas"/>
          <w:color w:val="1F2A44"/>
          <w:sz w:val="17"/>
        </w:rPr>
        <w:br/>
        <w:t>└─────────────┬────────────────────┬───────────────────┬──────┘</w:t>
      </w:r>
      <w:r>
        <w:rPr>
          <w:rFonts w:ascii="Consolas" w:hAnsi="Consolas"/>
          <w:color w:val="1F2A44"/>
          <w:sz w:val="17"/>
        </w:rPr>
        <w:br/>
        <w:t xml:space="preserve">              │                    │                   │</w:t>
      </w:r>
      <w:r>
        <w:rPr>
          <w:rFonts w:ascii="Consolas" w:hAnsi="Consolas"/>
          <w:color w:val="1F2A44"/>
          <w:sz w:val="17"/>
        </w:rPr>
        <w:br/>
        <w:t xml:space="preserve">              ▼                    ▼                   ▼</w:t>
      </w:r>
      <w:r>
        <w:rPr>
          <w:rFonts w:ascii="Consolas" w:hAnsi="Consolas"/>
          <w:color w:val="1F2A44"/>
          <w:sz w:val="17"/>
        </w:rPr>
        <w:br/>
        <w:t>┌─────────────────────────────────────────────────────────────┐</w:t>
      </w:r>
      <w:r>
        <w:rPr>
          <w:rFonts w:ascii="Consolas" w:hAnsi="Consolas"/>
          <w:color w:val="1F2A44"/>
          <w:sz w:val="17"/>
        </w:rPr>
        <w:br/>
        <w:t>│                    APPLICATION LAYER                         │</w:t>
      </w:r>
      <w:r>
        <w:rPr>
          <w:rFonts w:ascii="Consolas" w:hAnsi="Consolas"/>
          <w:color w:val="1F2A44"/>
          <w:sz w:val="17"/>
        </w:rPr>
        <w:br/>
        <w:t>│                                                              │</w:t>
      </w:r>
      <w:r>
        <w:rPr>
          <w:rFonts w:ascii="Consolas" w:hAnsi="Consolas"/>
          <w:color w:val="1F2A44"/>
          <w:sz w:val="17"/>
        </w:rPr>
        <w:br/>
        <w:t>│   GuiController   BatchProcessor   ClaimsController          │</w:t>
      </w:r>
      <w:r>
        <w:rPr>
          <w:rFonts w:ascii="Consolas" w:hAnsi="Consolas"/>
          <w:color w:val="1F2A44"/>
          <w:sz w:val="17"/>
        </w:rPr>
        <w:br/>
        <w:t>│          │               │               │                   │</w:t>
      </w:r>
      <w:r>
        <w:rPr>
          <w:rFonts w:ascii="Consolas" w:hAnsi="Consolas"/>
          <w:color w:val="1F2A44"/>
          <w:sz w:val="17"/>
        </w:rPr>
        <w:br/>
        <w:t>│          └───────────────┼───────────────┘                   │</w:t>
      </w:r>
      <w:r>
        <w:rPr>
          <w:rFonts w:ascii="Consolas" w:hAnsi="Consolas"/>
          <w:color w:val="1F2A44"/>
          <w:sz w:val="17"/>
        </w:rPr>
        <w:br/>
        <w:t>│                          ▼                                   │</w:t>
      </w:r>
      <w:r>
        <w:rPr>
          <w:rFonts w:ascii="Consolas" w:hAnsi="Consolas"/>
          <w:color w:val="1F2A44"/>
          <w:sz w:val="17"/>
        </w:rPr>
        <w:br/>
        <w:t>│              ┌─────────────────────┐                         │</w:t>
      </w:r>
      <w:r>
        <w:rPr>
          <w:rFonts w:ascii="Consolas" w:hAnsi="Consolas"/>
          <w:color w:val="1F2A44"/>
          <w:sz w:val="17"/>
        </w:rPr>
        <w:br/>
        <w:t>│              │    ClaimsEngine     │  ← Core service         │</w:t>
      </w:r>
      <w:r>
        <w:rPr>
          <w:rFonts w:ascii="Consolas" w:hAnsi="Consolas"/>
          <w:color w:val="1F2A44"/>
          <w:sz w:val="17"/>
        </w:rPr>
        <w:br/>
        <w:t>│              │  (@Service, shared) │                         │</w:t>
      </w:r>
      <w:r>
        <w:rPr>
          <w:rFonts w:ascii="Consolas" w:hAnsi="Consolas"/>
          <w:color w:val="1F2A44"/>
          <w:sz w:val="17"/>
        </w:rPr>
        <w:br/>
        <w:t>│              └──────────┬──────────┘                         │</w:t>
      </w:r>
      <w:r>
        <w:rPr>
          <w:rFonts w:ascii="Consolas" w:hAnsi="Consolas"/>
          <w:color w:val="1F2A44"/>
          <w:sz w:val="17"/>
        </w:rPr>
        <w:br/>
        <w:t>│           ┌─────────────┼──────────────┐                     │</w:t>
      </w:r>
      <w:r>
        <w:rPr>
          <w:rFonts w:ascii="Consolas" w:hAnsi="Consolas"/>
          <w:color w:val="1F2A44"/>
          <w:sz w:val="17"/>
        </w:rPr>
        <w:br/>
        <w:t>│           ▼             ▼              ▼                     │</w:t>
      </w:r>
      <w:r>
        <w:rPr>
          <w:rFonts w:ascii="Consolas" w:hAnsi="Consolas"/>
          <w:color w:val="1F2A44"/>
          <w:sz w:val="17"/>
        </w:rPr>
        <w:br/>
        <w:t>│   ValidationSvc  DeductibleSvc  CoverageRuleParser           │</w:t>
      </w:r>
      <w:r>
        <w:rPr>
          <w:rFonts w:ascii="Consolas" w:hAnsi="Consolas"/>
          <w:color w:val="1F2A44"/>
          <w:sz w:val="17"/>
        </w:rPr>
        <w:br/>
        <w:t>│                                        │                     │</w:t>
      </w:r>
      <w:r>
        <w:rPr>
          <w:rFonts w:ascii="Consolas" w:hAnsi="Consolas"/>
          <w:color w:val="1F2A44"/>
          <w:sz w:val="17"/>
        </w:rPr>
        <w:br/>
        <w:t>│                            ┌───────────┼────────────┐        │</w:t>
      </w:r>
      <w:r>
        <w:rPr>
          <w:rFonts w:ascii="Consolas" w:hAnsi="Consolas"/>
          <w:color w:val="1F2A44"/>
          <w:sz w:val="17"/>
        </w:rPr>
        <w:br/>
        <w:t>│                            ▼           ▼            ▼        │</w:t>
      </w:r>
      <w:r>
        <w:rPr>
          <w:rFonts w:ascii="Consolas" w:hAnsi="Consolas"/>
          <w:color w:val="1F2A44"/>
          <w:sz w:val="17"/>
        </w:rPr>
        <w:br/>
        <w:t>│                     PercentageRule  NoChargeRule  FlatRule    │</w:t>
      </w:r>
      <w:r>
        <w:rPr>
          <w:rFonts w:ascii="Consolas" w:hAnsi="Consolas"/>
          <w:color w:val="1F2A44"/>
          <w:sz w:val="17"/>
        </w:rPr>
        <w:br/>
        <w:t>└──────────────────────────────┬──────────────────────────────┘</w:t>
      </w:r>
      <w:r>
        <w:rPr>
          <w:rFonts w:ascii="Consolas" w:hAnsi="Consolas"/>
          <w:color w:val="1F2A44"/>
          <w:sz w:val="17"/>
        </w:rPr>
        <w:br/>
        <w:t xml:space="preserve">                               │</w:t>
      </w:r>
      <w:r>
        <w:rPr>
          <w:rFonts w:ascii="Consolas" w:hAnsi="Consolas"/>
          <w:color w:val="1F2A44"/>
          <w:sz w:val="17"/>
        </w:rPr>
        <w:br/>
        <w:t xml:space="preserve">              ┌────────────────┼────────────────┐</w:t>
      </w:r>
      <w:r>
        <w:rPr>
          <w:rFonts w:ascii="Consolas" w:hAnsi="Consolas"/>
          <w:color w:val="1F2A44"/>
          <w:sz w:val="17"/>
        </w:rPr>
        <w:br/>
        <w:t xml:space="preserve">              ▼                ▼                ▼</w:t>
      </w:r>
      <w:r>
        <w:rPr>
          <w:rFonts w:ascii="Consolas" w:hAnsi="Consolas"/>
          <w:color w:val="1F2A44"/>
          <w:sz w:val="17"/>
        </w:rPr>
        <w:br/>
        <w:t xml:space="preserve">        PlanRepository  PolicyRepository  CoverageRepository</w:t>
      </w:r>
      <w:r>
        <w:rPr>
          <w:rFonts w:ascii="Consolas" w:hAnsi="Consolas"/>
          <w:color w:val="1F2A44"/>
          <w:sz w:val="17"/>
        </w:rPr>
        <w:br/>
        <w:t xml:space="preserve">              └────────────────┼────────────────┘</w:t>
      </w:r>
      <w:r>
        <w:rPr>
          <w:rFonts w:ascii="Consolas" w:hAnsi="Consolas"/>
          <w:color w:val="1F2A44"/>
          <w:sz w:val="17"/>
        </w:rPr>
        <w:br/>
        <w:t xml:space="preserve">                               ▼</w:t>
      </w:r>
      <w:r>
        <w:rPr>
          <w:rFonts w:ascii="Consolas" w:hAnsi="Consolas"/>
          <w:color w:val="1F2A44"/>
          <w:sz w:val="17"/>
        </w:rPr>
        <w:br/>
        <w:t xml:space="preserve">                  SamplePlanAndTransactionData.xlsx</w:t>
      </w:r>
      <w:r>
        <w:rPr>
          <w:rFonts w:ascii="Consolas" w:hAnsi="Consolas"/>
          <w:color w:val="1F2A44"/>
          <w:sz w:val="17"/>
        </w:rPr>
        <w:br/>
        <w:t xml:space="preserve">                  (loaded by Apache POI on startup)</w:t>
      </w:r>
    </w:p>
    <w:p w14:paraId="711D5F38" w14:textId="77777777" w:rsidR="00F60946" w:rsidRDefault="00F60946">
      <w:pPr>
        <w:pBdr>
          <w:bottom w:val="single" w:sz="6" w:space="1" w:color="808080"/>
        </w:pBdr>
      </w:pPr>
    </w:p>
    <w:p w14:paraId="0EDAEA8C" w14:textId="77777777" w:rsidR="00F60946" w:rsidRDefault="00000000">
      <w:r>
        <w:br w:type="page"/>
      </w:r>
    </w:p>
    <w:p w14:paraId="7F64B26E" w14:textId="77777777" w:rsidR="00F60946" w:rsidRDefault="00000000">
      <w:pPr>
        <w:pStyle w:val="Heading2"/>
      </w:pPr>
      <w:r>
        <w:lastRenderedPageBreak/>
        <w:t>3. Project Structure</w:t>
      </w:r>
    </w:p>
    <w:p w14:paraId="551E214B" w14:textId="77777777" w:rsidR="00F60946"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170" w:right="170"/>
      </w:pPr>
      <w:r>
        <w:rPr>
          <w:rFonts w:ascii="Consolas" w:hAnsi="Consolas"/>
          <w:color w:val="1F2A44"/>
          <w:sz w:val="17"/>
        </w:rPr>
        <w:t>claims-processor/</w:t>
      </w:r>
      <w:r>
        <w:rPr>
          <w:rFonts w:ascii="Consolas" w:hAnsi="Consolas"/>
          <w:color w:val="1F2A44"/>
          <w:sz w:val="17"/>
        </w:rPr>
        <w:br/>
        <w:t>├── pom.xml</w:t>
      </w:r>
      <w:r>
        <w:rPr>
          <w:rFonts w:ascii="Consolas" w:hAnsi="Consolas"/>
          <w:color w:val="1F2A44"/>
          <w:sz w:val="17"/>
        </w:rPr>
        <w:br/>
        <w:t>└── src/</w:t>
      </w:r>
      <w:r>
        <w:rPr>
          <w:rFonts w:ascii="Consolas" w:hAnsi="Consolas"/>
          <w:color w:val="1F2A44"/>
          <w:sz w:val="17"/>
        </w:rPr>
        <w:br/>
        <w:t xml:space="preserve">    ├── main/</w:t>
      </w:r>
      <w:r>
        <w:rPr>
          <w:rFonts w:ascii="Consolas" w:hAnsi="Consolas"/>
          <w:color w:val="1F2A44"/>
          <w:sz w:val="17"/>
        </w:rPr>
        <w:br/>
        <w:t xml:space="preserve">    │   ├── java/com/abc/claims/</w:t>
      </w:r>
      <w:r>
        <w:rPr>
          <w:rFonts w:ascii="Consolas" w:hAnsi="Consolas"/>
          <w:color w:val="1F2A44"/>
          <w:sz w:val="17"/>
        </w:rPr>
        <w:br/>
        <w:t xml:space="preserve">    │   │   ├── ClaimsProcessorApplication.java</w:t>
      </w:r>
      <w:r>
        <w:rPr>
          <w:rFonts w:ascii="Consolas" w:hAnsi="Consolas"/>
          <w:color w:val="1F2A44"/>
          <w:sz w:val="17"/>
        </w:rPr>
        <w:br/>
        <w:t xml:space="preserve">    │   │   │</w:t>
      </w:r>
      <w:r>
        <w:rPr>
          <w:rFonts w:ascii="Consolas" w:hAnsi="Consolas"/>
          <w:color w:val="1F2A44"/>
          <w:sz w:val="17"/>
        </w:rPr>
        <w:br/>
        <w:t xml:space="preserve">    │   │   ├── config/</w:t>
      </w:r>
      <w:r>
        <w:rPr>
          <w:rFonts w:ascii="Consolas" w:hAnsi="Consolas"/>
          <w:color w:val="1F2A44"/>
          <w:sz w:val="17"/>
        </w:rPr>
        <w:br/>
        <w:t xml:space="preserve">    │   │   │   └── DataLoaderConfig.java          # @Bean: loads xlsx → repos</w:t>
      </w:r>
      <w:r>
        <w:rPr>
          <w:rFonts w:ascii="Consolas" w:hAnsi="Consolas"/>
          <w:color w:val="1F2A44"/>
          <w:sz w:val="17"/>
        </w:rPr>
        <w:br/>
        <w:t xml:space="preserve">    │   │   │</w:t>
      </w:r>
      <w:r>
        <w:rPr>
          <w:rFonts w:ascii="Consolas" w:hAnsi="Consolas"/>
          <w:color w:val="1F2A44"/>
          <w:sz w:val="17"/>
        </w:rPr>
        <w:br/>
        <w:t xml:space="preserve">    │   │   ├── model/</w:t>
      </w:r>
      <w:r>
        <w:rPr>
          <w:rFonts w:ascii="Consolas" w:hAnsi="Consolas"/>
          <w:color w:val="1F2A44"/>
          <w:sz w:val="17"/>
        </w:rPr>
        <w:br/>
        <w:t xml:space="preserve">    │   │   │   ├── Plan.java                      # Record: planId, individual/family threshold</w:t>
      </w:r>
      <w:r>
        <w:rPr>
          <w:rFonts w:ascii="Consolas" w:hAnsi="Consolas"/>
          <w:color w:val="1F2A44"/>
          <w:sz w:val="17"/>
        </w:rPr>
        <w:br/>
        <w:t xml:space="preserve">    │   │   │   ├── PolicyHolder.java              # Record: ids, planId, dates, starting deductibles</w:t>
      </w:r>
      <w:r>
        <w:rPr>
          <w:rFonts w:ascii="Consolas" w:hAnsi="Consolas"/>
          <w:color w:val="1F2A44"/>
          <w:sz w:val="17"/>
        </w:rPr>
        <w:br/>
        <w:t xml:space="preserve">    │   │   │   ├── CoverageEntry.java             # Record: mainCat, subCat, ruleString per planId</w:t>
      </w:r>
      <w:r>
        <w:rPr>
          <w:rFonts w:ascii="Consolas" w:hAnsi="Consolas"/>
          <w:color w:val="1F2A44"/>
          <w:sz w:val="17"/>
        </w:rPr>
        <w:br/>
        <w:t xml:space="preserve">    │   │   │   ├── ClaimRequest.java              # Record: all input fields</w:t>
      </w:r>
      <w:r>
        <w:rPr>
          <w:rFonts w:ascii="Consolas" w:hAnsi="Consolas"/>
          <w:color w:val="1F2A44"/>
          <w:sz w:val="17"/>
        </w:rPr>
        <w:br/>
        <w:t xml:space="preserve">    │   │   │   └── ClaimResult.java               # Record: all output fields incl. error cols</w:t>
      </w:r>
      <w:r>
        <w:rPr>
          <w:rFonts w:ascii="Consolas" w:hAnsi="Consolas"/>
          <w:color w:val="1F2A44"/>
          <w:sz w:val="17"/>
        </w:rPr>
        <w:br/>
        <w:t xml:space="preserve">    │   │   │</w:t>
      </w:r>
      <w:r>
        <w:rPr>
          <w:rFonts w:ascii="Consolas" w:hAnsi="Consolas"/>
          <w:color w:val="1F2A44"/>
          <w:sz w:val="17"/>
        </w:rPr>
        <w:br/>
        <w:t xml:space="preserve">    │   │   ├── repository/</w:t>
      </w:r>
      <w:r>
        <w:rPr>
          <w:rFonts w:ascii="Consolas" w:hAnsi="Consolas"/>
          <w:color w:val="1F2A44"/>
          <w:sz w:val="17"/>
        </w:rPr>
        <w:br/>
        <w:t xml:space="preserve">    │   │   │   ├── PlanRepository.java            # Map&lt;String,Plan&gt;</w:t>
      </w:r>
      <w:r>
        <w:rPr>
          <w:rFonts w:ascii="Consolas" w:hAnsi="Consolas"/>
          <w:color w:val="1F2A44"/>
          <w:sz w:val="17"/>
        </w:rPr>
        <w:br/>
        <w:t xml:space="preserve">    │   │   │   ├── PolicyRepository.java          # Map&lt;String,PolicyHolder&gt; by holderId</w:t>
      </w:r>
      <w:r>
        <w:rPr>
          <w:rFonts w:ascii="Consolas" w:hAnsi="Consolas"/>
          <w:color w:val="1F2A44"/>
          <w:sz w:val="17"/>
        </w:rPr>
        <w:br/>
        <w:t xml:space="preserve">    │   │   │   └── CoverageRepository.java        # findRule(planId, main, sub) → String</w:t>
      </w:r>
      <w:r>
        <w:rPr>
          <w:rFonts w:ascii="Consolas" w:hAnsi="Consolas"/>
          <w:color w:val="1F2A44"/>
          <w:sz w:val="17"/>
        </w:rPr>
        <w:br/>
        <w:t xml:space="preserve">    │   │   │</w:t>
      </w:r>
      <w:r>
        <w:rPr>
          <w:rFonts w:ascii="Consolas" w:hAnsi="Consolas"/>
          <w:color w:val="1F2A44"/>
          <w:sz w:val="17"/>
        </w:rPr>
        <w:br/>
        <w:t xml:space="preserve">    │   │   ├── engine/</w:t>
      </w:r>
      <w:r>
        <w:rPr>
          <w:rFonts w:ascii="Consolas" w:hAnsi="Consolas"/>
          <w:color w:val="1F2A44"/>
          <w:sz w:val="17"/>
        </w:rPr>
        <w:br/>
        <w:t xml:space="preserve">    │   │   │   ├── ClaimsEngine.java              # @Service — main orchestrator</w:t>
      </w:r>
      <w:r>
        <w:rPr>
          <w:rFonts w:ascii="Consolas" w:hAnsi="Consolas"/>
          <w:color w:val="1F2A44"/>
          <w:sz w:val="17"/>
        </w:rPr>
        <w:br/>
        <w:t xml:space="preserve">    │   │   │   ├── ValidationService.java         # All error checks</w:t>
      </w:r>
      <w:r>
        <w:rPr>
          <w:rFonts w:ascii="Consolas" w:hAnsi="Consolas"/>
          <w:color w:val="1F2A44"/>
          <w:sz w:val="17"/>
        </w:rPr>
        <w:br/>
        <w:t xml:space="preserve">    │   │   │   ├── DeductibleService.java         # Threshold logic + state update</w:t>
      </w:r>
      <w:r>
        <w:rPr>
          <w:rFonts w:ascii="Consolas" w:hAnsi="Consolas"/>
          <w:color w:val="1F2A44"/>
          <w:sz w:val="17"/>
        </w:rPr>
        <w:br/>
        <w:t xml:space="preserve">    │   │   │   ├── DeductibleStateStore.java      # ConcurrentHashMap&lt;holderId, BigDecimal&gt;</w:t>
      </w:r>
      <w:r>
        <w:rPr>
          <w:rFonts w:ascii="Consolas" w:hAnsi="Consolas"/>
          <w:color w:val="1F2A44"/>
          <w:sz w:val="17"/>
        </w:rPr>
        <w:br/>
        <w:t xml:space="preserve">    │   │   │   ├── CoverageRuleParser.java        # String → CoverageRule</w:t>
      </w:r>
      <w:r>
        <w:rPr>
          <w:rFonts w:ascii="Consolas" w:hAnsi="Consolas"/>
          <w:color w:val="1F2A44"/>
          <w:sz w:val="17"/>
        </w:rPr>
        <w:br/>
        <w:t xml:space="preserve">    │   │   │   ├── CoverageCalculator.java        # Applies rule → PaymentResult</w:t>
      </w:r>
      <w:r>
        <w:rPr>
          <w:rFonts w:ascii="Consolas" w:hAnsi="Consolas"/>
          <w:color w:val="1F2A44"/>
          <w:sz w:val="17"/>
        </w:rPr>
        <w:br/>
        <w:t xml:space="preserve">    │   │   │   └── rule/</w:t>
      </w:r>
      <w:r>
        <w:rPr>
          <w:rFonts w:ascii="Consolas" w:hAnsi="Consolas"/>
          <w:color w:val="1F2A44"/>
          <w:sz w:val="17"/>
        </w:rPr>
        <w:br/>
        <w:t xml:space="preserve">    │   │   │       ├── CoverageRule.java          # interface: apply(billed, deductibleMet)</w:t>
      </w:r>
      <w:r>
        <w:rPr>
          <w:rFonts w:ascii="Consolas" w:hAnsi="Consolas"/>
          <w:color w:val="1F2A44"/>
          <w:sz w:val="17"/>
        </w:rPr>
        <w:br/>
        <w:t xml:space="preserve">    │   │   │       ├── PercentageRule.java</w:t>
      </w:r>
      <w:r>
        <w:rPr>
          <w:rFonts w:ascii="Consolas" w:hAnsi="Consolas"/>
          <w:color w:val="1F2A44"/>
          <w:sz w:val="17"/>
        </w:rPr>
        <w:br/>
        <w:t xml:space="preserve">    │   │   │       ├── NoChargeRule.java</w:t>
      </w:r>
      <w:r>
        <w:rPr>
          <w:rFonts w:ascii="Consolas" w:hAnsi="Consolas"/>
          <w:color w:val="1F2A44"/>
          <w:sz w:val="17"/>
        </w:rPr>
        <w:br/>
        <w:t xml:space="preserve">    │   │   │       └── FlatDollarRule.java</w:t>
      </w:r>
      <w:r>
        <w:rPr>
          <w:rFonts w:ascii="Consolas" w:hAnsi="Consolas"/>
          <w:color w:val="1F2A44"/>
          <w:sz w:val="17"/>
        </w:rPr>
        <w:br/>
        <w:t xml:space="preserve">    │   │   │</w:t>
      </w:r>
      <w:r>
        <w:rPr>
          <w:rFonts w:ascii="Consolas" w:hAnsi="Consolas"/>
          <w:color w:val="1F2A44"/>
          <w:sz w:val="17"/>
        </w:rPr>
        <w:br/>
        <w:t xml:space="preserve">    │   │   ├── batch/</w:t>
      </w:r>
      <w:r>
        <w:rPr>
          <w:rFonts w:ascii="Consolas" w:hAnsi="Consolas"/>
          <w:color w:val="1F2A44"/>
          <w:sz w:val="17"/>
        </w:rPr>
        <w:br/>
        <w:t xml:space="preserve">    │   │   │   ├── BatchProcessor.java            # ApplicationRunner impl</w:t>
      </w:r>
      <w:r>
        <w:rPr>
          <w:rFonts w:ascii="Consolas" w:hAnsi="Consolas"/>
          <w:color w:val="1F2A44"/>
          <w:sz w:val="17"/>
        </w:rPr>
        <w:br/>
        <w:t xml:space="preserve">    │   │   │   └── CsvClaimParser.java            # OpenCSV → ClaimRequest</w:t>
      </w:r>
      <w:r>
        <w:rPr>
          <w:rFonts w:ascii="Consolas" w:hAnsi="Consolas"/>
          <w:color w:val="1F2A44"/>
          <w:sz w:val="17"/>
        </w:rPr>
        <w:br/>
        <w:t xml:space="preserve">    │   │   │</w:t>
      </w:r>
      <w:r>
        <w:rPr>
          <w:rFonts w:ascii="Consolas" w:hAnsi="Consolas"/>
          <w:color w:val="1F2A44"/>
          <w:sz w:val="17"/>
        </w:rPr>
        <w:br/>
        <w:t xml:space="preserve">    │   │   ├── api/</w:t>
      </w:r>
      <w:r>
        <w:rPr>
          <w:rFonts w:ascii="Consolas" w:hAnsi="Consolas"/>
          <w:color w:val="1F2A44"/>
          <w:sz w:val="17"/>
        </w:rPr>
        <w:br/>
        <w:t xml:space="preserve">    │   │   │   ├── ClaimsController.java          # @RestController</w:t>
      </w:r>
      <w:r>
        <w:rPr>
          <w:rFonts w:ascii="Consolas" w:hAnsi="Consolas"/>
          <w:color w:val="1F2A44"/>
          <w:sz w:val="17"/>
        </w:rPr>
        <w:br/>
        <w:t xml:space="preserve">    │   │   │   └── dto/</w:t>
      </w:r>
      <w:r>
        <w:rPr>
          <w:rFonts w:ascii="Consolas" w:hAnsi="Consolas"/>
          <w:color w:val="1F2A44"/>
          <w:sz w:val="17"/>
        </w:rPr>
        <w:br/>
        <w:t xml:space="preserve">    │   │   │       ├── ClaimRequestDto.java       # Bean Validation annotations</w:t>
      </w:r>
      <w:r>
        <w:rPr>
          <w:rFonts w:ascii="Consolas" w:hAnsi="Consolas"/>
          <w:color w:val="1F2A44"/>
          <w:sz w:val="17"/>
        </w:rPr>
        <w:br/>
        <w:t xml:space="preserve">    │   │   │       └── ClaimResponseDto.java</w:t>
      </w:r>
      <w:r>
        <w:rPr>
          <w:rFonts w:ascii="Consolas" w:hAnsi="Consolas"/>
          <w:color w:val="1F2A44"/>
          <w:sz w:val="17"/>
        </w:rPr>
        <w:br/>
        <w:t xml:space="preserve">    │   │   │</w:t>
      </w:r>
      <w:r>
        <w:rPr>
          <w:rFonts w:ascii="Consolas" w:hAnsi="Consolas"/>
          <w:color w:val="1F2A44"/>
          <w:sz w:val="17"/>
        </w:rPr>
        <w:br/>
        <w:t xml:space="preserve">    │   │   ├── web/</w:t>
      </w:r>
      <w:r>
        <w:rPr>
          <w:rFonts w:ascii="Consolas" w:hAnsi="Consolas"/>
          <w:color w:val="1F2A44"/>
          <w:sz w:val="17"/>
        </w:rPr>
        <w:br/>
        <w:t xml:space="preserve">    │   │   │   └── GuiController.java             # @Controller for Thymeleaf</w:t>
      </w:r>
      <w:r>
        <w:rPr>
          <w:rFonts w:ascii="Consolas" w:hAnsi="Consolas"/>
          <w:color w:val="1F2A44"/>
          <w:sz w:val="17"/>
        </w:rPr>
        <w:br/>
        <w:t xml:space="preserve">    │   │   │</w:t>
      </w:r>
      <w:r>
        <w:rPr>
          <w:rFonts w:ascii="Consolas" w:hAnsi="Consolas"/>
          <w:color w:val="1F2A44"/>
          <w:sz w:val="17"/>
        </w:rPr>
        <w:br/>
        <w:t xml:space="preserve">    │   │   └── exception/</w:t>
      </w:r>
      <w:r>
        <w:rPr>
          <w:rFonts w:ascii="Consolas" w:hAnsi="Consolas"/>
          <w:color w:val="1F2A44"/>
          <w:sz w:val="17"/>
        </w:rPr>
        <w:br/>
        <w:t xml:space="preserve">    │   │       ├── ClaimsProcessingException.java</w:t>
      </w:r>
      <w:r>
        <w:rPr>
          <w:rFonts w:ascii="Consolas" w:hAnsi="Consolas"/>
          <w:color w:val="1F2A44"/>
          <w:sz w:val="17"/>
        </w:rPr>
        <w:br/>
        <w:t xml:space="preserve">    │   │       └── GlobalExceptionHandler.java    # @ControllerAdvice</w:t>
      </w:r>
      <w:r>
        <w:rPr>
          <w:rFonts w:ascii="Consolas" w:hAnsi="Consolas"/>
          <w:color w:val="1F2A44"/>
          <w:sz w:val="17"/>
        </w:rPr>
        <w:br/>
        <w:t xml:space="preserve">    │   │</w:t>
      </w:r>
      <w:r>
        <w:rPr>
          <w:rFonts w:ascii="Consolas" w:hAnsi="Consolas"/>
          <w:color w:val="1F2A44"/>
          <w:sz w:val="17"/>
        </w:rPr>
        <w:br/>
        <w:t xml:space="preserve">    │   └── resources/</w:t>
      </w:r>
      <w:r>
        <w:rPr>
          <w:rFonts w:ascii="Consolas" w:hAnsi="Consolas"/>
          <w:color w:val="1F2A44"/>
          <w:sz w:val="17"/>
        </w:rPr>
        <w:br/>
        <w:t xml:space="preserve">    │       ├── application.yml</w:t>
      </w:r>
      <w:r>
        <w:rPr>
          <w:rFonts w:ascii="Consolas" w:hAnsi="Consolas"/>
          <w:color w:val="1F2A44"/>
          <w:sz w:val="17"/>
        </w:rPr>
        <w:br/>
        <w:t xml:space="preserve">    │       ├── data/</w:t>
      </w:r>
      <w:r>
        <w:rPr>
          <w:rFonts w:ascii="Consolas" w:hAnsi="Consolas"/>
          <w:color w:val="1F2A44"/>
          <w:sz w:val="17"/>
        </w:rPr>
        <w:br/>
        <w:t xml:space="preserve">    │       │   └── SamplePlanAndTransactionData.xlsx</w:t>
      </w:r>
      <w:r>
        <w:rPr>
          <w:rFonts w:ascii="Consolas" w:hAnsi="Consolas"/>
          <w:color w:val="1F2A44"/>
          <w:sz w:val="17"/>
        </w:rPr>
        <w:br/>
      </w:r>
      <w:r>
        <w:rPr>
          <w:rFonts w:ascii="Consolas" w:hAnsi="Consolas"/>
          <w:color w:val="1F2A44"/>
          <w:sz w:val="17"/>
        </w:rPr>
        <w:lastRenderedPageBreak/>
        <w:t xml:space="preserve">    │       └── templates/</w:t>
      </w:r>
      <w:r>
        <w:rPr>
          <w:rFonts w:ascii="Consolas" w:hAnsi="Consolas"/>
          <w:color w:val="1F2A44"/>
          <w:sz w:val="17"/>
        </w:rPr>
        <w:br/>
        <w:t xml:space="preserve">    │           ├── index.html                     # File input form</w:t>
      </w:r>
      <w:r>
        <w:rPr>
          <w:rFonts w:ascii="Consolas" w:hAnsi="Consolas"/>
          <w:color w:val="1F2A44"/>
          <w:sz w:val="17"/>
        </w:rPr>
        <w:br/>
        <w:t xml:space="preserve">    │           └── results.html                   # Results table + summary stats</w:t>
      </w:r>
      <w:r>
        <w:rPr>
          <w:rFonts w:ascii="Consolas" w:hAnsi="Consolas"/>
          <w:color w:val="1F2A44"/>
          <w:sz w:val="17"/>
        </w:rPr>
        <w:br/>
        <w:t xml:space="preserve">    │</w:t>
      </w:r>
      <w:r>
        <w:rPr>
          <w:rFonts w:ascii="Consolas" w:hAnsi="Consolas"/>
          <w:color w:val="1F2A44"/>
          <w:sz w:val="17"/>
        </w:rPr>
        <w:br/>
        <w:t xml:space="preserve">    └── test/</w:t>
      </w:r>
      <w:r>
        <w:rPr>
          <w:rFonts w:ascii="Consolas" w:hAnsi="Consolas"/>
          <w:color w:val="1F2A44"/>
          <w:sz w:val="17"/>
        </w:rPr>
        <w:br/>
        <w:t xml:space="preserve">        └── java/com/abc/claims/</w:t>
      </w:r>
      <w:r>
        <w:rPr>
          <w:rFonts w:ascii="Consolas" w:hAnsi="Consolas"/>
          <w:color w:val="1F2A44"/>
          <w:sz w:val="17"/>
        </w:rPr>
        <w:br/>
        <w:t xml:space="preserve">            ├── engine/</w:t>
      </w:r>
      <w:r>
        <w:rPr>
          <w:rFonts w:ascii="Consolas" w:hAnsi="Consolas"/>
          <w:color w:val="1F2A44"/>
          <w:sz w:val="17"/>
        </w:rPr>
        <w:br/>
        <w:t xml:space="preserve">            │   ├── ClaimsEngineTest.java          # Integration: full claim scenarios</w:t>
      </w:r>
      <w:r>
        <w:rPr>
          <w:rFonts w:ascii="Consolas" w:hAnsi="Consolas"/>
          <w:color w:val="1F2A44"/>
          <w:sz w:val="17"/>
        </w:rPr>
        <w:br/>
        <w:t xml:space="preserve">            │   ├── DeductibleServiceTest.java     # Unit: all threshold edge cases</w:t>
      </w:r>
      <w:r>
        <w:rPr>
          <w:rFonts w:ascii="Consolas" w:hAnsi="Consolas"/>
          <w:color w:val="1F2A44"/>
          <w:sz w:val="17"/>
        </w:rPr>
        <w:br/>
        <w:t xml:space="preserve">            │   ├── CoverageRuleParserTest.java    # Unit: all three rule types</w:t>
      </w:r>
      <w:r>
        <w:rPr>
          <w:rFonts w:ascii="Consolas" w:hAnsi="Consolas"/>
          <w:color w:val="1F2A44"/>
          <w:sz w:val="17"/>
        </w:rPr>
        <w:br/>
        <w:t xml:space="preserve">            │   └── ValidationServiceTest.java     # Unit: all error codes</w:t>
      </w:r>
      <w:r>
        <w:rPr>
          <w:rFonts w:ascii="Consolas" w:hAnsi="Consolas"/>
          <w:color w:val="1F2A44"/>
          <w:sz w:val="17"/>
        </w:rPr>
        <w:br/>
        <w:t xml:space="preserve">            └── batch/</w:t>
      </w:r>
      <w:r>
        <w:rPr>
          <w:rFonts w:ascii="Consolas" w:hAnsi="Consolas"/>
          <w:color w:val="1F2A44"/>
          <w:sz w:val="17"/>
        </w:rPr>
        <w:br/>
        <w:t xml:space="preserve">                └── BatchProcessorTest.java        # Reads sample CSV, checks expected output</w:t>
      </w:r>
    </w:p>
    <w:p w14:paraId="7FF0137B" w14:textId="77777777" w:rsidR="00F60946" w:rsidRDefault="00F60946">
      <w:pPr>
        <w:pBdr>
          <w:bottom w:val="single" w:sz="6" w:space="1" w:color="808080"/>
        </w:pBdr>
      </w:pPr>
    </w:p>
    <w:p w14:paraId="382862B3" w14:textId="77777777" w:rsidR="00F60946" w:rsidRDefault="00000000">
      <w:r>
        <w:br w:type="page"/>
      </w:r>
    </w:p>
    <w:p w14:paraId="005F412D" w14:textId="77777777" w:rsidR="00F60946" w:rsidRDefault="00000000">
      <w:pPr>
        <w:pStyle w:val="Heading2"/>
      </w:pPr>
      <w:r>
        <w:lastRenderedPageBreak/>
        <w:t>4. Core Business Rules — Detailed</w:t>
      </w:r>
    </w:p>
    <w:p w14:paraId="61540E26" w14:textId="77777777" w:rsidR="00F60946" w:rsidRDefault="00000000">
      <w:pPr>
        <w:pStyle w:val="Heading3"/>
      </w:pPr>
      <w:r>
        <w:t>4.1 Deductible Logic</w:t>
      </w:r>
    </w:p>
    <w:p w14:paraId="70AFA77D" w14:textId="77777777" w:rsidR="00F60946"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170" w:right="170"/>
      </w:pPr>
      <w:r>
        <w:rPr>
          <w:rFonts w:ascii="Consolas" w:hAnsi="Consolas"/>
          <w:color w:val="1F2A44"/>
          <w:sz w:val="17"/>
        </w:rPr>
        <w:t>Step 1: Read current state</w:t>
      </w:r>
      <w:r>
        <w:rPr>
          <w:rFonts w:ascii="Consolas" w:hAnsi="Consolas"/>
          <w:color w:val="1F2A44"/>
          <w:sz w:val="17"/>
        </w:rPr>
        <w:br/>
        <w:t xml:space="preserve">  individualYTD = DeductibleStateStore.get(policyHolderId)     // running total this run</w:t>
      </w:r>
      <w:r>
        <w:rPr>
          <w:rFonts w:ascii="Consolas" w:hAnsi="Consolas"/>
          <w:color w:val="1F2A44"/>
          <w:sz w:val="17"/>
        </w:rPr>
        <w:br/>
        <w:t xml:space="preserve">  familyYTD     = DeductibleStateStore.getFamilyYTD(policyId)  // sum across all family members</w:t>
      </w:r>
      <w:r>
        <w:rPr>
          <w:rFonts w:ascii="Consolas" w:hAnsi="Consolas"/>
          <w:color w:val="1F2A44"/>
          <w:sz w:val="17"/>
        </w:rPr>
        <w:br/>
      </w:r>
      <w:r>
        <w:rPr>
          <w:rFonts w:ascii="Consolas" w:hAnsi="Consolas"/>
          <w:color w:val="1F2A44"/>
          <w:sz w:val="17"/>
        </w:rPr>
        <w:br/>
        <w:t>Step 2: Check thresholds</w:t>
      </w:r>
      <w:r>
        <w:rPr>
          <w:rFonts w:ascii="Consolas" w:hAnsi="Consolas"/>
          <w:color w:val="1F2A44"/>
          <w:sz w:val="17"/>
        </w:rPr>
        <w:br/>
        <w:t xml:space="preserve">  individualMet = (individualYTD &gt;= plan.individualThreshold)</w:t>
      </w:r>
      <w:r>
        <w:rPr>
          <w:rFonts w:ascii="Consolas" w:hAnsi="Consolas"/>
          <w:color w:val="1F2A44"/>
          <w:sz w:val="17"/>
        </w:rPr>
        <w:br/>
        <w:t xml:space="preserve">  familyMet     = (familyYTD     &gt;= plan.familyThreshold)</w:t>
      </w:r>
      <w:r>
        <w:rPr>
          <w:rFonts w:ascii="Consolas" w:hAnsi="Consolas"/>
          <w:color w:val="1F2A44"/>
          <w:sz w:val="17"/>
        </w:rPr>
        <w:br/>
        <w:t xml:space="preserve">  deductibleMet = individualMet OR familyMet</w:t>
      </w:r>
      <w:r>
        <w:rPr>
          <w:rFonts w:ascii="Consolas" w:hAnsi="Consolas"/>
          <w:color w:val="1F2A44"/>
          <w:sz w:val="17"/>
        </w:rPr>
        <w:br/>
      </w:r>
      <w:r>
        <w:rPr>
          <w:rFonts w:ascii="Consolas" w:hAnsi="Consolas"/>
          <w:color w:val="1F2A44"/>
          <w:sz w:val="17"/>
        </w:rPr>
        <w:br/>
        <w:t>Step 3a: If NO_CHARGE rule → skip deductible entirely</w:t>
      </w:r>
      <w:r>
        <w:rPr>
          <w:rFonts w:ascii="Consolas" w:hAnsi="Consolas"/>
          <w:color w:val="1F2A44"/>
          <w:sz w:val="17"/>
        </w:rPr>
        <w:br/>
        <w:t xml:space="preserve">  planPays   = billedAmount</w:t>
      </w:r>
      <w:r>
        <w:rPr>
          <w:rFonts w:ascii="Consolas" w:hAnsi="Consolas"/>
          <w:color w:val="1F2A44"/>
          <w:sz w:val="17"/>
        </w:rPr>
        <w:br/>
        <w:t xml:space="preserve">  holderPays = ZERO</w:t>
      </w:r>
      <w:r>
        <w:rPr>
          <w:rFonts w:ascii="Consolas" w:hAnsi="Consolas"/>
          <w:color w:val="1F2A44"/>
          <w:sz w:val="17"/>
        </w:rPr>
        <w:br/>
        <w:t xml:space="preserve">  // No state update</w:t>
      </w:r>
      <w:r>
        <w:rPr>
          <w:rFonts w:ascii="Consolas" w:hAnsi="Consolas"/>
          <w:color w:val="1F2A44"/>
          <w:sz w:val="17"/>
        </w:rPr>
        <w:br/>
      </w:r>
      <w:r>
        <w:rPr>
          <w:rFonts w:ascii="Consolas" w:hAnsi="Consolas"/>
          <w:color w:val="1F2A44"/>
          <w:sz w:val="17"/>
        </w:rPr>
        <w:br/>
        <w:t>Step 3b: If FLAT_DOLLAR rule → skip deductible condition</w:t>
      </w:r>
      <w:r>
        <w:rPr>
          <w:rFonts w:ascii="Consolas" w:hAnsi="Consolas"/>
          <w:color w:val="1F2A44"/>
          <w:sz w:val="17"/>
        </w:rPr>
        <w:br/>
        <w:t xml:space="preserve">  planPays   = flatAmount</w:t>
      </w:r>
      <w:r>
        <w:rPr>
          <w:rFonts w:ascii="Consolas" w:hAnsi="Consolas"/>
          <w:color w:val="1F2A44"/>
          <w:sz w:val="17"/>
        </w:rPr>
        <w:br/>
        <w:t xml:space="preserve">  holderPays = billedAmount - flatAmount</w:t>
      </w:r>
      <w:r>
        <w:rPr>
          <w:rFonts w:ascii="Consolas" w:hAnsi="Consolas"/>
          <w:color w:val="1F2A44"/>
          <w:sz w:val="17"/>
        </w:rPr>
        <w:br/>
        <w:t xml:space="preserve">  // Update: individualYTD += holderPays; familyYTD += holderPays</w:t>
      </w:r>
      <w:r>
        <w:rPr>
          <w:rFonts w:ascii="Consolas" w:hAnsi="Consolas"/>
          <w:color w:val="1F2A44"/>
          <w:sz w:val="17"/>
        </w:rPr>
        <w:br/>
      </w:r>
      <w:r>
        <w:rPr>
          <w:rFonts w:ascii="Consolas" w:hAnsi="Consolas"/>
          <w:color w:val="1F2A44"/>
          <w:sz w:val="17"/>
        </w:rPr>
        <w:br/>
        <w:t>Step 3c: If PERCENTAGE_AFTER_DEDUCTIBLE rule:</w:t>
      </w:r>
      <w:r>
        <w:rPr>
          <w:rFonts w:ascii="Consolas" w:hAnsi="Consolas"/>
          <w:color w:val="1F2A44"/>
          <w:sz w:val="17"/>
        </w:rPr>
        <w:br/>
        <w:t xml:space="preserve">  IF deductibleMet:</w:t>
      </w:r>
      <w:r>
        <w:rPr>
          <w:rFonts w:ascii="Consolas" w:hAnsi="Consolas"/>
          <w:color w:val="1F2A44"/>
          <w:sz w:val="17"/>
        </w:rPr>
        <w:br/>
        <w:t xml:space="preserve">    planPays   = billedAmount * planPct</w:t>
      </w:r>
      <w:r>
        <w:rPr>
          <w:rFonts w:ascii="Consolas" w:hAnsi="Consolas"/>
          <w:color w:val="1F2A44"/>
          <w:sz w:val="17"/>
        </w:rPr>
        <w:br/>
        <w:t xml:space="preserve">    holderPays = billedAmount * (1 - planPct)</w:t>
      </w:r>
      <w:r>
        <w:rPr>
          <w:rFonts w:ascii="Consolas" w:hAnsi="Consolas"/>
          <w:color w:val="1F2A44"/>
          <w:sz w:val="17"/>
        </w:rPr>
        <w:br/>
        <w:t xml:space="preserve">    // Update state</w:t>
      </w:r>
      <w:r>
        <w:rPr>
          <w:rFonts w:ascii="Consolas" w:hAnsi="Consolas"/>
          <w:color w:val="1F2A44"/>
          <w:sz w:val="17"/>
        </w:rPr>
        <w:br/>
      </w:r>
      <w:r>
        <w:rPr>
          <w:rFonts w:ascii="Consolas" w:hAnsi="Consolas"/>
          <w:color w:val="1F2A44"/>
          <w:sz w:val="17"/>
        </w:rPr>
        <w:br/>
        <w:t xml:space="preserve">  ELSE:</w:t>
      </w:r>
      <w:r>
        <w:rPr>
          <w:rFonts w:ascii="Consolas" w:hAnsi="Consolas"/>
          <w:color w:val="1F2A44"/>
          <w:sz w:val="17"/>
        </w:rPr>
        <w:br/>
        <w:t xml:space="preserve">    // Strict atomic, pre-claim determination (per spec).</w:t>
      </w:r>
      <w:r>
        <w:rPr>
          <w:rFonts w:ascii="Consolas" w:hAnsi="Consolas"/>
          <w:color w:val="1F2A44"/>
          <w:sz w:val="17"/>
        </w:rPr>
        <w:br/>
        <w:t xml:space="preserve">    // No bill-splitting -- a single claim is never partially deductible</w:t>
      </w:r>
      <w:r>
        <w:rPr>
          <w:rFonts w:ascii="Consolas" w:hAnsi="Consolas"/>
          <w:color w:val="1F2A44"/>
          <w:sz w:val="17"/>
        </w:rPr>
        <w:br/>
        <w:t xml:space="preserve">    // and partially plan-paid. If neither threshold is met going in,</w:t>
      </w:r>
      <w:r>
        <w:rPr>
          <w:rFonts w:ascii="Consolas" w:hAnsi="Consolas"/>
          <w:color w:val="1F2A44"/>
          <w:sz w:val="17"/>
        </w:rPr>
        <w:br/>
        <w:t xml:space="preserve">    // the policyholder pays the full bill. The threshold may then</w:t>
      </w:r>
      <w:r>
        <w:rPr>
          <w:rFonts w:ascii="Consolas" w:hAnsi="Consolas"/>
          <w:color w:val="1F2A44"/>
          <w:sz w:val="17"/>
        </w:rPr>
        <w:br/>
        <w:t xml:space="preserve">    // cross for the NEXT claim.</w:t>
      </w:r>
      <w:r>
        <w:rPr>
          <w:rFonts w:ascii="Consolas" w:hAnsi="Consolas"/>
          <w:color w:val="1F2A44"/>
          <w:sz w:val="17"/>
        </w:rPr>
        <w:br/>
        <w:t xml:space="preserve">    holderPays = billedAmount</w:t>
      </w:r>
      <w:r>
        <w:rPr>
          <w:rFonts w:ascii="Consolas" w:hAnsi="Consolas"/>
          <w:color w:val="1F2A44"/>
          <w:sz w:val="17"/>
        </w:rPr>
        <w:br/>
        <w:t xml:space="preserve">    planPays   = ZERO</w:t>
      </w:r>
      <w:r>
        <w:rPr>
          <w:rFonts w:ascii="Consolas" w:hAnsi="Consolas"/>
          <w:color w:val="1F2A44"/>
          <w:sz w:val="17"/>
        </w:rPr>
        <w:br/>
        <w:t xml:space="preserve">    // Update state with holderPays (accumulates toward both</w:t>
      </w:r>
      <w:r>
        <w:rPr>
          <w:rFonts w:ascii="Consolas" w:hAnsi="Consolas"/>
          <w:color w:val="1F2A44"/>
          <w:sz w:val="17"/>
        </w:rPr>
        <w:br/>
        <w:t xml:space="preserve">    // individual and family deductible buckets)</w:t>
      </w:r>
    </w:p>
    <w:p w14:paraId="1DB94CEA" w14:textId="77777777" w:rsidR="00F60946" w:rsidRDefault="00000000">
      <w:pPr>
        <w:pStyle w:val="Heading3"/>
      </w:pPr>
      <w:r>
        <w:t>4.2 Coverage Rule Parsing</w:t>
      </w:r>
    </w:p>
    <w:p w14:paraId="68C87310" w14:textId="77777777" w:rsidR="00F60946"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170" w:right="170"/>
      </w:pPr>
      <w:r>
        <w:rPr>
          <w:rFonts w:ascii="Consolas" w:hAnsi="Consolas"/>
          <w:color w:val="1F2A44"/>
          <w:sz w:val="17"/>
        </w:rPr>
        <w:t>Input string          → Rule type</w:t>
      </w:r>
      <w:r>
        <w:rPr>
          <w:rFonts w:ascii="Consolas" w:hAnsi="Consolas"/>
          <w:color w:val="1F2A44"/>
          <w:sz w:val="17"/>
        </w:rPr>
        <w:br/>
        <w:t>"No Charge"           → NoChargeRule</w:t>
      </w:r>
      <w:r>
        <w:rPr>
          <w:rFonts w:ascii="Consolas" w:hAnsi="Consolas"/>
          <w:color w:val="1F2A44"/>
          <w:sz w:val="17"/>
        </w:rPr>
        <w:br/>
        <w:t>"40% AFTER DEDUCTIBLE"→ PercentageRule(planPct=0.40)</w:t>
      </w:r>
      <w:r>
        <w:rPr>
          <w:rFonts w:ascii="Consolas" w:hAnsi="Consolas"/>
          <w:color w:val="1F2A44"/>
          <w:sz w:val="17"/>
        </w:rPr>
        <w:br/>
        <w:t>"60% AFTER DEDUCTIBLE"→ PercentageRule(planPct=0.60)</w:t>
      </w:r>
      <w:r>
        <w:rPr>
          <w:rFonts w:ascii="Consolas" w:hAnsi="Consolas"/>
          <w:color w:val="1F2A44"/>
          <w:sz w:val="17"/>
        </w:rPr>
        <w:br/>
        <w:t>"$100"                → FlatDollarRule(amount=100.00)</w:t>
      </w:r>
      <w:r>
        <w:rPr>
          <w:rFonts w:ascii="Consolas" w:hAnsi="Consolas"/>
          <w:color w:val="1F2A44"/>
          <w:sz w:val="17"/>
        </w:rPr>
        <w:br/>
        <w:t>"$120"                → FlatDollarRule(amount=120.00)</w:t>
      </w:r>
      <w:r>
        <w:rPr>
          <w:rFonts w:ascii="Consolas" w:hAnsi="Consolas"/>
          <w:color w:val="1F2A44"/>
          <w:sz w:val="17"/>
        </w:rPr>
        <w:br/>
        <w:t>"100" (no $)          → FlatDollarRule(amount=100.00) ← P002 Urgent Care</w:t>
      </w:r>
    </w:p>
    <w:p w14:paraId="6CF326A5" w14:textId="77777777" w:rsidR="00F60946" w:rsidRDefault="00000000">
      <w:r>
        <w:t>Parser uses regex:</w:t>
      </w:r>
    </w:p>
    <w:p w14:paraId="471E6F1E" w14:textId="77777777" w:rsidR="00F60946" w:rsidRDefault="00000000">
      <w:pPr>
        <w:pStyle w:val="ListBullet"/>
      </w:pPr>
      <w:r>
        <w:rPr>
          <w:rFonts w:ascii="Consolas" w:hAnsi="Consolas"/>
          <w:color w:val="B01040"/>
          <w:sz w:val="18"/>
        </w:rPr>
        <w:t>^No Charge$</w:t>
      </w:r>
      <w:r>
        <w:t xml:space="preserve"> (case-insensitive)</w:t>
      </w:r>
    </w:p>
    <w:p w14:paraId="7599B061" w14:textId="77777777" w:rsidR="00F60946" w:rsidRDefault="00000000">
      <w:pPr>
        <w:pStyle w:val="ListBullet"/>
      </w:pPr>
      <w:r>
        <w:rPr>
          <w:rFonts w:ascii="Consolas" w:hAnsi="Consolas"/>
          <w:color w:val="B01040"/>
          <w:sz w:val="18"/>
        </w:rPr>
        <w:t>^(\d+)% AFTER DEDUCTIBLE$</w:t>
      </w:r>
    </w:p>
    <w:p w14:paraId="24107B51" w14:textId="77777777" w:rsidR="00F60946" w:rsidRDefault="00000000">
      <w:pPr>
        <w:pStyle w:val="ListBullet"/>
      </w:pPr>
      <w:r>
        <w:rPr>
          <w:rFonts w:ascii="Consolas" w:hAnsi="Consolas"/>
          <w:color w:val="B01040"/>
          <w:sz w:val="18"/>
        </w:rPr>
        <w:t>^\$?(\d+(?:\.\d+)?)$</w:t>
      </w:r>
    </w:p>
    <w:p w14:paraId="2757927E" w14:textId="77777777" w:rsidR="00F60946" w:rsidRDefault="00000000">
      <w:pPr>
        <w:pStyle w:val="Heading3"/>
      </w:pPr>
      <w:r>
        <w:lastRenderedPageBreak/>
        <w:t>4.3 Error Codes</w:t>
      </w:r>
    </w:p>
    <w:tbl>
      <w:tblPr>
        <w:tblStyle w:val="LightGrid-Accent1"/>
        <w:tblW w:w="0" w:type="auto"/>
        <w:tblLook w:val="04A0" w:firstRow="1" w:lastRow="0" w:firstColumn="1" w:lastColumn="0" w:noHBand="0" w:noVBand="1"/>
      </w:tblPr>
      <w:tblGrid>
        <w:gridCol w:w="3216"/>
        <w:gridCol w:w="3216"/>
        <w:gridCol w:w="3216"/>
      </w:tblGrid>
      <w:tr w:rsidR="00F60946" w14:paraId="2795E748" w14:textId="77777777" w:rsidTr="00F609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1F4E79"/>
          </w:tcPr>
          <w:p w14:paraId="659BAADC" w14:textId="77777777" w:rsidR="00F60946" w:rsidRDefault="00000000">
            <w:r>
              <w:rPr>
                <w:color w:val="FFFFFF"/>
                <w:sz w:val="20"/>
              </w:rPr>
              <w:t>Code</w:t>
            </w:r>
          </w:p>
        </w:tc>
        <w:tc>
          <w:tcPr>
            <w:tcW w:w="3216" w:type="dxa"/>
            <w:shd w:val="clear" w:color="auto" w:fill="1F4E79"/>
          </w:tcPr>
          <w:p w14:paraId="1FF6B7E1" w14:textId="77777777" w:rsidR="00F6094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Condition</w:t>
            </w:r>
          </w:p>
        </w:tc>
        <w:tc>
          <w:tcPr>
            <w:tcW w:w="3216" w:type="dxa"/>
            <w:shd w:val="clear" w:color="auto" w:fill="1F4E79"/>
          </w:tcPr>
          <w:p w14:paraId="56F8F32D" w14:textId="77777777" w:rsidR="00F6094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Processing message</w:t>
            </w:r>
          </w:p>
        </w:tc>
      </w:tr>
      <w:tr w:rsidR="00F60946" w14:paraId="0856B0BE"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CD67825" w14:textId="77777777" w:rsidR="00F60946" w:rsidRDefault="00000000">
            <w:r>
              <w:rPr>
                <w:sz w:val="19"/>
              </w:rPr>
              <w:t>E0001</w:t>
            </w:r>
          </w:p>
        </w:tc>
        <w:tc>
          <w:tcPr>
            <w:tcW w:w="3216" w:type="dxa"/>
          </w:tcPr>
          <w:p w14:paraId="0ACBE5C2"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PolicyHolderId not found in PolicyData</w:t>
            </w:r>
          </w:p>
        </w:tc>
        <w:tc>
          <w:tcPr>
            <w:tcW w:w="3216" w:type="dxa"/>
          </w:tcPr>
          <w:p w14:paraId="4B39ED70"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"Policy holder does not exist"</w:t>
            </w:r>
          </w:p>
        </w:tc>
      </w:tr>
      <w:tr w:rsidR="00F60946" w14:paraId="767D9F50"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00C70E58" w14:textId="77777777" w:rsidR="00F60946" w:rsidRDefault="00000000">
            <w:r>
              <w:rPr>
                <w:sz w:val="19"/>
              </w:rPr>
              <w:t>E0002</w:t>
            </w:r>
          </w:p>
        </w:tc>
        <w:tc>
          <w:tcPr>
            <w:tcW w:w="3216" w:type="dxa"/>
            <w:shd w:val="clear" w:color="auto" w:fill="F2F7FC"/>
          </w:tcPr>
          <w:p w14:paraId="6F7DE49D"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Service date outside coverage dates</w:t>
            </w:r>
          </w:p>
        </w:tc>
        <w:tc>
          <w:tcPr>
            <w:tcW w:w="3216" w:type="dxa"/>
            <w:shd w:val="clear" w:color="auto" w:fill="F2F7FC"/>
          </w:tcPr>
          <w:p w14:paraId="4BB8400A"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"Coverage not active on date of service"</w:t>
            </w:r>
          </w:p>
        </w:tc>
      </w:tr>
      <w:tr w:rsidR="00F60946" w14:paraId="2E3FE844"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C55BE8B" w14:textId="77777777" w:rsidR="00F60946" w:rsidRDefault="00000000">
            <w:r>
              <w:rPr>
                <w:sz w:val="19"/>
              </w:rPr>
              <w:t>E0003</w:t>
            </w:r>
          </w:p>
        </w:tc>
        <w:tc>
          <w:tcPr>
            <w:tcW w:w="3216" w:type="dxa"/>
          </w:tcPr>
          <w:p w14:paraId="107BA55A"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MainCategory / SubCategory not found in plan coverage</w:t>
            </w:r>
          </w:p>
        </w:tc>
        <w:tc>
          <w:tcPr>
            <w:tcW w:w="3216" w:type="dxa"/>
          </w:tcPr>
          <w:p w14:paraId="728332C7"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"Unknown service category"</w:t>
            </w:r>
          </w:p>
        </w:tc>
      </w:tr>
      <w:tr w:rsidR="00F60946" w14:paraId="5E31B607"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64BE48CD" w14:textId="77777777" w:rsidR="00F60946" w:rsidRDefault="00000000">
            <w:r>
              <w:rPr>
                <w:sz w:val="19"/>
              </w:rPr>
              <w:t>E0004</w:t>
            </w:r>
          </w:p>
        </w:tc>
        <w:tc>
          <w:tcPr>
            <w:tcW w:w="3216" w:type="dxa"/>
            <w:shd w:val="clear" w:color="auto" w:fill="F2F7FC"/>
          </w:tcPr>
          <w:p w14:paraId="72FBC0FA"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Service date is in the future (&gt; 2016-12-31)</w:t>
            </w:r>
          </w:p>
        </w:tc>
        <w:tc>
          <w:tcPr>
            <w:tcW w:w="3216" w:type="dxa"/>
            <w:shd w:val="clear" w:color="auto" w:fill="F2F7FC"/>
          </w:tcPr>
          <w:p w14:paraId="3F27353A"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"Future-dated claim rejected"</w:t>
            </w:r>
          </w:p>
        </w:tc>
      </w:tr>
      <w:tr w:rsidR="00F60946" w14:paraId="4A30DF2C"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4212115" w14:textId="77777777" w:rsidR="00F60946" w:rsidRDefault="00000000">
            <w:r>
              <w:rPr>
                <w:sz w:val="19"/>
              </w:rPr>
              <w:t>E0005</w:t>
            </w:r>
          </w:p>
        </w:tc>
        <w:tc>
          <w:tcPr>
            <w:tcW w:w="3216" w:type="dxa"/>
          </w:tcPr>
          <w:p w14:paraId="75FEE3BD"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Required field missing / malformed (blank policy IDs, null date, blank category, null or negative billed amount, unparseable CSV date or amount)</w:t>
            </w:r>
          </w:p>
        </w:tc>
        <w:tc>
          <w:tcPr>
            <w:tcW w:w="3216" w:type="dxa"/>
          </w:tcPr>
          <w:p w14:paraId="4E73C3F1"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"Missing or malformed claim data"</w:t>
            </w:r>
          </w:p>
        </w:tc>
      </w:tr>
    </w:tbl>
    <w:p w14:paraId="4FEE8708" w14:textId="77777777" w:rsidR="00F60946" w:rsidRDefault="00000000">
      <w:r>
        <w:t>Error results leave planPays / holderPays / ruleUsed / deductible columns blank. Error row stays in its original position in the output file.</w:t>
      </w:r>
    </w:p>
    <w:p w14:paraId="0CBF14E7" w14:textId="77777777" w:rsidR="00F60946" w:rsidRDefault="00F60946">
      <w:pPr>
        <w:pBdr>
          <w:bottom w:val="single" w:sz="6" w:space="1" w:color="808080"/>
        </w:pBdr>
      </w:pPr>
    </w:p>
    <w:p w14:paraId="199190FA" w14:textId="77777777" w:rsidR="00F60946" w:rsidRDefault="00000000">
      <w:r>
        <w:br w:type="page"/>
      </w:r>
    </w:p>
    <w:p w14:paraId="00737CFF" w14:textId="77777777" w:rsidR="00F60946" w:rsidRDefault="00000000">
      <w:pPr>
        <w:pStyle w:val="Heading2"/>
      </w:pPr>
      <w:r>
        <w:lastRenderedPageBreak/>
        <w:t>5. API Design</w:t>
      </w:r>
    </w:p>
    <w:p w14:paraId="698F02A0" w14:textId="77777777" w:rsidR="00F60946" w:rsidRDefault="00000000">
      <w:pPr>
        <w:pStyle w:val="Heading3"/>
      </w:pPr>
      <w:r>
        <w:t>POST /api/v1/claims</w:t>
      </w:r>
    </w:p>
    <w:p w14:paraId="2E64929D" w14:textId="77777777" w:rsidR="00F60946" w:rsidRDefault="00000000">
      <w:r>
        <w:rPr>
          <w:b/>
        </w:rPr>
        <w:t>Request:</w:t>
      </w:r>
    </w:p>
    <w:p w14:paraId="635951D9" w14:textId="77777777" w:rsidR="00F60946"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170" w:right="170"/>
      </w:pPr>
      <w:r>
        <w:rPr>
          <w:rFonts w:ascii="Consolas" w:hAnsi="Consolas"/>
          <w:color w:val="1F2A44"/>
          <w:sz w:val="17"/>
        </w:rPr>
        <w:t>{</w:t>
      </w:r>
      <w:r>
        <w:rPr>
          <w:rFonts w:ascii="Consolas" w:hAnsi="Consolas"/>
          <w:color w:val="1F2A44"/>
          <w:sz w:val="17"/>
        </w:rPr>
        <w:br/>
        <w:t xml:space="preserve">  "policyId": "100001",</w:t>
      </w:r>
      <w:r>
        <w:rPr>
          <w:rFonts w:ascii="Consolas" w:hAnsi="Consolas"/>
          <w:color w:val="1F2A44"/>
          <w:sz w:val="17"/>
        </w:rPr>
        <w:br/>
        <w:t xml:space="preserve">  "policyHolderId": "1000011",</w:t>
      </w:r>
      <w:r>
        <w:rPr>
          <w:rFonts w:ascii="Consolas" w:hAnsi="Consolas"/>
          <w:color w:val="1F2A44"/>
          <w:sz w:val="17"/>
        </w:rPr>
        <w:br/>
        <w:t xml:space="preserve">  "dateOfService": "2016-04-21",</w:t>
      </w:r>
      <w:r>
        <w:rPr>
          <w:rFonts w:ascii="Consolas" w:hAnsi="Consolas"/>
          <w:color w:val="1F2A44"/>
          <w:sz w:val="17"/>
        </w:rPr>
        <w:br/>
        <w:t xml:space="preserve">  "coverageMainCategory": "Inpatient Hospital Care",</w:t>
      </w:r>
      <w:r>
        <w:rPr>
          <w:rFonts w:ascii="Consolas" w:hAnsi="Consolas"/>
          <w:color w:val="1F2A44"/>
          <w:sz w:val="17"/>
        </w:rPr>
        <w:br/>
        <w:t xml:space="preserve">  "coverageSubCategory": "ROOM AND BOARD",</w:t>
      </w:r>
      <w:r>
        <w:rPr>
          <w:rFonts w:ascii="Consolas" w:hAnsi="Consolas"/>
          <w:color w:val="1F2A44"/>
          <w:sz w:val="17"/>
        </w:rPr>
        <w:br/>
        <w:t xml:space="preserve">  "billedAmount": 1000.00,</w:t>
      </w:r>
      <w:r>
        <w:rPr>
          <w:rFonts w:ascii="Consolas" w:hAnsi="Consolas"/>
          <w:color w:val="1F2A44"/>
          <w:sz w:val="17"/>
        </w:rPr>
        <w:br/>
        <w:t xml:space="preserve">  "individualAccumulatedDeductible": 0.00,</w:t>
      </w:r>
      <w:r>
        <w:rPr>
          <w:rFonts w:ascii="Consolas" w:hAnsi="Consolas"/>
          <w:color w:val="1F2A44"/>
          <w:sz w:val="17"/>
        </w:rPr>
        <w:br/>
        <w:t xml:space="preserve">  "familyAccumulatedDeductible": 0.00</w:t>
      </w:r>
      <w:r>
        <w:rPr>
          <w:rFonts w:ascii="Consolas" w:hAnsi="Consolas"/>
          <w:color w:val="1F2A44"/>
          <w:sz w:val="17"/>
        </w:rPr>
        <w:br/>
        <w:t>}</w:t>
      </w:r>
    </w:p>
    <w:p w14:paraId="74A5D03D" w14:textId="77777777" w:rsidR="00F60946" w:rsidRDefault="00000000">
      <w:r>
        <w:rPr>
          <w:b/>
        </w:rPr>
        <w:t>Response (success):</w:t>
      </w:r>
    </w:p>
    <w:p w14:paraId="1832AF45" w14:textId="77777777" w:rsidR="00F60946"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170" w:right="170"/>
      </w:pPr>
      <w:r>
        <w:rPr>
          <w:rFonts w:ascii="Consolas" w:hAnsi="Consolas"/>
          <w:color w:val="1F2A44"/>
          <w:sz w:val="17"/>
        </w:rPr>
        <w:t>{</w:t>
      </w:r>
      <w:r>
        <w:rPr>
          <w:rFonts w:ascii="Consolas" w:hAnsi="Consolas"/>
          <w:color w:val="1F2A44"/>
          <w:sz w:val="17"/>
        </w:rPr>
        <w:br/>
        <w:t xml:space="preserve">  "policyId": "100001",</w:t>
      </w:r>
      <w:r>
        <w:rPr>
          <w:rFonts w:ascii="Consolas" w:hAnsi="Consolas"/>
          <w:color w:val="1F2A44"/>
          <w:sz w:val="17"/>
        </w:rPr>
        <w:br/>
        <w:t xml:space="preserve">  "policyHolderId": "1000011",</w:t>
      </w:r>
      <w:r>
        <w:rPr>
          <w:rFonts w:ascii="Consolas" w:hAnsi="Consolas"/>
          <w:color w:val="1F2A44"/>
          <w:sz w:val="17"/>
        </w:rPr>
        <w:br/>
        <w:t xml:space="preserve">  "dateOfService": "2016-04-21",</w:t>
      </w:r>
      <w:r>
        <w:rPr>
          <w:rFonts w:ascii="Consolas" w:hAnsi="Consolas"/>
          <w:color w:val="1F2A44"/>
          <w:sz w:val="17"/>
        </w:rPr>
        <w:br/>
        <w:t xml:space="preserve">  "coverageMainCategory": "Inpatient Hospital Care",</w:t>
      </w:r>
      <w:r>
        <w:rPr>
          <w:rFonts w:ascii="Consolas" w:hAnsi="Consolas"/>
          <w:color w:val="1F2A44"/>
          <w:sz w:val="17"/>
        </w:rPr>
        <w:br/>
        <w:t xml:space="preserve">  "coverageSubCategory": "ROOM AND BOARD",</w:t>
      </w:r>
      <w:r>
        <w:rPr>
          <w:rFonts w:ascii="Consolas" w:hAnsi="Consolas"/>
          <w:color w:val="1F2A44"/>
          <w:sz w:val="17"/>
        </w:rPr>
        <w:br/>
        <w:t xml:space="preserve">  "billedAmount": 1000.00,</w:t>
      </w:r>
      <w:r>
        <w:rPr>
          <w:rFonts w:ascii="Consolas" w:hAnsi="Consolas"/>
          <w:color w:val="1F2A44"/>
          <w:sz w:val="17"/>
        </w:rPr>
        <w:br/>
        <w:t xml:space="preserve">  "policyHolderPays": 1000.00,</w:t>
      </w:r>
      <w:r>
        <w:rPr>
          <w:rFonts w:ascii="Consolas" w:hAnsi="Consolas"/>
          <w:color w:val="1F2A44"/>
          <w:sz w:val="17"/>
        </w:rPr>
        <w:br/>
        <w:t xml:space="preserve">  "planPays": 0.00,</w:t>
      </w:r>
      <w:r>
        <w:rPr>
          <w:rFonts w:ascii="Consolas" w:hAnsi="Consolas"/>
          <w:color w:val="1F2A44"/>
          <w:sz w:val="17"/>
        </w:rPr>
        <w:br/>
        <w:t xml:space="preserve">  "ruleUsed": "40% AFTER DEDUCTIBLE",</w:t>
      </w:r>
      <w:r>
        <w:rPr>
          <w:rFonts w:ascii="Consolas" w:hAnsi="Consolas"/>
          <w:color w:val="1F2A44"/>
          <w:sz w:val="17"/>
        </w:rPr>
        <w:br/>
        <w:t xml:space="preserve">  "individualAccumulatedDeductible": 1000.00,</w:t>
      </w:r>
      <w:r>
        <w:rPr>
          <w:rFonts w:ascii="Consolas" w:hAnsi="Consolas"/>
          <w:color w:val="1F2A44"/>
          <w:sz w:val="17"/>
        </w:rPr>
        <w:br/>
        <w:t xml:space="preserve">  "familyAccumulatedDeductible": 1000.00,</w:t>
      </w:r>
      <w:r>
        <w:rPr>
          <w:rFonts w:ascii="Consolas" w:hAnsi="Consolas"/>
          <w:color w:val="1F2A44"/>
          <w:sz w:val="17"/>
        </w:rPr>
        <w:br/>
        <w:t xml:space="preserve">  "errorCode": null,</w:t>
      </w:r>
      <w:r>
        <w:rPr>
          <w:rFonts w:ascii="Consolas" w:hAnsi="Consolas"/>
          <w:color w:val="1F2A44"/>
          <w:sz w:val="17"/>
        </w:rPr>
        <w:br/>
        <w:t xml:space="preserve">  "errorMessage": null,</w:t>
      </w:r>
      <w:r>
        <w:rPr>
          <w:rFonts w:ascii="Consolas" w:hAnsi="Consolas"/>
          <w:color w:val="1F2A44"/>
          <w:sz w:val="17"/>
        </w:rPr>
        <w:br/>
        <w:t xml:space="preserve">  "processingMessage": "ANNUAL DEDUCTIBLE (INDIVIDUAL or FAMILY) not met, plan pays 0%"</w:t>
      </w:r>
      <w:r>
        <w:rPr>
          <w:rFonts w:ascii="Consolas" w:hAnsi="Consolas"/>
          <w:color w:val="1F2A44"/>
          <w:sz w:val="17"/>
        </w:rPr>
        <w:br/>
        <w:t>}</w:t>
      </w:r>
    </w:p>
    <w:p w14:paraId="6B7AAE53" w14:textId="77777777" w:rsidR="00F60946" w:rsidRDefault="00000000">
      <w:r>
        <w:rPr>
          <w:b/>
        </w:rPr>
        <w:t>Response (error):</w:t>
      </w:r>
    </w:p>
    <w:p w14:paraId="5C7E9233" w14:textId="77777777" w:rsidR="00F60946"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170" w:right="170"/>
      </w:pPr>
      <w:r>
        <w:rPr>
          <w:rFonts w:ascii="Consolas" w:hAnsi="Consolas"/>
          <w:color w:val="1F2A44"/>
          <w:sz w:val="17"/>
        </w:rPr>
        <w:t>{</w:t>
      </w:r>
      <w:r>
        <w:rPr>
          <w:rFonts w:ascii="Consolas" w:hAnsi="Consolas"/>
          <w:color w:val="1F2A44"/>
          <w:sz w:val="17"/>
        </w:rPr>
        <w:br/>
        <w:t xml:space="preserve">  "policyId": "100001",</w:t>
      </w:r>
      <w:r>
        <w:rPr>
          <w:rFonts w:ascii="Consolas" w:hAnsi="Consolas"/>
          <w:color w:val="1F2A44"/>
          <w:sz w:val="17"/>
        </w:rPr>
        <w:br/>
        <w:t xml:space="preserve">  "policyHolderId": "1000016",</w:t>
      </w:r>
      <w:r>
        <w:rPr>
          <w:rFonts w:ascii="Consolas" w:hAnsi="Consolas"/>
          <w:color w:val="1F2A44"/>
          <w:sz w:val="17"/>
        </w:rPr>
        <w:br/>
        <w:t xml:space="preserve">  "errorCode": "E0001",</w:t>
      </w:r>
      <w:r>
        <w:rPr>
          <w:rFonts w:ascii="Consolas" w:hAnsi="Consolas"/>
          <w:color w:val="1F2A44"/>
          <w:sz w:val="17"/>
        </w:rPr>
        <w:br/>
        <w:t xml:space="preserve">  "errorMessage": "Policy holder does not exist"</w:t>
      </w:r>
      <w:r>
        <w:rPr>
          <w:rFonts w:ascii="Consolas" w:hAnsi="Consolas"/>
          <w:color w:val="1F2A44"/>
          <w:sz w:val="17"/>
        </w:rPr>
        <w:br/>
        <w:t>}</w:t>
      </w:r>
    </w:p>
    <w:p w14:paraId="7EBB85AA" w14:textId="77777777" w:rsidR="00F60946" w:rsidRDefault="00000000">
      <w:pPr>
        <w:pStyle w:val="Heading3"/>
      </w:pPr>
      <w:r>
        <w:t>CLI</w:t>
      </w:r>
    </w:p>
    <w:p w14:paraId="7B03D479" w14:textId="77777777" w:rsidR="00F60946"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170" w:right="170"/>
      </w:pPr>
      <w:r>
        <w:rPr>
          <w:rFonts w:ascii="Consolas" w:hAnsi="Consolas"/>
          <w:color w:val="1F2A44"/>
          <w:sz w:val="17"/>
        </w:rPr>
        <w:t>java -jar claims-processor.jar batch input.csv output.csv</w:t>
      </w:r>
    </w:p>
    <w:p w14:paraId="5CFB20C3" w14:textId="77777777" w:rsidR="00F60946" w:rsidRDefault="00000000">
      <w:r>
        <w:t xml:space="preserve">Spring Boot's </w:t>
      </w:r>
      <w:r>
        <w:rPr>
          <w:rFonts w:ascii="Consolas" w:hAnsi="Consolas"/>
          <w:color w:val="B01040"/>
          <w:sz w:val="18"/>
        </w:rPr>
        <w:t>ApplicationRunner.run()</w:t>
      </w:r>
      <w:r>
        <w:t xml:space="preserve"> detects args[0]=="batch", bypasses the web server, processes the file, writes output, then exits.</w:t>
      </w:r>
    </w:p>
    <w:p w14:paraId="2924CDF4" w14:textId="77777777" w:rsidR="00F60946" w:rsidRDefault="00F60946">
      <w:pPr>
        <w:pBdr>
          <w:bottom w:val="single" w:sz="6" w:space="1" w:color="808080"/>
        </w:pBdr>
      </w:pPr>
    </w:p>
    <w:p w14:paraId="03FDDFD0" w14:textId="77777777" w:rsidR="00F60946" w:rsidRDefault="00000000">
      <w:r>
        <w:br w:type="page"/>
      </w:r>
    </w:p>
    <w:p w14:paraId="3D7FDDB1" w14:textId="77777777" w:rsidR="00F60946" w:rsidRDefault="00000000">
      <w:pPr>
        <w:pStyle w:val="Heading2"/>
      </w:pPr>
      <w:r>
        <w:lastRenderedPageBreak/>
        <w:t>6. Key Design Decisions &amp; Trade-offs</w:t>
      </w:r>
    </w:p>
    <w:p w14:paraId="6D68B2CE" w14:textId="77777777" w:rsidR="00F60946" w:rsidRDefault="00000000">
      <w:pPr>
        <w:pStyle w:val="Heading3"/>
      </w:pPr>
      <w:r>
        <w:t>6.1 In-memory data store (no database)</w:t>
      </w:r>
    </w:p>
    <w:p w14:paraId="64A06B11" w14:textId="77777777" w:rsidR="00F60946" w:rsidRDefault="00000000">
      <w:r>
        <w:rPr>
          <w:b/>
        </w:rPr>
        <w:t>Decision:</w:t>
      </w:r>
      <w:r>
        <w:t xml:space="preserve"> Load the Excel reference data into </w:t>
      </w:r>
      <w:r>
        <w:rPr>
          <w:rFonts w:ascii="Consolas" w:hAnsi="Consolas"/>
          <w:color w:val="B01040"/>
          <w:sz w:val="18"/>
        </w:rPr>
        <w:t>HashMap</w:t>
      </w:r>
      <w:r>
        <w:t>s on startup using Apache POI. No database.</w:t>
      </w:r>
    </w:p>
    <w:p w14:paraId="79384A1B" w14:textId="77777777" w:rsidR="00F60946" w:rsidRDefault="00000000">
      <w:r>
        <w:rPr>
          <w:b/>
        </w:rPr>
        <w:t>Why:</w:t>
      </w:r>
      <w:r>
        <w:t xml:space="preserve"> The reference data (3 plans, ~20 coverage rules, 10 policyholders) is tiny and read-only during a run. A database adds configuration complexity without benefit for this scope.</w:t>
      </w:r>
    </w:p>
    <w:p w14:paraId="7F7FF354" w14:textId="77777777" w:rsidR="00F60946" w:rsidRDefault="00000000">
      <w:r>
        <w:rPr>
          <w:b/>
        </w:rPr>
        <w:t>Trade-off:</w:t>
      </w:r>
      <w:r>
        <w:t xml:space="preserve"> In production at 700k claims/day, reference data would live in:</w:t>
      </w:r>
    </w:p>
    <w:p w14:paraId="6AA6D1BA" w14:textId="77777777" w:rsidR="00F60946" w:rsidRDefault="00000000">
      <w:pPr>
        <w:pStyle w:val="ListBullet"/>
      </w:pPr>
      <w:r>
        <w:t>A relational DB (Oracle, as the company uses) for plan/coverage master data</w:t>
      </w:r>
    </w:p>
    <w:p w14:paraId="1CC8C249" w14:textId="77777777" w:rsidR="00F60946" w:rsidRDefault="00000000">
      <w:pPr>
        <w:pStyle w:val="ListBullet"/>
      </w:pPr>
      <w:r>
        <w:t>Redis for YTD deductible state (hot path, sub-millisecond reads)</w:t>
      </w:r>
    </w:p>
    <w:p w14:paraId="5CD22BB5" w14:textId="77777777" w:rsidR="00F60946" w:rsidRDefault="00000000">
      <w:pPr>
        <w:pStyle w:val="ListBullet"/>
      </w:pPr>
      <w:r>
        <w:t>A claims DB for transaction persistence</w:t>
      </w:r>
    </w:p>
    <w:p w14:paraId="05E399A5" w14:textId="77777777" w:rsidR="00F60946" w:rsidRDefault="00000000">
      <w:pPr>
        <w:pStyle w:val="Heading3"/>
      </w:pPr>
      <w:r>
        <w:t>6.2 Records for domain model (Java 16+)</w:t>
      </w:r>
    </w:p>
    <w:p w14:paraId="078A0F15" w14:textId="77777777" w:rsidR="00F60946" w:rsidRDefault="00000000">
      <w:r>
        <w:rPr>
          <w:b/>
        </w:rPr>
        <w:t>Decision:</w:t>
      </w:r>
      <w:r>
        <w:t xml:space="preserve"> Use Java </w:t>
      </w:r>
      <w:r>
        <w:rPr>
          <w:rFonts w:ascii="Consolas" w:hAnsi="Consolas"/>
          <w:color w:val="B01040"/>
          <w:sz w:val="18"/>
        </w:rPr>
        <w:t>record</w:t>
      </w:r>
      <w:r>
        <w:t xml:space="preserve"> for </w:t>
      </w:r>
      <w:r>
        <w:rPr>
          <w:rFonts w:ascii="Consolas" w:hAnsi="Consolas"/>
          <w:color w:val="B01040"/>
          <w:sz w:val="18"/>
        </w:rPr>
        <w:t>ClaimRequest</w:t>
      </w:r>
      <w:r>
        <w:t xml:space="preserve">, </w:t>
      </w:r>
      <w:r>
        <w:rPr>
          <w:rFonts w:ascii="Consolas" w:hAnsi="Consolas"/>
          <w:color w:val="B01040"/>
          <w:sz w:val="18"/>
        </w:rPr>
        <w:t>ClaimResult</w:t>
      </w:r>
      <w:r>
        <w:t xml:space="preserve">, </w:t>
      </w:r>
      <w:r>
        <w:rPr>
          <w:rFonts w:ascii="Consolas" w:hAnsi="Consolas"/>
          <w:color w:val="B01040"/>
          <w:sz w:val="18"/>
        </w:rPr>
        <w:t>Plan</w:t>
      </w:r>
      <w:r>
        <w:t xml:space="preserve">, </w:t>
      </w:r>
      <w:r>
        <w:rPr>
          <w:rFonts w:ascii="Consolas" w:hAnsi="Consolas"/>
          <w:color w:val="B01040"/>
          <w:sz w:val="18"/>
        </w:rPr>
        <w:t>PolicyHolder</w:t>
      </w:r>
      <w:r>
        <w:t>.</w:t>
      </w:r>
    </w:p>
    <w:p w14:paraId="56715EB0" w14:textId="77777777" w:rsidR="00F60946" w:rsidRDefault="00000000">
      <w:r>
        <w:rPr>
          <w:b/>
        </w:rPr>
        <w:t>Why:</w:t>
      </w:r>
      <w:r>
        <w:t xml:space="preserve"> Immutability by default, zero boilerplate, IDE-friendly. Java 23 fully supports records.</w:t>
      </w:r>
    </w:p>
    <w:p w14:paraId="564A5968" w14:textId="77777777" w:rsidR="00F60946" w:rsidRDefault="00000000">
      <w:pPr>
        <w:pStyle w:val="Heading3"/>
      </w:pPr>
      <w:r>
        <w:t>6.3 Strategy pattern for coverage rules</w:t>
      </w:r>
    </w:p>
    <w:p w14:paraId="7D54D1F4" w14:textId="77777777" w:rsidR="00F60946" w:rsidRDefault="00000000">
      <w:r>
        <w:rPr>
          <w:b/>
        </w:rPr>
        <w:t>Decision:</w:t>
      </w:r>
      <w:r>
        <w:t xml:space="preserve"> </w:t>
      </w:r>
      <w:r>
        <w:rPr>
          <w:rFonts w:ascii="Consolas" w:hAnsi="Consolas"/>
          <w:color w:val="B01040"/>
          <w:sz w:val="18"/>
        </w:rPr>
        <w:t>CoverageRule</w:t>
      </w:r>
      <w:r>
        <w:t xml:space="preserve"> interface with </w:t>
      </w:r>
      <w:r>
        <w:rPr>
          <w:rFonts w:ascii="Consolas" w:hAnsi="Consolas"/>
          <w:color w:val="B01040"/>
          <w:sz w:val="18"/>
        </w:rPr>
        <w:t>PercentageRule</w:t>
      </w:r>
      <w:r>
        <w:t xml:space="preserve">, </w:t>
      </w:r>
      <w:r>
        <w:rPr>
          <w:rFonts w:ascii="Consolas" w:hAnsi="Consolas"/>
          <w:color w:val="B01040"/>
          <w:sz w:val="18"/>
        </w:rPr>
        <w:t>NoChargeRule</w:t>
      </w:r>
      <w:r>
        <w:t xml:space="preserve">, </w:t>
      </w:r>
      <w:r>
        <w:rPr>
          <w:rFonts w:ascii="Consolas" w:hAnsi="Consolas"/>
          <w:color w:val="B01040"/>
          <w:sz w:val="18"/>
        </w:rPr>
        <w:t>FlatDollarRule</w:t>
      </w:r>
      <w:r>
        <w:t xml:space="preserve"> implementations.</w:t>
      </w:r>
    </w:p>
    <w:p w14:paraId="3A07826A" w14:textId="77777777" w:rsidR="00F60946" w:rsidRDefault="00000000">
      <w:r>
        <w:rPr>
          <w:b/>
        </w:rPr>
        <w:t>Why:</w:t>
      </w:r>
      <w:r>
        <w:t xml:space="preserve"> The rule type is determined once at parse time. Adding a new rule type in future (e.g., a co-pay rule) requires only a new implementation class, not changes to the engine. Open/closed principle.</w:t>
      </w:r>
    </w:p>
    <w:p w14:paraId="4D22F140" w14:textId="77777777" w:rsidR="00F60946" w:rsidRDefault="00000000">
      <w:pPr>
        <w:pStyle w:val="Heading3"/>
      </w:pPr>
      <w:r>
        <w:t>6.4 BigDecimal for all money</w:t>
      </w:r>
    </w:p>
    <w:p w14:paraId="508E0ECC" w14:textId="77777777" w:rsidR="00F60946" w:rsidRDefault="00000000">
      <w:r>
        <w:rPr>
          <w:b/>
        </w:rPr>
        <w:t>Decision:</w:t>
      </w:r>
      <w:r>
        <w:t xml:space="preserve"> </w:t>
      </w:r>
      <w:r>
        <w:rPr>
          <w:rFonts w:ascii="Consolas" w:hAnsi="Consolas"/>
          <w:color w:val="B01040"/>
          <w:sz w:val="18"/>
        </w:rPr>
        <w:t>BigDecimal</w:t>
      </w:r>
      <w:r>
        <w:t xml:space="preserve"> throughout, scale=2, </w:t>
      </w:r>
      <w:r>
        <w:rPr>
          <w:rFonts w:ascii="Consolas" w:hAnsi="Consolas"/>
          <w:color w:val="B01040"/>
          <w:sz w:val="18"/>
        </w:rPr>
        <w:t>RoundingMode.HALF_UP</w:t>
      </w:r>
      <w:r>
        <w:t>.</w:t>
      </w:r>
    </w:p>
    <w:p w14:paraId="74DA8D2F" w14:textId="77777777" w:rsidR="00F60946" w:rsidRDefault="00000000">
      <w:r>
        <w:rPr>
          <w:b/>
        </w:rPr>
        <w:t>Why:</w:t>
      </w:r>
      <w:r>
        <w:t xml:space="preserve"> </w:t>
      </w:r>
      <w:r>
        <w:rPr>
          <w:rFonts w:ascii="Consolas" w:hAnsi="Consolas"/>
          <w:color w:val="B01040"/>
          <w:sz w:val="18"/>
        </w:rPr>
        <w:t>double</w:t>
      </w:r>
      <w:r>
        <w:t xml:space="preserve"> arithmetic on financial amounts causes precision errors (e.g., $0.1 + $0.2 ≠ $0.3). BigDecimal is the industry standard for financial calculations.</w:t>
      </w:r>
    </w:p>
    <w:p w14:paraId="7F67458C" w14:textId="77777777" w:rsidR="00F60946" w:rsidRDefault="00000000">
      <w:pPr>
        <w:pStyle w:val="Heading3"/>
      </w:pPr>
      <w:r>
        <w:t>6.5 DeductibleStateStore as a separate injectable component</w:t>
      </w:r>
    </w:p>
    <w:p w14:paraId="37E40744" w14:textId="77777777" w:rsidR="00F60946" w:rsidRDefault="00000000">
      <w:r>
        <w:rPr>
          <w:b/>
        </w:rPr>
        <w:t>Decision:</w:t>
      </w:r>
      <w:r>
        <w:t xml:space="preserve"> The running deductible state is in a dedicated </w:t>
      </w:r>
      <w:r>
        <w:rPr>
          <w:rFonts w:ascii="Consolas" w:hAnsi="Consolas"/>
          <w:color w:val="B01040"/>
          <w:sz w:val="18"/>
        </w:rPr>
        <w:t>DeductibleStateStore</w:t>
      </w:r>
      <w:r>
        <w:t xml:space="preserve"> class, not embedded in </w:t>
      </w:r>
      <w:r>
        <w:rPr>
          <w:rFonts w:ascii="Consolas" w:hAnsi="Consolas"/>
          <w:color w:val="B01040"/>
          <w:sz w:val="18"/>
        </w:rPr>
        <w:t>PolicyRepository</w:t>
      </w:r>
      <w:r>
        <w:t>.</w:t>
      </w:r>
    </w:p>
    <w:p w14:paraId="41F79BD6" w14:textId="77777777" w:rsidR="00F60946" w:rsidRDefault="00000000">
      <w:r>
        <w:rPr>
          <w:b/>
        </w:rPr>
        <w:t>Why:</w:t>
      </w:r>
    </w:p>
    <w:p w14:paraId="53223C4E" w14:textId="77777777" w:rsidR="00F60946" w:rsidRDefault="00000000">
      <w:pPr>
        <w:pStyle w:val="ListBullet"/>
      </w:pPr>
      <w:r>
        <w:t>Batch mode: one store is created per run and mutated sequentially</w:t>
      </w:r>
    </w:p>
    <w:p w14:paraId="637054D3" w14:textId="77777777" w:rsidR="00F60946" w:rsidRDefault="00000000">
      <w:pPr>
        <w:pStyle w:val="ListBullet"/>
      </w:pPr>
      <w:r>
        <w:t>REST mode: caller passes deductible values; the store is seeded with those values and is not persisted</w:t>
      </w:r>
    </w:p>
    <w:p w14:paraId="67731058" w14:textId="77777777" w:rsidR="00F60946" w:rsidRDefault="00000000">
      <w:pPr>
        <w:pStyle w:val="ListBullet"/>
      </w:pPr>
      <w:r>
        <w:t>Unit tests can inject a pre-populated or empty store without touching the repository</w:t>
      </w:r>
    </w:p>
    <w:p w14:paraId="4446FD2D" w14:textId="77777777" w:rsidR="00F60946" w:rsidRDefault="00000000">
      <w:pPr>
        <w:pStyle w:val="Heading3"/>
      </w:pPr>
      <w:r>
        <w:t>6.6 ApplicationRunner for CLI mode</w:t>
      </w:r>
    </w:p>
    <w:p w14:paraId="726B6ED4" w14:textId="77777777" w:rsidR="00F60946" w:rsidRDefault="00000000">
      <w:r>
        <w:rPr>
          <w:b/>
        </w:rPr>
        <w:t>Decision:</w:t>
      </w:r>
      <w:r>
        <w:t xml:space="preserve"> Implement </w:t>
      </w:r>
      <w:r>
        <w:rPr>
          <w:rFonts w:ascii="Consolas" w:hAnsi="Consolas"/>
          <w:color w:val="B01040"/>
          <w:sz w:val="18"/>
        </w:rPr>
        <w:t>ApplicationRunner</w:t>
      </w:r>
      <w:r>
        <w:t>. If args contain "batch", run batch and exit. Otherwise, start as a web server.</w:t>
      </w:r>
    </w:p>
    <w:p w14:paraId="1E879FCC" w14:textId="77777777" w:rsidR="00F60946" w:rsidRDefault="00000000">
      <w:r>
        <w:rPr>
          <w:b/>
        </w:rPr>
        <w:t>Why:</w:t>
      </w:r>
      <w:r>
        <w:t xml:space="preserve"> Single JAR, single deployable artifact, two modes. No need for a separate CLI module or entry point.</w:t>
      </w:r>
    </w:p>
    <w:p w14:paraId="540A146C" w14:textId="77777777" w:rsidR="00F60946" w:rsidRDefault="00000000">
      <w:pPr>
        <w:pStyle w:val="Heading3"/>
      </w:pPr>
      <w:r>
        <w:t xml:space="preserve">6.8 Servlet context root: </w:t>
      </w:r>
      <w:r>
        <w:rPr>
          <w:rFonts w:ascii="Consolas" w:hAnsi="Consolas"/>
          <w:color w:val="B01040"/>
          <w:sz w:val="18"/>
        </w:rPr>
        <w:t>/claims-svc</w:t>
      </w:r>
    </w:p>
    <w:p w14:paraId="21BE5FBC" w14:textId="77777777" w:rsidR="00F60946" w:rsidRDefault="00000000">
      <w:r>
        <w:rPr>
          <w:b/>
        </w:rPr>
        <w:t>Decision:</w:t>
      </w:r>
      <w:r>
        <w:t xml:space="preserve"> All HTTP traffic (REST, GUI, actuator, swagger) is served under </w:t>
      </w:r>
      <w:r>
        <w:rPr>
          <w:rFonts w:ascii="Consolas" w:hAnsi="Consolas"/>
          <w:color w:val="B01040"/>
          <w:sz w:val="18"/>
        </w:rPr>
        <w:t>server.servlet.context-path: /claims-svc</w:t>
      </w:r>
      <w:r>
        <w:t>.</w:t>
      </w:r>
    </w:p>
    <w:p w14:paraId="1F6B6360" w14:textId="77777777" w:rsidR="00F60946" w:rsidRDefault="00000000">
      <w:r>
        <w:rPr>
          <w:b/>
        </w:rPr>
        <w:lastRenderedPageBreak/>
        <w:t>Why:</w:t>
      </w:r>
    </w:p>
    <w:p w14:paraId="75D01690" w14:textId="77777777" w:rsidR="00F60946" w:rsidRDefault="00000000">
      <w:pPr>
        <w:pStyle w:val="ListBullet"/>
      </w:pPr>
      <w:r>
        <w:t>In production this service lives behind an ingress (Azure App Gateway / APIM, AWS ALB, NGINX). Multiple Spring Boot microservices share the same host; a per-service context root removes path collisions.</w:t>
      </w:r>
    </w:p>
    <w:p w14:paraId="4AFE9776" w14:textId="77777777" w:rsidR="00F60946" w:rsidRDefault="00000000">
      <w:pPr>
        <w:pStyle w:val="ListBullet"/>
      </w:pPr>
      <w:r>
        <w:t>Audit / log scraping per-app is easier (</w:t>
      </w:r>
      <w:r>
        <w:rPr>
          <w:rFonts w:ascii="Consolas" w:hAnsi="Consolas"/>
          <w:color w:val="B01040"/>
          <w:sz w:val="18"/>
        </w:rPr>
        <w:t>request_uri =~ ^/claims-svc/</w:t>
      </w:r>
      <w:r>
        <w:t>).</w:t>
      </w:r>
    </w:p>
    <w:p w14:paraId="24055B2B" w14:textId="77777777" w:rsidR="00F60946" w:rsidRDefault="00000000">
      <w:pPr>
        <w:pStyle w:val="ListBullet"/>
      </w:pPr>
      <w:r>
        <w:t xml:space="preserve">The REST URI already uses </w:t>
      </w:r>
      <w:r>
        <w:rPr>
          <w:rFonts w:ascii="Consolas" w:hAnsi="Consolas"/>
          <w:color w:val="B01040"/>
          <w:sz w:val="18"/>
        </w:rPr>
        <w:t>/api/v1/claims</w:t>
      </w:r>
      <w:r>
        <w:t xml:space="preserve"> for versioning, so a different word (</w:t>
      </w:r>
      <w:r>
        <w:rPr>
          <w:rFonts w:ascii="Consolas" w:hAnsi="Consolas"/>
          <w:color w:val="B01040"/>
          <w:sz w:val="18"/>
        </w:rPr>
        <w:t>claims-svc</w:t>
      </w:r>
      <w:r>
        <w:t xml:space="preserve">) for the context root avoids the redundant-looking </w:t>
      </w:r>
      <w:r>
        <w:rPr>
          <w:rFonts w:ascii="Consolas" w:hAnsi="Consolas"/>
          <w:color w:val="B01040"/>
          <w:sz w:val="18"/>
        </w:rPr>
        <w:t>/claims/api/v1/claims/...</w:t>
      </w:r>
      <w:r>
        <w:t>.</w:t>
      </w:r>
    </w:p>
    <w:p w14:paraId="7C87372A" w14:textId="77777777" w:rsidR="00F60946" w:rsidRDefault="00000000">
      <w:r>
        <w:rPr>
          <w:b/>
        </w:rPr>
        <w:t>Trade-off:</w:t>
      </w:r>
      <w:r>
        <w:t xml:space="preserve"> Slightly longer URLs in dev; one extra config line every client must know. Mitigation: documented in README, Postman, curl scripts, Angular service constant, OpenAPI server URL.</w:t>
      </w:r>
    </w:p>
    <w:p w14:paraId="6A5C4F73" w14:textId="77777777" w:rsidR="00F60946" w:rsidRDefault="00F60946">
      <w:pPr>
        <w:pBdr>
          <w:bottom w:val="single" w:sz="6" w:space="1" w:color="808080"/>
        </w:pBdr>
      </w:pPr>
    </w:p>
    <w:p w14:paraId="7260DF18" w14:textId="77777777" w:rsidR="00F60946" w:rsidRDefault="00000000">
      <w:r>
        <w:br w:type="page"/>
      </w:r>
    </w:p>
    <w:p w14:paraId="095B8047" w14:textId="77777777" w:rsidR="00F60946" w:rsidRDefault="00000000">
      <w:pPr>
        <w:pStyle w:val="Heading2"/>
      </w:pPr>
      <w:r>
        <w:lastRenderedPageBreak/>
        <w:t>7. Patterns Used</w:t>
      </w:r>
    </w:p>
    <w:tbl>
      <w:tblPr>
        <w:tblStyle w:val="LightGrid-Accent1"/>
        <w:tblW w:w="0" w:type="auto"/>
        <w:tblLook w:val="04A0" w:firstRow="1" w:lastRow="0" w:firstColumn="1" w:lastColumn="0" w:noHBand="0" w:noVBand="1"/>
      </w:tblPr>
      <w:tblGrid>
        <w:gridCol w:w="2944"/>
        <w:gridCol w:w="3977"/>
        <w:gridCol w:w="2943"/>
      </w:tblGrid>
      <w:tr w:rsidR="00F60946" w14:paraId="2C1CBF9E" w14:textId="77777777" w:rsidTr="00F609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1F4E79"/>
          </w:tcPr>
          <w:p w14:paraId="1654CE48" w14:textId="77777777" w:rsidR="00F60946" w:rsidRDefault="00000000">
            <w:r>
              <w:rPr>
                <w:color w:val="FFFFFF"/>
                <w:sz w:val="20"/>
              </w:rPr>
              <w:t>Pattern</w:t>
            </w:r>
          </w:p>
        </w:tc>
        <w:tc>
          <w:tcPr>
            <w:tcW w:w="3216" w:type="dxa"/>
            <w:shd w:val="clear" w:color="auto" w:fill="1F4E79"/>
          </w:tcPr>
          <w:p w14:paraId="4E7A5342" w14:textId="77777777" w:rsidR="00F6094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Where</w:t>
            </w:r>
          </w:p>
        </w:tc>
        <w:tc>
          <w:tcPr>
            <w:tcW w:w="3216" w:type="dxa"/>
            <w:shd w:val="clear" w:color="auto" w:fill="1F4E79"/>
          </w:tcPr>
          <w:p w14:paraId="45D8E02C" w14:textId="77777777" w:rsidR="00F6094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Why</w:t>
            </w:r>
          </w:p>
        </w:tc>
      </w:tr>
      <w:tr w:rsidR="00F60946" w14:paraId="5D7B124B"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5EFDCC0" w14:textId="77777777" w:rsidR="00F60946" w:rsidRDefault="00000000">
            <w:r>
              <w:rPr>
                <w:sz w:val="19"/>
              </w:rPr>
              <w:t>Strategy</w:t>
            </w:r>
          </w:p>
        </w:tc>
        <w:tc>
          <w:tcPr>
            <w:tcW w:w="3216" w:type="dxa"/>
          </w:tcPr>
          <w:p w14:paraId="3DF48F1C"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B01040"/>
                <w:sz w:val="19"/>
              </w:rPr>
              <w:t>CoverageRule</w:t>
            </w:r>
            <w:r>
              <w:rPr>
                <w:sz w:val="19"/>
              </w:rPr>
              <w:t xml:space="preserve"> ↦ </w:t>
            </w:r>
            <w:r>
              <w:rPr>
                <w:rFonts w:ascii="Consolas" w:hAnsi="Consolas"/>
                <w:color w:val="B01040"/>
                <w:sz w:val="19"/>
              </w:rPr>
              <w:t>PercentageRule</w:t>
            </w:r>
            <w:r>
              <w:rPr>
                <w:sz w:val="19"/>
              </w:rPr>
              <w:t xml:space="preserve">, </w:t>
            </w:r>
            <w:r>
              <w:rPr>
                <w:rFonts w:ascii="Consolas" w:hAnsi="Consolas"/>
                <w:color w:val="B01040"/>
                <w:sz w:val="19"/>
              </w:rPr>
              <w:t>NoChargeRule</w:t>
            </w:r>
            <w:r>
              <w:rPr>
                <w:sz w:val="19"/>
              </w:rPr>
              <w:t xml:space="preserve">, </w:t>
            </w:r>
            <w:r>
              <w:rPr>
                <w:rFonts w:ascii="Consolas" w:hAnsi="Consolas"/>
                <w:color w:val="B01040"/>
                <w:sz w:val="19"/>
              </w:rPr>
              <w:t>FlatDollarRule</w:t>
            </w:r>
          </w:p>
        </w:tc>
        <w:tc>
          <w:tcPr>
            <w:tcW w:w="3216" w:type="dxa"/>
          </w:tcPr>
          <w:p w14:paraId="6A230B72"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Adding a new coverage type = new class, no engine change (OCP)</w:t>
            </w:r>
          </w:p>
        </w:tc>
      </w:tr>
      <w:tr w:rsidR="00F60946" w14:paraId="5C61A140"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5579A714" w14:textId="77777777" w:rsidR="00F60946" w:rsidRDefault="00000000">
            <w:r>
              <w:rPr>
                <w:sz w:val="19"/>
              </w:rPr>
              <w:t>Factory</w:t>
            </w:r>
          </w:p>
        </w:tc>
        <w:tc>
          <w:tcPr>
            <w:tcW w:w="3216" w:type="dxa"/>
            <w:shd w:val="clear" w:color="auto" w:fill="F2F7FC"/>
          </w:tcPr>
          <w:p w14:paraId="370B9052"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B01040"/>
                <w:sz w:val="19"/>
              </w:rPr>
              <w:t>CoverageRuleParser.parse(String)</w:t>
            </w:r>
          </w:p>
        </w:tc>
        <w:tc>
          <w:tcPr>
            <w:tcW w:w="3216" w:type="dxa"/>
            <w:shd w:val="clear" w:color="auto" w:fill="F2F7FC"/>
          </w:tcPr>
          <w:p w14:paraId="51AC5C66"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Hides the if/else that picks the right strategy from caller</w:t>
            </w:r>
          </w:p>
        </w:tc>
      </w:tr>
      <w:tr w:rsidR="00F60946" w14:paraId="6B86380E"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873F92E" w14:textId="77777777" w:rsidR="00F60946" w:rsidRDefault="00000000">
            <w:r>
              <w:rPr>
                <w:sz w:val="19"/>
              </w:rPr>
              <w:t>Repository / DAO</w:t>
            </w:r>
          </w:p>
        </w:tc>
        <w:tc>
          <w:tcPr>
            <w:tcW w:w="3216" w:type="dxa"/>
          </w:tcPr>
          <w:p w14:paraId="042B26E4"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B01040"/>
                <w:sz w:val="19"/>
              </w:rPr>
              <w:t>PolicyRepository</w:t>
            </w:r>
            <w:r>
              <w:rPr>
                <w:sz w:val="19"/>
              </w:rPr>
              <w:t xml:space="preserve">, </w:t>
            </w:r>
            <w:r>
              <w:rPr>
                <w:rFonts w:ascii="Consolas" w:hAnsi="Consolas"/>
                <w:color w:val="B01040"/>
                <w:sz w:val="19"/>
              </w:rPr>
              <w:t>PlanRepository</w:t>
            </w:r>
            <w:r>
              <w:rPr>
                <w:sz w:val="19"/>
              </w:rPr>
              <w:t xml:space="preserve">, </w:t>
            </w:r>
            <w:r>
              <w:rPr>
                <w:rFonts w:ascii="Consolas" w:hAnsi="Consolas"/>
                <w:color w:val="B01040"/>
                <w:sz w:val="19"/>
              </w:rPr>
              <w:t>DeductibleService</w:t>
            </w:r>
            <w:r>
              <w:rPr>
                <w:sz w:val="19"/>
              </w:rPr>
              <w:t xml:space="preserve"> interfaces with </w:t>
            </w:r>
            <w:r>
              <w:rPr>
                <w:rFonts w:ascii="Consolas" w:hAnsi="Consolas"/>
                <w:color w:val="B01040"/>
                <w:sz w:val="19"/>
              </w:rPr>
              <w:t>InMemory*</w:t>
            </w:r>
            <w:r>
              <w:rPr>
                <w:sz w:val="19"/>
              </w:rPr>
              <w:t xml:space="preserve">, </w:t>
            </w:r>
            <w:r>
              <w:rPr>
                <w:rFonts w:ascii="Consolas" w:hAnsi="Consolas"/>
                <w:color w:val="B01040"/>
                <w:sz w:val="19"/>
              </w:rPr>
              <w:t>Oracle*</w:t>
            </w:r>
            <w:r>
              <w:rPr>
                <w:sz w:val="19"/>
              </w:rPr>
              <w:t xml:space="preserve">, </w:t>
            </w:r>
            <w:r>
              <w:rPr>
                <w:rFonts w:ascii="Consolas" w:hAnsi="Consolas"/>
                <w:color w:val="B01040"/>
                <w:sz w:val="19"/>
              </w:rPr>
              <w:t>Mongo*</w:t>
            </w:r>
            <w:r>
              <w:rPr>
                <w:sz w:val="19"/>
              </w:rPr>
              <w:t xml:space="preserve">, </w:t>
            </w:r>
            <w:r>
              <w:rPr>
                <w:rFonts w:ascii="Consolas" w:hAnsi="Consolas"/>
                <w:color w:val="B01040"/>
                <w:sz w:val="19"/>
              </w:rPr>
              <w:t>Redis*</w:t>
            </w:r>
            <w:r>
              <w:rPr>
                <w:sz w:val="19"/>
              </w:rPr>
              <w:t xml:space="preserve"> impls</w:t>
            </w:r>
          </w:p>
        </w:tc>
        <w:tc>
          <w:tcPr>
            <w:tcW w:w="3216" w:type="dxa"/>
          </w:tcPr>
          <w:p w14:paraId="067FAFC1"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Lets the engine stay storage-agnostic; today in-memory, tomorrow Oracle + Redis</w:t>
            </w:r>
          </w:p>
        </w:tc>
      </w:tr>
      <w:tr w:rsidR="00F60946" w14:paraId="7FC230F3"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17217317" w14:textId="77777777" w:rsidR="00F60946" w:rsidRDefault="00000000">
            <w:r>
              <w:rPr>
                <w:sz w:val="19"/>
              </w:rPr>
              <w:t>Dependency Injection</w:t>
            </w:r>
          </w:p>
        </w:tc>
        <w:tc>
          <w:tcPr>
            <w:tcW w:w="3216" w:type="dxa"/>
            <w:shd w:val="clear" w:color="auto" w:fill="F2F7FC"/>
          </w:tcPr>
          <w:p w14:paraId="7948F286"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All Spring </w:t>
            </w:r>
            <w:r>
              <w:rPr>
                <w:rFonts w:ascii="Consolas" w:hAnsi="Consolas"/>
                <w:color w:val="B01040"/>
                <w:sz w:val="19"/>
              </w:rPr>
              <w:t>@Component</w:t>
            </w:r>
            <w:r>
              <w:rPr>
                <w:sz w:val="19"/>
              </w:rPr>
              <w:t>/</w:t>
            </w:r>
            <w:r>
              <w:rPr>
                <w:rFonts w:ascii="Consolas" w:hAnsi="Consolas"/>
                <w:color w:val="B01040"/>
                <w:sz w:val="19"/>
              </w:rPr>
              <w:t>@Service</w:t>
            </w:r>
            <w:r>
              <w:rPr>
                <w:sz w:val="19"/>
              </w:rPr>
              <w:t xml:space="preserve"> wiring with constructor injection (</w:t>
            </w:r>
            <w:r>
              <w:rPr>
                <w:rFonts w:ascii="Consolas" w:hAnsi="Consolas"/>
                <w:color w:val="B01040"/>
                <w:sz w:val="19"/>
              </w:rPr>
              <w:t>@RequiredArgsConstructor</w:t>
            </w:r>
            <w:r>
              <w:rPr>
                <w:sz w:val="19"/>
              </w:rPr>
              <w:t xml:space="preserve"> via Lombok)</w:t>
            </w:r>
          </w:p>
        </w:tc>
        <w:tc>
          <w:tcPr>
            <w:tcW w:w="3216" w:type="dxa"/>
            <w:shd w:val="clear" w:color="auto" w:fill="F2F7FC"/>
          </w:tcPr>
          <w:p w14:paraId="7E8CEF38"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Testability, no </w:t>
            </w:r>
            <w:r>
              <w:rPr>
                <w:rFonts w:ascii="Consolas" w:hAnsi="Consolas"/>
                <w:color w:val="B01040"/>
                <w:sz w:val="19"/>
              </w:rPr>
              <w:t>new</w:t>
            </w:r>
            <w:r>
              <w:rPr>
                <w:sz w:val="19"/>
              </w:rPr>
              <w:t xml:space="preserve"> in business code</w:t>
            </w:r>
          </w:p>
        </w:tc>
      </w:tr>
      <w:tr w:rsidR="00F60946" w14:paraId="1405AD9F"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7DCD2FC" w14:textId="77777777" w:rsidR="00F60946" w:rsidRDefault="00000000">
            <w:r>
              <w:rPr>
                <w:sz w:val="19"/>
              </w:rPr>
              <w:t>Template Method</w:t>
            </w:r>
          </w:p>
        </w:tc>
        <w:tc>
          <w:tcPr>
            <w:tcW w:w="3216" w:type="dxa"/>
          </w:tcPr>
          <w:p w14:paraId="4D96FF5D"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B01040"/>
                <w:sz w:val="19"/>
              </w:rPr>
              <w:t>AbstractCoverageRule</w:t>
            </w:r>
            <w:r>
              <w:rPr>
                <w:sz w:val="19"/>
              </w:rPr>
              <w:t xml:space="preserve"> (BigDecimal scale + rounding helper)</w:t>
            </w:r>
          </w:p>
        </w:tc>
        <w:tc>
          <w:tcPr>
            <w:tcW w:w="3216" w:type="dxa"/>
          </w:tcPr>
          <w:p w14:paraId="34CF6941"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DRY for monetary math</w:t>
            </w:r>
          </w:p>
        </w:tc>
      </w:tr>
      <w:tr w:rsidR="00F60946" w14:paraId="4FEF4257"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38E2596B" w14:textId="77777777" w:rsidR="00F60946" w:rsidRDefault="00000000">
            <w:r>
              <w:rPr>
                <w:sz w:val="19"/>
              </w:rPr>
              <w:t>Builder</w:t>
            </w:r>
          </w:p>
        </w:tc>
        <w:tc>
          <w:tcPr>
            <w:tcW w:w="3216" w:type="dxa"/>
            <w:shd w:val="clear" w:color="auto" w:fill="F2F7FC"/>
          </w:tcPr>
          <w:p w14:paraId="5E8D4199"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B01040"/>
                <w:sz w:val="19"/>
              </w:rPr>
              <w:t>ClaimResult</w:t>
            </w:r>
            <w:r>
              <w:rPr>
                <w:sz w:val="19"/>
              </w:rPr>
              <w:t xml:space="preserve"> record's static factories (</w:t>
            </w:r>
            <w:r>
              <w:rPr>
                <w:rFonts w:ascii="Consolas" w:hAnsi="Consolas"/>
                <w:color w:val="B01040"/>
                <w:sz w:val="19"/>
              </w:rPr>
              <w:t>ok(...)</w:t>
            </w:r>
            <w:r>
              <w:rPr>
                <w:sz w:val="19"/>
              </w:rPr>
              <w:t xml:space="preserve">, </w:t>
            </w:r>
            <w:r>
              <w:rPr>
                <w:rFonts w:ascii="Consolas" w:hAnsi="Consolas"/>
                <w:color w:val="B01040"/>
                <w:sz w:val="19"/>
              </w:rPr>
              <w:t>error(...)</w:t>
            </w:r>
            <w:r>
              <w:rPr>
                <w:sz w:val="19"/>
              </w:rPr>
              <w:t>)</w:t>
            </w:r>
          </w:p>
        </w:tc>
        <w:tc>
          <w:tcPr>
            <w:tcW w:w="3216" w:type="dxa"/>
            <w:shd w:val="clear" w:color="auto" w:fill="F2F7FC"/>
          </w:tcPr>
          <w:p w14:paraId="6C1A81B7"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Readable construction of immutable results</w:t>
            </w:r>
          </w:p>
        </w:tc>
      </w:tr>
      <w:tr w:rsidR="00F60946" w14:paraId="186EBDB0"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8D0DCFF" w14:textId="77777777" w:rsidR="00F60946" w:rsidRDefault="00000000">
            <w:r>
              <w:rPr>
                <w:sz w:val="19"/>
              </w:rPr>
              <w:t>Adapter</w:t>
            </w:r>
          </w:p>
        </w:tc>
        <w:tc>
          <w:tcPr>
            <w:tcW w:w="3216" w:type="dxa"/>
          </w:tcPr>
          <w:p w14:paraId="6FBAF0DC"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B01040"/>
                <w:sz w:val="19"/>
              </w:rPr>
              <w:t>CsvClaimParser</w:t>
            </w:r>
            <w:r>
              <w:rPr>
                <w:sz w:val="19"/>
              </w:rPr>
              <w:t xml:space="preserve"> adapts CSV row → </w:t>
            </w:r>
            <w:r>
              <w:rPr>
                <w:rFonts w:ascii="Consolas" w:hAnsi="Consolas"/>
                <w:color w:val="B01040"/>
                <w:sz w:val="19"/>
              </w:rPr>
              <w:t>ClaimRequest</w:t>
            </w:r>
            <w:r>
              <w:rPr>
                <w:sz w:val="19"/>
              </w:rPr>
              <w:t xml:space="preserve">; </w:t>
            </w:r>
            <w:r>
              <w:rPr>
                <w:rFonts w:ascii="Consolas" w:hAnsi="Consolas"/>
                <w:color w:val="B01040"/>
                <w:sz w:val="19"/>
              </w:rPr>
              <w:t>WorkbookDataLoader</w:t>
            </w:r>
            <w:r>
              <w:rPr>
                <w:sz w:val="19"/>
              </w:rPr>
              <w:t xml:space="preserve"> adapts XLSX → repository state</w:t>
            </w:r>
          </w:p>
        </w:tc>
        <w:tc>
          <w:tcPr>
            <w:tcW w:w="3216" w:type="dxa"/>
          </w:tcPr>
          <w:p w14:paraId="71B71A09"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Isolates parsing concerns</w:t>
            </w:r>
          </w:p>
        </w:tc>
      </w:tr>
      <w:tr w:rsidR="00F60946" w14:paraId="69FD5F88"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6B6FCA7F" w14:textId="77777777" w:rsidR="00F60946" w:rsidRDefault="00000000">
            <w:r>
              <w:rPr>
                <w:sz w:val="19"/>
              </w:rPr>
              <w:t>Facade</w:t>
            </w:r>
          </w:p>
        </w:tc>
        <w:tc>
          <w:tcPr>
            <w:tcW w:w="3216" w:type="dxa"/>
            <w:shd w:val="clear" w:color="auto" w:fill="F2F7FC"/>
          </w:tcPr>
          <w:p w14:paraId="3AB867DE"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B01040"/>
                <w:sz w:val="19"/>
              </w:rPr>
              <w:t>ClaimsEngine.process(req)</w:t>
            </w:r>
            <w:r>
              <w:rPr>
                <w:sz w:val="19"/>
              </w:rPr>
              <w:t xml:space="preserve"> shields callers from validation + rule lookup + deductible math</w:t>
            </w:r>
          </w:p>
        </w:tc>
        <w:tc>
          <w:tcPr>
            <w:tcW w:w="3216" w:type="dxa"/>
            <w:shd w:val="clear" w:color="auto" w:fill="F2F7FC"/>
          </w:tcPr>
          <w:p w14:paraId="4F7581B2"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Single entry point shared by Batch / REST / GUI</w:t>
            </w:r>
          </w:p>
        </w:tc>
      </w:tr>
      <w:tr w:rsidR="00F60946" w14:paraId="048EDB76"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846C464" w14:textId="77777777" w:rsidR="00F60946" w:rsidRDefault="00000000">
            <w:r>
              <w:rPr>
                <w:sz w:val="19"/>
              </w:rPr>
              <w:t>Decorator (observer-like)</w:t>
            </w:r>
          </w:p>
        </w:tc>
        <w:tc>
          <w:tcPr>
            <w:tcW w:w="3216" w:type="dxa"/>
          </w:tcPr>
          <w:p w14:paraId="0DE8FDF5"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B01040"/>
                <w:sz w:val="19"/>
              </w:rPr>
              <w:t>ClaimAuditLogger.audit(...)</w:t>
            </w:r>
            <w:r>
              <w:rPr>
                <w:sz w:val="19"/>
              </w:rPr>
              <w:t xml:space="preserve"> wraps every successful/failed call with structured log + Micrometer counter</w:t>
            </w:r>
          </w:p>
        </w:tc>
        <w:tc>
          <w:tcPr>
            <w:tcW w:w="3216" w:type="dxa"/>
          </w:tcPr>
          <w:p w14:paraId="3E635A60"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Cross-cutting concern outside the engine</w:t>
            </w:r>
          </w:p>
        </w:tc>
      </w:tr>
      <w:tr w:rsidR="00F60946" w14:paraId="0DF89D46"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7785F563" w14:textId="77777777" w:rsidR="00F60946" w:rsidRDefault="00000000">
            <w:r>
              <w:rPr>
                <w:sz w:val="19"/>
              </w:rPr>
              <w:t>Strategy + Channel enum</w:t>
            </w:r>
          </w:p>
        </w:tc>
        <w:tc>
          <w:tcPr>
            <w:tcW w:w="3216" w:type="dxa"/>
            <w:shd w:val="clear" w:color="auto" w:fill="F2F7FC"/>
          </w:tcPr>
          <w:p w14:paraId="6923C7A8"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B01040"/>
                <w:sz w:val="19"/>
              </w:rPr>
              <w:t>BatchProcessor.processRequests(list, Channel)</w:t>
            </w:r>
            <w:r>
              <w:rPr>
                <w:sz w:val="19"/>
              </w:rPr>
              <w:t xml:space="preserve"> with </w:t>
            </w:r>
            <w:r>
              <w:rPr>
                <w:rFonts w:ascii="Consolas" w:hAnsi="Consolas"/>
                <w:color w:val="B01040"/>
                <w:sz w:val="19"/>
              </w:rPr>
              <w:t>Channel ∈ {REST, BATCH, GUI}</w:t>
            </w:r>
          </w:p>
        </w:tc>
        <w:tc>
          <w:tcPr>
            <w:tcW w:w="3216" w:type="dxa"/>
            <w:shd w:val="clear" w:color="auto" w:fill="F2F7FC"/>
          </w:tcPr>
          <w:p w14:paraId="1CAF5911"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One pipeline, three tagged sources for metrics &amp; audit</w:t>
            </w:r>
          </w:p>
        </w:tc>
      </w:tr>
      <w:tr w:rsidR="00F60946" w14:paraId="16B59B7A"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5B62D78" w14:textId="77777777" w:rsidR="00F60946" w:rsidRDefault="00000000">
            <w:r>
              <w:rPr>
                <w:sz w:val="19"/>
              </w:rPr>
              <w:t>Open API contract-first via annotations</w:t>
            </w:r>
          </w:p>
        </w:tc>
        <w:tc>
          <w:tcPr>
            <w:tcW w:w="3216" w:type="dxa"/>
          </w:tcPr>
          <w:p w14:paraId="08FB206D"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B01040"/>
                <w:sz w:val="19"/>
              </w:rPr>
              <w:t>@Operation</w:t>
            </w:r>
            <w:r>
              <w:rPr>
                <w:sz w:val="19"/>
              </w:rPr>
              <w:t xml:space="preserve">, </w:t>
            </w:r>
            <w:r>
              <w:rPr>
                <w:rFonts w:ascii="Consolas" w:hAnsi="Consolas"/>
                <w:color w:val="B01040"/>
                <w:sz w:val="19"/>
              </w:rPr>
              <w:t>@ApiResponses</w:t>
            </w:r>
            <w:r>
              <w:rPr>
                <w:sz w:val="19"/>
              </w:rPr>
              <w:t xml:space="preserve">, </w:t>
            </w:r>
            <w:r>
              <w:rPr>
                <w:rFonts w:ascii="Consolas" w:hAnsi="Consolas"/>
                <w:color w:val="B01040"/>
                <w:sz w:val="19"/>
              </w:rPr>
              <w:t>@Tag</w:t>
            </w:r>
            <w:r>
              <w:rPr>
                <w:sz w:val="19"/>
              </w:rPr>
              <w:t xml:space="preserve"> on REST controller</w:t>
            </w:r>
          </w:p>
        </w:tc>
        <w:tc>
          <w:tcPr>
            <w:tcW w:w="3216" w:type="dxa"/>
          </w:tcPr>
          <w:p w14:paraId="2517A22F"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Swagger UI auto-generated, no separate spec to drift</w:t>
            </w:r>
          </w:p>
        </w:tc>
      </w:tr>
    </w:tbl>
    <w:p w14:paraId="501A45DA" w14:textId="77777777" w:rsidR="00F60946" w:rsidRDefault="00F60946">
      <w:pPr>
        <w:pBdr>
          <w:bottom w:val="single" w:sz="6" w:space="1" w:color="808080"/>
        </w:pBdr>
      </w:pPr>
    </w:p>
    <w:p w14:paraId="1AF68E52" w14:textId="77777777" w:rsidR="00F60946" w:rsidRDefault="00000000">
      <w:r>
        <w:br w:type="page"/>
      </w:r>
    </w:p>
    <w:p w14:paraId="7FBE9642" w14:textId="77777777" w:rsidR="00F60946" w:rsidRDefault="00000000">
      <w:pPr>
        <w:pStyle w:val="Heading2"/>
      </w:pPr>
      <w:r>
        <w:lastRenderedPageBreak/>
        <w:t>8. Diagrams — Current state (assessment scope)</w:t>
      </w:r>
    </w:p>
    <w:p w14:paraId="4D976434" w14:textId="77777777" w:rsidR="00F60946" w:rsidRDefault="00000000">
      <w:pPr>
        <w:shd w:val="clear" w:color="auto" w:fill="EEF2F7"/>
        <w:ind w:left="283" w:right="283"/>
      </w:pPr>
      <w:r>
        <w:rPr>
          <w:i/>
          <w:color w:val="404040"/>
        </w:rPr>
        <w:t>All diagrams in this section describe the **delivered modular monolith**. §10 covers the future microservices target on Azure / Kubernetes.</w:t>
      </w:r>
      <w:r>
        <w:rPr>
          <w:i/>
          <w:color w:val="404040"/>
        </w:rPr>
        <w:br/>
        <w:t>The flowchart in §8.6 reflects **A6 (strict atomic, pre-claim determination)** — there is no split-payment path inside a single claim. Threshold crossings happen *between* claims.</w:t>
      </w:r>
    </w:p>
    <w:p w14:paraId="43EBED0A" w14:textId="77777777" w:rsidR="00F60946" w:rsidRDefault="00000000">
      <w:pPr>
        <w:pStyle w:val="Heading3"/>
      </w:pPr>
      <w:r>
        <w:t>8.1 HLD — System architecture</w:t>
      </w:r>
    </w:p>
    <w:p w14:paraId="4CF183C8" w14:textId="77777777" w:rsidR="00F60946" w:rsidRDefault="00000000">
      <w:r>
        <w:t xml:space="preserve">Three client modes converge on </w:t>
      </w:r>
      <w:r>
        <w:rPr>
          <w:b/>
        </w:rPr>
        <w:t>one Spring Boot engine</w:t>
      </w:r>
      <w:r>
        <w:t xml:space="preserve">, backed by </w:t>
      </w:r>
      <w:r>
        <w:rPr>
          <w:b/>
        </w:rPr>
        <w:t>one in-process data layer</w:t>
      </w:r>
      <w:r>
        <w:t xml:space="preserve"> that is loaded from the Excel workbook at application startup.</w:t>
      </w:r>
    </w:p>
    <w:p w14:paraId="68595FC1" w14:textId="77777777" w:rsidR="00F60946" w:rsidRDefault="00000000">
      <w:pPr>
        <w:jc w:val="center"/>
      </w:pPr>
      <w:r>
        <w:rPr>
          <w:noProof/>
        </w:rPr>
        <w:drawing>
          <wp:inline distT="0" distB="0" distL="0" distR="0" wp14:anchorId="7FFC7701" wp14:editId="136E6610">
            <wp:extent cx="5580000" cy="32220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1.png"/>
                    <pic:cNvPicPr/>
                  </pic:nvPicPr>
                  <pic:blipFill>
                    <a:blip r:embed="rId12"/>
                    <a:stretch>
                      <a:fillRect/>
                    </a:stretch>
                  </pic:blipFill>
                  <pic:spPr>
                    <a:xfrm>
                      <a:off x="0" y="0"/>
                      <a:ext cx="5580000" cy="3222018"/>
                    </a:xfrm>
                    <a:prstGeom prst="rect">
                      <a:avLst/>
                    </a:prstGeom>
                  </pic:spPr>
                </pic:pic>
              </a:graphicData>
            </a:graphic>
          </wp:inline>
        </w:drawing>
      </w:r>
    </w:p>
    <w:p w14:paraId="47BB4F9F" w14:textId="77777777" w:rsidR="00F60946" w:rsidRDefault="00000000">
      <w:pPr>
        <w:pStyle w:val="Heading3"/>
      </w:pPr>
      <w:r>
        <w:t>8.2 LLD — Domain class diagram</w:t>
      </w:r>
    </w:p>
    <w:p w14:paraId="77EA5ECD" w14:textId="77777777" w:rsidR="00F60946" w:rsidRDefault="00000000">
      <w:r>
        <w:t>Strategy pattern for coverage rules. The engine orchestrates four collaborators behind interfaces so every dependency is swappable (in-memory today, Oracle / Redis tomorrow).</w:t>
      </w:r>
    </w:p>
    <w:p w14:paraId="7543C8B8" w14:textId="77777777" w:rsidR="00F60946" w:rsidRDefault="00000000">
      <w:pPr>
        <w:jc w:val="center"/>
      </w:pPr>
      <w:r>
        <w:rPr>
          <w:noProof/>
        </w:rPr>
        <w:drawing>
          <wp:inline distT="0" distB="0" distL="0" distR="0" wp14:anchorId="0D4E41AB" wp14:editId="0E39E609">
            <wp:extent cx="5580000" cy="15576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2.png"/>
                    <pic:cNvPicPr/>
                  </pic:nvPicPr>
                  <pic:blipFill>
                    <a:blip r:embed="rId13"/>
                    <a:stretch>
                      <a:fillRect/>
                    </a:stretch>
                  </pic:blipFill>
                  <pic:spPr>
                    <a:xfrm>
                      <a:off x="0" y="0"/>
                      <a:ext cx="5580000" cy="1557668"/>
                    </a:xfrm>
                    <a:prstGeom prst="rect">
                      <a:avLst/>
                    </a:prstGeom>
                  </pic:spPr>
                </pic:pic>
              </a:graphicData>
            </a:graphic>
          </wp:inline>
        </w:drawing>
      </w:r>
    </w:p>
    <w:p w14:paraId="44782A90" w14:textId="77777777" w:rsidR="00F60946" w:rsidRDefault="00000000">
      <w:pPr>
        <w:pStyle w:val="Heading3"/>
      </w:pPr>
      <w:r>
        <w:t>8.3 Data flow — three operating modes</w:t>
      </w:r>
    </w:p>
    <w:p w14:paraId="5105A98F" w14:textId="77777777" w:rsidR="00F60946" w:rsidRDefault="00000000">
      <w:r>
        <w:t xml:space="preserve">GUI, CLI, and REST all funnel into the same </w:t>
      </w:r>
      <w:r>
        <w:rPr>
          <w:rFonts w:ascii="Consolas" w:hAnsi="Consolas"/>
          <w:color w:val="B01040"/>
          <w:sz w:val="18"/>
        </w:rPr>
        <w:t>ClaimsEngine.process(...)</w:t>
      </w:r>
      <w:r>
        <w:t>. Only the I/O adapter differs.</w:t>
      </w:r>
    </w:p>
    <w:p w14:paraId="6146A538" w14:textId="77777777" w:rsidR="00F60946" w:rsidRDefault="00000000">
      <w:pPr>
        <w:jc w:val="center"/>
      </w:pPr>
      <w:r>
        <w:rPr>
          <w:noProof/>
        </w:rPr>
        <w:lastRenderedPageBreak/>
        <w:drawing>
          <wp:inline distT="0" distB="0" distL="0" distR="0" wp14:anchorId="5E3AA17D" wp14:editId="0A52176C">
            <wp:extent cx="5580000" cy="81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3.png"/>
                    <pic:cNvPicPr/>
                  </pic:nvPicPr>
                  <pic:blipFill>
                    <a:blip r:embed="rId14"/>
                    <a:stretch>
                      <a:fillRect/>
                    </a:stretch>
                  </pic:blipFill>
                  <pic:spPr>
                    <a:xfrm>
                      <a:off x="0" y="0"/>
                      <a:ext cx="5580000" cy="813750"/>
                    </a:xfrm>
                    <a:prstGeom prst="rect">
                      <a:avLst/>
                    </a:prstGeom>
                  </pic:spPr>
                </pic:pic>
              </a:graphicData>
            </a:graphic>
          </wp:inline>
        </w:drawing>
      </w:r>
    </w:p>
    <w:p w14:paraId="6E3D401D" w14:textId="77777777" w:rsidR="00F60946" w:rsidRDefault="00000000">
      <w:pPr>
        <w:pStyle w:val="Heading3"/>
      </w:pPr>
      <w:r>
        <w:t>8.4 Sequence flow — REST claim adjudication</w:t>
      </w:r>
    </w:p>
    <w:p w14:paraId="3ED19285" w14:textId="77777777" w:rsidR="00F60946" w:rsidRDefault="00000000">
      <w:pPr>
        <w:jc w:val="center"/>
      </w:pPr>
      <w:r>
        <w:rPr>
          <w:noProof/>
        </w:rPr>
        <w:drawing>
          <wp:inline distT="0" distB="0" distL="0" distR="0" wp14:anchorId="0A594A01" wp14:editId="1E78AB95">
            <wp:extent cx="5580000" cy="24559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4.png"/>
                    <pic:cNvPicPr/>
                  </pic:nvPicPr>
                  <pic:blipFill>
                    <a:blip r:embed="rId15"/>
                    <a:stretch>
                      <a:fillRect/>
                    </a:stretch>
                  </pic:blipFill>
                  <pic:spPr>
                    <a:xfrm>
                      <a:off x="0" y="0"/>
                      <a:ext cx="5580000" cy="2455929"/>
                    </a:xfrm>
                    <a:prstGeom prst="rect">
                      <a:avLst/>
                    </a:prstGeom>
                  </pic:spPr>
                </pic:pic>
              </a:graphicData>
            </a:graphic>
          </wp:inline>
        </w:drawing>
      </w:r>
    </w:p>
    <w:p w14:paraId="08EEC712" w14:textId="77777777" w:rsidR="00F60946" w:rsidRDefault="00000000">
      <w:pPr>
        <w:pStyle w:val="Heading3"/>
      </w:pPr>
      <w:r>
        <w:t>8.5 Sequence flow — Batch CSV processing</w:t>
      </w:r>
    </w:p>
    <w:p w14:paraId="4B57AD58" w14:textId="77777777" w:rsidR="00F60946" w:rsidRDefault="00000000">
      <w:pPr>
        <w:jc w:val="center"/>
      </w:pPr>
      <w:r>
        <w:rPr>
          <w:noProof/>
        </w:rPr>
        <w:drawing>
          <wp:inline distT="0" distB="0" distL="0" distR="0" wp14:anchorId="165B34D8" wp14:editId="44070169">
            <wp:extent cx="5580000" cy="25901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5.png"/>
                    <pic:cNvPicPr/>
                  </pic:nvPicPr>
                  <pic:blipFill>
                    <a:blip r:embed="rId16"/>
                    <a:stretch>
                      <a:fillRect/>
                    </a:stretch>
                  </pic:blipFill>
                  <pic:spPr>
                    <a:xfrm>
                      <a:off x="0" y="0"/>
                      <a:ext cx="5580000" cy="2590124"/>
                    </a:xfrm>
                    <a:prstGeom prst="rect">
                      <a:avLst/>
                    </a:prstGeom>
                  </pic:spPr>
                </pic:pic>
              </a:graphicData>
            </a:graphic>
          </wp:inline>
        </w:drawing>
      </w:r>
    </w:p>
    <w:p w14:paraId="7DA1DE75" w14:textId="77777777" w:rsidR="00F60946" w:rsidRDefault="00000000">
      <w:pPr>
        <w:pStyle w:val="Heading3"/>
      </w:pPr>
      <w:r>
        <w:t>8.6 Flowchart — Claims engine decision tree (strict atomic)</w:t>
      </w:r>
    </w:p>
    <w:p w14:paraId="45E0385F" w14:textId="77777777" w:rsidR="00F60946" w:rsidRDefault="00000000">
      <w:r>
        <w:t xml:space="preserve">The decision tree below is the </w:t>
      </w:r>
      <w:r>
        <w:rPr>
          <w:b/>
        </w:rPr>
        <w:t>exact path</w:t>
      </w:r>
      <w:r>
        <w:t xml:space="preserve"> every claim follows. Per A6, the "deductible met?" check is made </w:t>
      </w:r>
      <w:r>
        <w:rPr>
          <w:b/>
        </w:rPr>
        <w:t>once</w:t>
      </w:r>
      <w:r>
        <w:t xml:space="preserve"> against pre-claim YTD; a single claim is never split across the threshold.</w:t>
      </w:r>
    </w:p>
    <w:p w14:paraId="45DF76BE" w14:textId="77777777" w:rsidR="00F60946" w:rsidRDefault="00000000">
      <w:pPr>
        <w:jc w:val="center"/>
      </w:pPr>
      <w:r>
        <w:rPr>
          <w:noProof/>
        </w:rPr>
        <w:lastRenderedPageBreak/>
        <w:drawing>
          <wp:inline distT="0" distB="0" distL="0" distR="0" wp14:anchorId="5BCDE2CC" wp14:editId="04829B28">
            <wp:extent cx="5580000" cy="85939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6.png"/>
                    <pic:cNvPicPr/>
                  </pic:nvPicPr>
                  <pic:blipFill>
                    <a:blip r:embed="rId17"/>
                    <a:stretch>
                      <a:fillRect/>
                    </a:stretch>
                  </pic:blipFill>
                  <pic:spPr>
                    <a:xfrm>
                      <a:off x="0" y="0"/>
                      <a:ext cx="5580000" cy="8593979"/>
                    </a:xfrm>
                    <a:prstGeom prst="rect">
                      <a:avLst/>
                    </a:prstGeom>
                  </pic:spPr>
                </pic:pic>
              </a:graphicData>
            </a:graphic>
          </wp:inline>
        </w:drawing>
      </w:r>
    </w:p>
    <w:p w14:paraId="28DB35E2" w14:textId="77777777" w:rsidR="00F60946" w:rsidRDefault="00F60946">
      <w:pPr>
        <w:pBdr>
          <w:bottom w:val="single" w:sz="6" w:space="1" w:color="808080"/>
        </w:pBdr>
      </w:pPr>
    </w:p>
    <w:p w14:paraId="7CAEF74A" w14:textId="77777777" w:rsidR="00F60946" w:rsidRDefault="00000000">
      <w:r>
        <w:br w:type="page"/>
      </w:r>
    </w:p>
    <w:p w14:paraId="5F51CA11" w14:textId="77777777" w:rsidR="00F60946" w:rsidRDefault="00000000">
      <w:pPr>
        <w:pStyle w:val="Heading2"/>
      </w:pPr>
      <w:r>
        <w:lastRenderedPageBreak/>
        <w:t>9. Non-Functional Considerations</w:t>
      </w:r>
    </w:p>
    <w:p w14:paraId="5FC1D580" w14:textId="77777777" w:rsidR="00F60946" w:rsidRDefault="00000000">
      <w:pPr>
        <w:pStyle w:val="Heading3"/>
      </w:pPr>
      <w:r>
        <w:t>Performance</w:t>
      </w:r>
    </w:p>
    <w:p w14:paraId="2A287BD9" w14:textId="77777777" w:rsidR="00F60946" w:rsidRDefault="00000000">
      <w:pPr>
        <w:pStyle w:val="ListBullet"/>
      </w:pPr>
      <w:r>
        <w:rPr>
          <w:b/>
        </w:rPr>
        <w:t>700k claims/day</w:t>
      </w:r>
      <w:r>
        <w:t xml:space="preserve"> ≈ 8 claims/second average, but real hospital systems spike at end-of-day</w:t>
      </w:r>
    </w:p>
    <w:p w14:paraId="6E240055" w14:textId="77777777" w:rsidR="00F60946" w:rsidRDefault="00000000">
      <w:pPr>
        <w:pStyle w:val="ListBullet"/>
      </w:pPr>
      <w:r>
        <w:t xml:space="preserve">Batch processing is I/O-bound (CSV read/write), not CPU-bound — parallelism via </w:t>
      </w:r>
      <w:r>
        <w:rPr>
          <w:rFonts w:ascii="Consolas" w:hAnsi="Consolas"/>
          <w:color w:val="B01040"/>
          <w:sz w:val="18"/>
        </w:rPr>
        <w:t>parallelStream()</w:t>
      </w:r>
      <w:r>
        <w:t xml:space="preserve"> or Spring Batch partitioning could increase throughput</w:t>
      </w:r>
    </w:p>
    <w:p w14:paraId="762DA82C" w14:textId="77777777" w:rsidR="00F60946" w:rsidRDefault="00000000">
      <w:pPr>
        <w:pStyle w:val="ListBullet"/>
      </w:pPr>
      <w:r>
        <w:t>REST endpoint is stateless; horizontal scaling behind a load balancer handles peak real-time volume</w:t>
      </w:r>
    </w:p>
    <w:p w14:paraId="5099A462" w14:textId="77777777" w:rsidR="00F60946" w:rsidRDefault="00000000">
      <w:pPr>
        <w:pStyle w:val="ListBullet"/>
      </w:pPr>
      <w:r>
        <w:t>In-memory map lookups are O(1) — no bottleneck at this data size</w:t>
      </w:r>
    </w:p>
    <w:p w14:paraId="31441BF1" w14:textId="77777777" w:rsidR="00F60946" w:rsidRDefault="00000000">
      <w:pPr>
        <w:pStyle w:val="Heading3"/>
      </w:pPr>
      <w:r>
        <w:t>Reliability</w:t>
      </w:r>
    </w:p>
    <w:p w14:paraId="1CF0CC50" w14:textId="77777777" w:rsidR="00F60946" w:rsidRDefault="00000000">
      <w:pPr>
        <w:pStyle w:val="ListBullet"/>
      </w:pPr>
      <w:r>
        <w:t>Input CSV validation before processing — fail fast on malformed headers</w:t>
      </w:r>
    </w:p>
    <w:p w14:paraId="5CDAD1C8" w14:textId="77777777" w:rsidR="00F60946" w:rsidRDefault="00000000">
      <w:pPr>
        <w:pStyle w:val="ListBullet"/>
      </w:pPr>
      <w:r>
        <w:t>Error rows do not abort the batch — they are recorded and processing continues</w:t>
      </w:r>
    </w:p>
    <w:p w14:paraId="51AED2C0" w14:textId="77777777" w:rsidR="00F60946" w:rsidRDefault="00000000">
      <w:pPr>
        <w:pStyle w:val="ListBullet"/>
      </w:pPr>
      <w:r>
        <w:t>Log every claim with correlation ID (policyId + holderId + date) for auditability</w:t>
      </w:r>
    </w:p>
    <w:p w14:paraId="3AD7FB93" w14:textId="77777777" w:rsidR="00F60946" w:rsidRDefault="00000000">
      <w:pPr>
        <w:pStyle w:val="Heading3"/>
      </w:pPr>
      <w:r>
        <w:t>Security</w:t>
      </w:r>
    </w:p>
    <w:p w14:paraId="0ADAF87E" w14:textId="77777777" w:rsidR="00F60946" w:rsidRDefault="00000000">
      <w:pPr>
        <w:pStyle w:val="ListBullet"/>
      </w:pPr>
      <w:r>
        <w:t xml:space="preserve">REST API: add </w:t>
      </w:r>
      <w:r>
        <w:rPr>
          <w:rFonts w:ascii="Consolas" w:hAnsi="Consolas"/>
          <w:color w:val="B01040"/>
          <w:sz w:val="18"/>
        </w:rPr>
        <w:t>spring-boot-starter-security</w:t>
      </w:r>
      <w:r>
        <w:t xml:space="preserve"> with API key header (</w:t>
      </w:r>
      <w:r>
        <w:rPr>
          <w:rFonts w:ascii="Consolas" w:hAnsi="Consolas"/>
          <w:color w:val="B01040"/>
          <w:sz w:val="18"/>
        </w:rPr>
        <w:t>X-API-Key</w:t>
      </w:r>
      <w:r>
        <w:t>) for internal systems</w:t>
      </w:r>
    </w:p>
    <w:p w14:paraId="0D7BB532" w14:textId="77777777" w:rsidR="00F60946" w:rsidRDefault="00000000">
      <w:pPr>
        <w:pStyle w:val="ListBullet"/>
      </w:pPr>
      <w:r>
        <w:t>Input sanitization: all strings validated and trimmed; numeric fields bounded (billedAmount &gt; 0)</w:t>
      </w:r>
    </w:p>
    <w:p w14:paraId="5DE2F436" w14:textId="77777777" w:rsidR="00F60946" w:rsidRDefault="00000000">
      <w:pPr>
        <w:pStyle w:val="ListBullet"/>
      </w:pPr>
      <w:r>
        <w:t>No SQL injection risk (no SQL used), but still validate that string inputs don't exceed expected lengths</w:t>
      </w:r>
    </w:p>
    <w:p w14:paraId="66BFAC88" w14:textId="77777777" w:rsidR="00F60946" w:rsidRDefault="00000000">
      <w:pPr>
        <w:pStyle w:val="Heading3"/>
      </w:pPr>
      <w:r>
        <w:t>Extensibility</w:t>
      </w:r>
    </w:p>
    <w:p w14:paraId="624AD357" w14:textId="77777777" w:rsidR="00F60946" w:rsidRDefault="00000000">
      <w:pPr>
        <w:pStyle w:val="ListBullet"/>
      </w:pPr>
      <w:r>
        <w:t>New plan: add a row to PlanDescriptions + PlanCoverage tabs — no code changes</w:t>
      </w:r>
    </w:p>
    <w:p w14:paraId="6B9AAD0F" w14:textId="77777777" w:rsidR="00F60946" w:rsidRDefault="00000000">
      <w:pPr>
        <w:pStyle w:val="ListBullet"/>
      </w:pPr>
      <w:r>
        <w:t xml:space="preserve">New coverage rule type: add one </w:t>
      </w:r>
      <w:r>
        <w:rPr>
          <w:rFonts w:ascii="Consolas" w:hAnsi="Consolas"/>
          <w:color w:val="B01040"/>
          <w:sz w:val="18"/>
        </w:rPr>
        <w:t>CoverageRule</w:t>
      </w:r>
      <w:r>
        <w:t xml:space="preserve"> implementation and update </w:t>
      </w:r>
      <w:r>
        <w:rPr>
          <w:rFonts w:ascii="Consolas" w:hAnsi="Consolas"/>
          <w:color w:val="B01040"/>
          <w:sz w:val="18"/>
        </w:rPr>
        <w:t>CoverageRuleParser</w:t>
      </w:r>
    </w:p>
    <w:p w14:paraId="27EE0D57" w14:textId="77777777" w:rsidR="00F60946" w:rsidRDefault="00000000">
      <w:pPr>
        <w:pStyle w:val="ListBullet"/>
      </w:pPr>
      <w:r>
        <w:t xml:space="preserve">New error type: add enum value + validation check in </w:t>
      </w:r>
      <w:r>
        <w:rPr>
          <w:rFonts w:ascii="Consolas" w:hAnsi="Consolas"/>
          <w:color w:val="B01040"/>
          <w:sz w:val="18"/>
        </w:rPr>
        <w:t>ValidationService</w:t>
      </w:r>
    </w:p>
    <w:p w14:paraId="728283DE" w14:textId="77777777" w:rsidR="00F60946" w:rsidRDefault="00F60946">
      <w:pPr>
        <w:pBdr>
          <w:bottom w:val="single" w:sz="6" w:space="1" w:color="808080"/>
        </w:pBdr>
      </w:pPr>
    </w:p>
    <w:p w14:paraId="1409BD82" w14:textId="77777777" w:rsidR="00F60946" w:rsidRDefault="00000000">
      <w:r>
        <w:br w:type="page"/>
      </w:r>
    </w:p>
    <w:p w14:paraId="54B7E065" w14:textId="77777777" w:rsidR="00F60946" w:rsidRDefault="00000000">
      <w:pPr>
        <w:pStyle w:val="Heading2"/>
      </w:pPr>
      <w:r>
        <w:lastRenderedPageBreak/>
        <w:t>10. Future State — Azure Public Cloud</w:t>
      </w:r>
    </w:p>
    <w:p w14:paraId="2D285710" w14:textId="77777777" w:rsidR="00F60946" w:rsidRDefault="00000000">
      <w:pPr>
        <w:pStyle w:val="Heading3"/>
      </w:pPr>
      <w:r>
        <w:t>10.1 HLD — Target architecture (Azure / AKS)</w:t>
      </w:r>
    </w:p>
    <w:p w14:paraId="7FA0C884" w14:textId="77777777" w:rsidR="00F60946" w:rsidRDefault="00000000">
      <w:r>
        <w:t>Three microservices behind APIM. Each service owns its own data — no shared writes — and the deductible hot path lives in Redis, not Oracle.</w:t>
      </w:r>
    </w:p>
    <w:p w14:paraId="563969A3" w14:textId="77777777" w:rsidR="00F60946" w:rsidRDefault="00000000">
      <w:pPr>
        <w:jc w:val="center"/>
      </w:pPr>
      <w:r>
        <w:rPr>
          <w:noProof/>
        </w:rPr>
        <w:drawing>
          <wp:inline distT="0" distB="0" distL="0" distR="0" wp14:anchorId="2187085A" wp14:editId="54582EB9">
            <wp:extent cx="5580000" cy="41279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7.png"/>
                    <pic:cNvPicPr/>
                  </pic:nvPicPr>
                  <pic:blipFill>
                    <a:blip r:embed="rId18"/>
                    <a:stretch>
                      <a:fillRect/>
                    </a:stretch>
                  </pic:blipFill>
                  <pic:spPr>
                    <a:xfrm>
                      <a:off x="0" y="0"/>
                      <a:ext cx="5580000" cy="4127965"/>
                    </a:xfrm>
                    <a:prstGeom prst="rect">
                      <a:avLst/>
                    </a:prstGeom>
                  </pic:spPr>
                </pic:pic>
              </a:graphicData>
            </a:graphic>
          </wp:inline>
        </w:drawing>
      </w:r>
    </w:p>
    <w:p w14:paraId="73966B74" w14:textId="77777777" w:rsidR="00F60946" w:rsidRDefault="00000000">
      <w:pPr>
        <w:pStyle w:val="Heading3"/>
      </w:pPr>
      <w:r>
        <w:t>10.2 LLD — Internal structure of each microservice</w:t>
      </w:r>
    </w:p>
    <w:p w14:paraId="6CA527CA" w14:textId="77777777" w:rsidR="00F60946" w:rsidRDefault="00000000">
      <w:r>
        <w:t>Each pod contains the same layered structure (controller → service → repository), so engineers move between services with zero ramp-up. Only the persistence adapters and exposed endpoints differ.</w:t>
      </w:r>
    </w:p>
    <w:p w14:paraId="16F46AE5" w14:textId="77777777" w:rsidR="00F60946" w:rsidRDefault="00000000">
      <w:pPr>
        <w:jc w:val="center"/>
      </w:pPr>
      <w:r>
        <w:rPr>
          <w:noProof/>
        </w:rPr>
        <w:drawing>
          <wp:inline distT="0" distB="0" distL="0" distR="0" wp14:anchorId="56055ABA" wp14:editId="26768483">
            <wp:extent cx="5580000" cy="9043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8.png"/>
                    <pic:cNvPicPr/>
                  </pic:nvPicPr>
                  <pic:blipFill>
                    <a:blip r:embed="rId19"/>
                    <a:stretch>
                      <a:fillRect/>
                    </a:stretch>
                  </pic:blipFill>
                  <pic:spPr>
                    <a:xfrm>
                      <a:off x="0" y="0"/>
                      <a:ext cx="5580000" cy="904373"/>
                    </a:xfrm>
                    <a:prstGeom prst="rect">
                      <a:avLst/>
                    </a:prstGeom>
                  </pic:spPr>
                </pic:pic>
              </a:graphicData>
            </a:graphic>
          </wp:inline>
        </w:drawing>
      </w:r>
    </w:p>
    <w:p w14:paraId="39B58612" w14:textId="77777777" w:rsidR="00F60946" w:rsidRDefault="00000000">
      <w:pPr>
        <w:pStyle w:val="Heading3"/>
      </w:pPr>
      <w:r>
        <w:t>10.3 Data flow — Database ownership (DB-per-service)</w:t>
      </w:r>
    </w:p>
    <w:p w14:paraId="03E520D5" w14:textId="77777777" w:rsidR="00F60946"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170" w:right="170"/>
      </w:pPr>
      <w:r>
        <w:rPr>
          <w:rFonts w:ascii="Consolas" w:hAnsi="Consolas"/>
          <w:color w:val="1F2A44"/>
          <w:sz w:val="17"/>
        </w:rPr>
        <w:t>claims-service</w:t>
      </w:r>
      <w:r>
        <w:rPr>
          <w:rFonts w:ascii="Consolas" w:hAnsi="Consolas"/>
          <w:color w:val="1F2A44"/>
          <w:sz w:val="17"/>
        </w:rPr>
        <w:br/>
        <w:t xml:space="preserve">  ├── reads   Plan DB     (coverage rules, thresholds)</w:t>
      </w:r>
      <w:r>
        <w:rPr>
          <w:rFonts w:ascii="Consolas" w:hAnsi="Consolas"/>
          <w:color w:val="1F2A44"/>
          <w:sz w:val="17"/>
        </w:rPr>
        <w:br/>
        <w:t xml:space="preserve">  ├── reads   Policy DB   (policyholder, coverage dates)</w:t>
      </w:r>
      <w:r>
        <w:rPr>
          <w:rFonts w:ascii="Consolas" w:hAnsi="Consolas"/>
          <w:color w:val="1F2A44"/>
          <w:sz w:val="17"/>
        </w:rPr>
        <w:br/>
        <w:t xml:space="preserve">  └── writes  Claims DB   (processed result + audit row)</w:t>
      </w:r>
      <w:r>
        <w:rPr>
          <w:rFonts w:ascii="Consolas" w:hAnsi="Consolas"/>
          <w:color w:val="1F2A44"/>
          <w:sz w:val="17"/>
        </w:rPr>
        <w:br/>
      </w:r>
      <w:r>
        <w:rPr>
          <w:rFonts w:ascii="Consolas" w:hAnsi="Consolas"/>
          <w:color w:val="1F2A44"/>
          <w:sz w:val="17"/>
        </w:rPr>
        <w:br/>
        <w:t>deductible-service</w:t>
      </w:r>
      <w:r>
        <w:rPr>
          <w:rFonts w:ascii="Consolas" w:hAnsi="Consolas"/>
          <w:color w:val="1F2A44"/>
          <w:sz w:val="17"/>
        </w:rPr>
        <w:br/>
        <w:t xml:space="preserve">  ├── reads        Policy DB   (individual / family thresholds)</w:t>
      </w:r>
      <w:r>
        <w:rPr>
          <w:rFonts w:ascii="Consolas" w:hAnsi="Consolas"/>
          <w:color w:val="1F2A44"/>
          <w:sz w:val="17"/>
        </w:rPr>
        <w:br/>
        <w:t xml:space="preserve">  └── reads/writes Redis       (hot YTD state — NOT an Oracle DB)</w:t>
      </w:r>
      <w:r>
        <w:rPr>
          <w:rFonts w:ascii="Consolas" w:hAnsi="Consolas"/>
          <w:color w:val="1F2A44"/>
          <w:sz w:val="17"/>
        </w:rPr>
        <w:br/>
      </w:r>
      <w:r>
        <w:rPr>
          <w:rFonts w:ascii="Consolas" w:hAnsi="Consolas"/>
          <w:color w:val="1F2A44"/>
          <w:sz w:val="17"/>
        </w:rPr>
        <w:lastRenderedPageBreak/>
        <w:br/>
        <w:t>batch-processor (CronJob)</w:t>
      </w:r>
      <w:r>
        <w:rPr>
          <w:rFonts w:ascii="Consolas" w:hAnsi="Consolas"/>
          <w:color w:val="1F2A44"/>
          <w:sz w:val="17"/>
        </w:rPr>
        <w:br/>
        <w:t xml:space="preserve">  ├── reads  Claims DB     (unprocessed rows / replay file)</w:t>
      </w:r>
      <w:r>
        <w:rPr>
          <w:rFonts w:ascii="Consolas" w:hAnsi="Consolas"/>
          <w:color w:val="1F2A44"/>
          <w:sz w:val="17"/>
        </w:rPr>
        <w:br/>
        <w:t xml:space="preserve">  ├── reads  Blob Storage  (incoming CSV)</w:t>
      </w:r>
      <w:r>
        <w:rPr>
          <w:rFonts w:ascii="Consolas" w:hAnsi="Consolas"/>
          <w:color w:val="1F2A44"/>
          <w:sz w:val="17"/>
        </w:rPr>
        <w:br/>
        <w:t xml:space="preserve">  ├── writes Blob Storage  (outgoing CSV)</w:t>
      </w:r>
      <w:r>
        <w:rPr>
          <w:rFonts w:ascii="Consolas" w:hAnsi="Consolas"/>
          <w:color w:val="1F2A44"/>
          <w:sz w:val="17"/>
        </w:rPr>
        <w:br/>
        <w:t xml:space="preserve">  └── calls  claims-service (delegates processing — no direct DB write)</w:t>
      </w:r>
    </w:p>
    <w:p w14:paraId="08293904" w14:textId="77777777" w:rsidR="00F60946" w:rsidRDefault="00000000">
      <w:pPr>
        <w:jc w:val="center"/>
      </w:pPr>
      <w:r>
        <w:rPr>
          <w:noProof/>
        </w:rPr>
        <w:drawing>
          <wp:inline distT="0" distB="0" distL="0" distR="0" wp14:anchorId="2BC6617E" wp14:editId="7496F8AF">
            <wp:extent cx="5580000" cy="29156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9.png"/>
                    <pic:cNvPicPr/>
                  </pic:nvPicPr>
                  <pic:blipFill>
                    <a:blip r:embed="rId20"/>
                    <a:stretch>
                      <a:fillRect/>
                    </a:stretch>
                  </pic:blipFill>
                  <pic:spPr>
                    <a:xfrm>
                      <a:off x="0" y="0"/>
                      <a:ext cx="5580000" cy="2915616"/>
                    </a:xfrm>
                    <a:prstGeom prst="rect">
                      <a:avLst/>
                    </a:prstGeom>
                  </pic:spPr>
                </pic:pic>
              </a:graphicData>
            </a:graphic>
          </wp:inline>
        </w:drawing>
      </w:r>
    </w:p>
    <w:p w14:paraId="307CF352" w14:textId="77777777" w:rsidR="00F60946" w:rsidRDefault="00000000">
      <w:pPr>
        <w:pStyle w:val="Heading3"/>
      </w:pPr>
      <w:r>
        <w:t>10.4 Sequence flow — Real-time REST claim on AKS</w:t>
      </w:r>
    </w:p>
    <w:p w14:paraId="448F525A" w14:textId="77777777" w:rsidR="00F60946" w:rsidRDefault="00000000">
      <w:pPr>
        <w:jc w:val="center"/>
      </w:pPr>
      <w:r>
        <w:rPr>
          <w:noProof/>
        </w:rPr>
        <w:drawing>
          <wp:inline distT="0" distB="0" distL="0" distR="0" wp14:anchorId="5ECF5093" wp14:editId="5253131C">
            <wp:extent cx="5580000" cy="23784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0.png"/>
                    <pic:cNvPicPr/>
                  </pic:nvPicPr>
                  <pic:blipFill>
                    <a:blip r:embed="rId21"/>
                    <a:stretch>
                      <a:fillRect/>
                    </a:stretch>
                  </pic:blipFill>
                  <pic:spPr>
                    <a:xfrm>
                      <a:off x="0" y="0"/>
                      <a:ext cx="5580000" cy="2378448"/>
                    </a:xfrm>
                    <a:prstGeom prst="rect">
                      <a:avLst/>
                    </a:prstGeom>
                  </pic:spPr>
                </pic:pic>
              </a:graphicData>
            </a:graphic>
          </wp:inline>
        </w:drawing>
      </w:r>
    </w:p>
    <w:p w14:paraId="49571E10" w14:textId="77777777" w:rsidR="00F60946" w:rsidRDefault="00000000">
      <w:pPr>
        <w:pStyle w:val="Heading3"/>
      </w:pPr>
      <w:r>
        <w:lastRenderedPageBreak/>
        <w:t>10.5 Sequence flow — Batch processor (Kubernetes CronJob)</w:t>
      </w:r>
    </w:p>
    <w:p w14:paraId="2E291DB6" w14:textId="77777777" w:rsidR="00F60946" w:rsidRDefault="00000000">
      <w:pPr>
        <w:jc w:val="center"/>
      </w:pPr>
      <w:r>
        <w:rPr>
          <w:noProof/>
        </w:rPr>
        <w:drawing>
          <wp:inline distT="0" distB="0" distL="0" distR="0" wp14:anchorId="5810EEBD" wp14:editId="1CA3B323">
            <wp:extent cx="5580000" cy="21500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1.png"/>
                    <pic:cNvPicPr/>
                  </pic:nvPicPr>
                  <pic:blipFill>
                    <a:blip r:embed="rId22"/>
                    <a:stretch>
                      <a:fillRect/>
                    </a:stretch>
                  </pic:blipFill>
                  <pic:spPr>
                    <a:xfrm>
                      <a:off x="0" y="0"/>
                      <a:ext cx="5580000" cy="2150045"/>
                    </a:xfrm>
                    <a:prstGeom prst="rect">
                      <a:avLst/>
                    </a:prstGeom>
                  </pic:spPr>
                </pic:pic>
              </a:graphicData>
            </a:graphic>
          </wp:inline>
        </w:drawing>
      </w:r>
    </w:p>
    <w:p w14:paraId="7A65970C" w14:textId="77777777" w:rsidR="00F60946" w:rsidRDefault="00000000">
      <w:pPr>
        <w:pStyle w:val="Heading3"/>
      </w:pPr>
      <w:r>
        <w:t>10.6 Modular monolith → microservices extraction path</w:t>
      </w:r>
    </w:p>
    <w:p w14:paraId="26608F96" w14:textId="77777777" w:rsidR="00F60946" w:rsidRDefault="00000000">
      <w:r>
        <w:t xml:space="preserve">The current modular monolith was designed so that the </w:t>
      </w:r>
      <w:r>
        <w:rPr>
          <w:b/>
        </w:rPr>
        <w:t>DeductibleService</w:t>
      </w:r>
      <w:r>
        <w:t xml:space="preserve"> can be lifted out into its own microservice without touching the engine — only its injected implementation changes.</w:t>
      </w:r>
    </w:p>
    <w:p w14:paraId="61713A71" w14:textId="77777777" w:rsidR="00F60946" w:rsidRDefault="00000000">
      <w:pPr>
        <w:jc w:val="center"/>
      </w:pPr>
      <w:r>
        <w:rPr>
          <w:noProof/>
        </w:rPr>
        <w:drawing>
          <wp:inline distT="0" distB="0" distL="0" distR="0" wp14:anchorId="4F1BFD76" wp14:editId="7FD77719">
            <wp:extent cx="5580000" cy="43446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png"/>
                    <pic:cNvPicPr/>
                  </pic:nvPicPr>
                  <pic:blipFill>
                    <a:blip r:embed="rId23"/>
                    <a:stretch>
                      <a:fillRect/>
                    </a:stretch>
                  </pic:blipFill>
                  <pic:spPr>
                    <a:xfrm>
                      <a:off x="0" y="0"/>
                      <a:ext cx="5580000" cy="4344679"/>
                    </a:xfrm>
                    <a:prstGeom prst="rect">
                      <a:avLst/>
                    </a:prstGeom>
                  </pic:spPr>
                </pic:pic>
              </a:graphicData>
            </a:graphic>
          </wp:inline>
        </w:drawing>
      </w:r>
    </w:p>
    <w:p w14:paraId="4FDBEFCB" w14:textId="77777777" w:rsidR="00F60946" w:rsidRDefault="00000000">
      <w:r>
        <w:rPr>
          <w:b/>
        </w:rPr>
        <w:t>Extraction checklist:</w:t>
      </w:r>
    </w:p>
    <w:p w14:paraId="438B2A6B" w14:textId="77777777" w:rsidR="00F60946" w:rsidRDefault="00000000">
      <w:pPr>
        <w:pStyle w:val="ListNumber"/>
      </w:pPr>
      <w:r>
        <w:t xml:space="preserve">Replace </w:t>
      </w:r>
      <w:r>
        <w:rPr>
          <w:rFonts w:ascii="Consolas" w:hAnsi="Consolas"/>
          <w:color w:val="B01040"/>
          <w:sz w:val="18"/>
        </w:rPr>
        <w:t>@Component InMemoryDeductibleService</w:t>
      </w:r>
      <w:r>
        <w:t xml:space="preserve"> with </w:t>
      </w:r>
      <w:r>
        <w:rPr>
          <w:rFonts w:ascii="Consolas" w:hAnsi="Consolas"/>
          <w:color w:val="B01040"/>
          <w:sz w:val="18"/>
        </w:rPr>
        <w:t>@Component DeductibleServiceClient implements DeductibleService</w:t>
      </w:r>
      <w:r>
        <w:t xml:space="preserve"> (Feign / WebClient).</w:t>
      </w:r>
    </w:p>
    <w:p w14:paraId="4CE72562" w14:textId="77777777" w:rsidR="00F60946" w:rsidRDefault="00000000">
      <w:pPr>
        <w:pStyle w:val="ListNumber"/>
      </w:pPr>
      <w:r>
        <w:t xml:space="preserve">New repo </w:t>
      </w:r>
      <w:r>
        <w:rPr>
          <w:rFonts w:ascii="Consolas" w:hAnsi="Consolas"/>
          <w:color w:val="B01040"/>
          <w:sz w:val="18"/>
        </w:rPr>
        <w:t>deductible-service</w:t>
      </w:r>
      <w:r>
        <w:t xml:space="preserve">: copy the </w:t>
      </w:r>
      <w:r>
        <w:rPr>
          <w:rFonts w:ascii="Consolas" w:hAnsi="Consolas"/>
          <w:color w:val="B01040"/>
          <w:sz w:val="18"/>
        </w:rPr>
        <w:t>engine/deductible</w:t>
      </w:r>
      <w:r>
        <w:t xml:space="preserve"> package + Redis impl + REST controller exposing </w:t>
      </w:r>
      <w:r>
        <w:rPr>
          <w:rFonts w:ascii="Consolas" w:hAnsi="Consolas"/>
          <w:color w:val="B01040"/>
          <w:sz w:val="18"/>
        </w:rPr>
        <w:t>GET /deductible/{holderId}</w:t>
      </w:r>
      <w:r>
        <w:t xml:space="preserve"> and </w:t>
      </w:r>
      <w:r>
        <w:rPr>
          <w:rFonts w:ascii="Consolas" w:hAnsi="Consolas"/>
          <w:color w:val="B01040"/>
          <w:sz w:val="18"/>
        </w:rPr>
        <w:t>POST /deductible/{holderId}:accumulate</w:t>
      </w:r>
      <w:r>
        <w:t>.</w:t>
      </w:r>
    </w:p>
    <w:p w14:paraId="5A920AA0" w14:textId="77777777" w:rsidR="00F60946" w:rsidRDefault="00000000">
      <w:pPr>
        <w:pStyle w:val="ListNumber"/>
      </w:pPr>
      <w:r>
        <w:lastRenderedPageBreak/>
        <w:t>Add idempotency key on the accumulate call (Service Bus message-id).</w:t>
      </w:r>
    </w:p>
    <w:p w14:paraId="2FAE76CA" w14:textId="77777777" w:rsidR="00F60946" w:rsidRDefault="00000000">
      <w:pPr>
        <w:pStyle w:val="ListNumber"/>
      </w:pPr>
      <w:r>
        <w:t>Add Resilience4j circuit-breaker + fallback (use stale Redis snapshot or degrade to "deductible-not-applied" with E0005).</w:t>
      </w:r>
    </w:p>
    <w:p w14:paraId="530FF4FB" w14:textId="77777777" w:rsidR="00F60946" w:rsidRDefault="00000000">
      <w:pPr>
        <w:pStyle w:val="ListNumber"/>
      </w:pPr>
      <w:r>
        <w:t>Roll out behind a feature flag (Azure App Configuration) — toggle per tenant.</w:t>
      </w:r>
    </w:p>
    <w:p w14:paraId="2636139B" w14:textId="77777777" w:rsidR="00F60946" w:rsidRDefault="00000000">
      <w:pPr>
        <w:pStyle w:val="Heading3"/>
      </w:pPr>
      <w:r>
        <w:t>10.7 Azure mapping cheat-sheet</w:t>
      </w:r>
    </w:p>
    <w:tbl>
      <w:tblPr>
        <w:tblStyle w:val="LightGrid-Accent1"/>
        <w:tblW w:w="0" w:type="auto"/>
        <w:tblLook w:val="04A0" w:firstRow="1" w:lastRow="0" w:firstColumn="1" w:lastColumn="0" w:noHBand="0" w:noVBand="1"/>
      </w:tblPr>
      <w:tblGrid>
        <w:gridCol w:w="3216"/>
        <w:gridCol w:w="3216"/>
        <w:gridCol w:w="3216"/>
      </w:tblGrid>
      <w:tr w:rsidR="00F60946" w14:paraId="7AEC7F10" w14:textId="77777777" w:rsidTr="00F609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1F4E79"/>
          </w:tcPr>
          <w:p w14:paraId="039AF3A9" w14:textId="77777777" w:rsidR="00F60946" w:rsidRDefault="00000000">
            <w:r>
              <w:rPr>
                <w:color w:val="FFFFFF"/>
                <w:sz w:val="20"/>
              </w:rPr>
              <w:t>Concern</w:t>
            </w:r>
          </w:p>
        </w:tc>
        <w:tc>
          <w:tcPr>
            <w:tcW w:w="3216" w:type="dxa"/>
            <w:shd w:val="clear" w:color="auto" w:fill="1F4E79"/>
          </w:tcPr>
          <w:p w14:paraId="6A823F68" w14:textId="77777777" w:rsidR="00F6094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Local today</w:t>
            </w:r>
          </w:p>
        </w:tc>
        <w:tc>
          <w:tcPr>
            <w:tcW w:w="3216" w:type="dxa"/>
            <w:shd w:val="clear" w:color="auto" w:fill="1F4E79"/>
          </w:tcPr>
          <w:p w14:paraId="21C76EA5" w14:textId="77777777" w:rsidR="00F6094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Azure target</w:t>
            </w:r>
          </w:p>
        </w:tc>
      </w:tr>
      <w:tr w:rsidR="00F60946" w14:paraId="3E4E5F1B"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DD381D2" w14:textId="77777777" w:rsidR="00F60946" w:rsidRDefault="00000000">
            <w:r>
              <w:rPr>
                <w:sz w:val="19"/>
              </w:rPr>
              <w:t>Compute</w:t>
            </w:r>
          </w:p>
        </w:tc>
        <w:tc>
          <w:tcPr>
            <w:tcW w:w="3216" w:type="dxa"/>
          </w:tcPr>
          <w:p w14:paraId="16283C9E"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B01040"/>
                <w:sz w:val="19"/>
              </w:rPr>
              <w:t>mvn spring-boot:run</w:t>
            </w:r>
          </w:p>
        </w:tc>
        <w:tc>
          <w:tcPr>
            <w:tcW w:w="3216" w:type="dxa"/>
          </w:tcPr>
          <w:p w14:paraId="20AA3F62"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AKS Deployment (3+ pods) per service</w:t>
            </w:r>
          </w:p>
        </w:tc>
      </w:tr>
      <w:tr w:rsidR="00F60946" w14:paraId="4EC68E45"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5FA353BE" w14:textId="77777777" w:rsidR="00F60946" w:rsidRDefault="00000000">
            <w:r>
              <w:rPr>
                <w:sz w:val="19"/>
              </w:rPr>
              <w:t>Batch</w:t>
            </w:r>
          </w:p>
        </w:tc>
        <w:tc>
          <w:tcPr>
            <w:tcW w:w="3216" w:type="dxa"/>
            <w:shd w:val="clear" w:color="auto" w:fill="F2F7FC"/>
          </w:tcPr>
          <w:p w14:paraId="17D07E10"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B01040"/>
                <w:sz w:val="19"/>
              </w:rPr>
              <w:t>java -jar ... batch</w:t>
            </w:r>
          </w:p>
        </w:tc>
        <w:tc>
          <w:tcPr>
            <w:tcW w:w="3216" w:type="dxa"/>
            <w:shd w:val="clear" w:color="auto" w:fill="F2F7FC"/>
          </w:tcPr>
          <w:p w14:paraId="3480DDB7"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Kubernetes CronJob spawning Job Pods</w:t>
            </w:r>
          </w:p>
        </w:tc>
      </w:tr>
      <w:tr w:rsidR="00F60946" w14:paraId="3A8D877A"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24CD046" w14:textId="77777777" w:rsidR="00F60946" w:rsidRDefault="00000000">
            <w:r>
              <w:rPr>
                <w:sz w:val="19"/>
              </w:rPr>
              <w:t>Plan DB</w:t>
            </w:r>
          </w:p>
        </w:tc>
        <w:tc>
          <w:tcPr>
            <w:tcW w:w="3216" w:type="dxa"/>
          </w:tcPr>
          <w:p w14:paraId="47DED3CA"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In-memory </w:t>
            </w:r>
            <w:r>
              <w:rPr>
                <w:rFonts w:ascii="Consolas" w:hAnsi="Consolas"/>
                <w:color w:val="B01040"/>
                <w:sz w:val="19"/>
              </w:rPr>
              <w:t>HashMap</w:t>
            </w:r>
            <w:r>
              <w:rPr>
                <w:sz w:val="19"/>
              </w:rPr>
              <w:t xml:space="preserve"> (loaded from xlsx)</w:t>
            </w:r>
          </w:p>
        </w:tc>
        <w:tc>
          <w:tcPr>
            <w:tcW w:w="3216" w:type="dxa"/>
          </w:tcPr>
          <w:p w14:paraId="4A6FB55D"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Azure DB for Oracle</w:t>
            </w:r>
          </w:p>
        </w:tc>
      </w:tr>
      <w:tr w:rsidR="00F60946" w14:paraId="6E4585D3"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6293333A" w14:textId="77777777" w:rsidR="00F60946" w:rsidRDefault="00000000">
            <w:r>
              <w:rPr>
                <w:sz w:val="19"/>
              </w:rPr>
              <w:t>Policy DB</w:t>
            </w:r>
          </w:p>
        </w:tc>
        <w:tc>
          <w:tcPr>
            <w:tcW w:w="3216" w:type="dxa"/>
            <w:shd w:val="clear" w:color="auto" w:fill="F2F7FC"/>
          </w:tcPr>
          <w:p w14:paraId="44212517"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In-memory </w:t>
            </w:r>
            <w:r>
              <w:rPr>
                <w:rFonts w:ascii="Consolas" w:hAnsi="Consolas"/>
                <w:color w:val="B01040"/>
                <w:sz w:val="19"/>
              </w:rPr>
              <w:t>HashMap</w:t>
            </w:r>
          </w:p>
        </w:tc>
        <w:tc>
          <w:tcPr>
            <w:tcW w:w="3216" w:type="dxa"/>
            <w:shd w:val="clear" w:color="auto" w:fill="F2F7FC"/>
          </w:tcPr>
          <w:p w14:paraId="4698C835"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Azure DB for Oracle</w:t>
            </w:r>
          </w:p>
        </w:tc>
      </w:tr>
      <w:tr w:rsidR="00F60946" w14:paraId="406B1F69"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C2BD10E" w14:textId="77777777" w:rsidR="00F60946" w:rsidRDefault="00000000">
            <w:r>
              <w:rPr>
                <w:sz w:val="19"/>
              </w:rPr>
              <w:t>Claims DB</w:t>
            </w:r>
          </w:p>
        </w:tc>
        <w:tc>
          <w:tcPr>
            <w:tcW w:w="3216" w:type="dxa"/>
          </w:tcPr>
          <w:p w14:paraId="38000B62"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none (output CSV only)</w:t>
            </w:r>
          </w:p>
        </w:tc>
        <w:tc>
          <w:tcPr>
            <w:tcW w:w="3216" w:type="dxa"/>
          </w:tcPr>
          <w:p w14:paraId="74C18DD5"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Azure DB for PostgreSQL</w:t>
            </w:r>
          </w:p>
        </w:tc>
      </w:tr>
      <w:tr w:rsidR="00F60946" w14:paraId="65E3B35C"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68A0E2DF" w14:textId="77777777" w:rsidR="00F60946" w:rsidRDefault="00000000">
            <w:r>
              <w:rPr>
                <w:sz w:val="19"/>
              </w:rPr>
              <w:t>Deductible cache</w:t>
            </w:r>
          </w:p>
        </w:tc>
        <w:tc>
          <w:tcPr>
            <w:tcW w:w="3216" w:type="dxa"/>
            <w:shd w:val="clear" w:color="auto" w:fill="F2F7FC"/>
          </w:tcPr>
          <w:p w14:paraId="7F2C7C25"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In-memory </w:t>
            </w:r>
            <w:r>
              <w:rPr>
                <w:rFonts w:ascii="Consolas" w:hAnsi="Consolas"/>
                <w:color w:val="B01040"/>
                <w:sz w:val="19"/>
              </w:rPr>
              <w:t>ConcurrentHashMap</w:t>
            </w:r>
          </w:p>
        </w:tc>
        <w:tc>
          <w:tcPr>
            <w:tcW w:w="3216" w:type="dxa"/>
            <w:shd w:val="clear" w:color="auto" w:fill="F2F7FC"/>
          </w:tcPr>
          <w:p w14:paraId="68A3904C"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Azure Cache for Redis (Premium, geo-replicated)</w:t>
            </w:r>
          </w:p>
        </w:tc>
      </w:tr>
      <w:tr w:rsidR="00F60946" w14:paraId="26D09F2B"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B64C502" w14:textId="77777777" w:rsidR="00F60946" w:rsidRDefault="00000000">
            <w:r>
              <w:rPr>
                <w:sz w:val="19"/>
              </w:rPr>
              <w:t>Audit store</w:t>
            </w:r>
          </w:p>
        </w:tc>
        <w:tc>
          <w:tcPr>
            <w:tcW w:w="3216" w:type="dxa"/>
          </w:tcPr>
          <w:p w14:paraId="13E6CFD8"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Logback console + file</w:t>
            </w:r>
          </w:p>
        </w:tc>
        <w:tc>
          <w:tcPr>
            <w:tcW w:w="3216" w:type="dxa"/>
          </w:tcPr>
          <w:p w14:paraId="18C05D86"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Claims DB audit table + Log Analytics</w:t>
            </w:r>
          </w:p>
        </w:tc>
      </w:tr>
      <w:tr w:rsidR="00F60946" w14:paraId="0B7F3A6F"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2C770505" w14:textId="77777777" w:rsidR="00F60946" w:rsidRDefault="00000000">
            <w:r>
              <w:rPr>
                <w:sz w:val="19"/>
              </w:rPr>
              <w:t>Batch trigger</w:t>
            </w:r>
          </w:p>
        </w:tc>
        <w:tc>
          <w:tcPr>
            <w:tcW w:w="3216" w:type="dxa"/>
            <w:shd w:val="clear" w:color="auto" w:fill="F2F7FC"/>
          </w:tcPr>
          <w:p w14:paraId="6D0866D5"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CLI arg</w:t>
            </w:r>
          </w:p>
        </w:tc>
        <w:tc>
          <w:tcPr>
            <w:tcW w:w="3216" w:type="dxa"/>
            <w:shd w:val="clear" w:color="auto" w:fill="F2F7FC"/>
          </w:tcPr>
          <w:p w14:paraId="765DE74C"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Kubernetes CronJob (</w:t>
            </w:r>
            <w:r>
              <w:rPr>
                <w:rFonts w:ascii="Consolas" w:hAnsi="Consolas"/>
                <w:color w:val="B01040"/>
                <w:sz w:val="19"/>
              </w:rPr>
              <w:t>schedule: "0 2 * * *"</w:t>
            </w:r>
            <w:r>
              <w:rPr>
                <w:sz w:val="19"/>
              </w:rPr>
              <w:t>) — Blob trigger optional</w:t>
            </w:r>
          </w:p>
        </w:tc>
      </w:tr>
      <w:tr w:rsidR="00F60946" w14:paraId="7660D258"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AF1767D" w14:textId="77777777" w:rsidR="00F60946" w:rsidRDefault="00000000">
            <w:r>
              <w:rPr>
                <w:sz w:val="19"/>
              </w:rPr>
              <w:t>Secrets</w:t>
            </w:r>
          </w:p>
        </w:tc>
        <w:tc>
          <w:tcPr>
            <w:tcW w:w="3216" w:type="dxa"/>
          </w:tcPr>
          <w:p w14:paraId="0C5B5BCD"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none</w:t>
            </w:r>
          </w:p>
        </w:tc>
        <w:tc>
          <w:tcPr>
            <w:tcW w:w="3216" w:type="dxa"/>
          </w:tcPr>
          <w:p w14:paraId="27DD7867"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Key Vault + Workload Identity</w:t>
            </w:r>
          </w:p>
        </w:tc>
      </w:tr>
      <w:tr w:rsidR="00F60946" w14:paraId="008FA2FE"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7B726C62" w14:textId="77777777" w:rsidR="00F60946" w:rsidRDefault="00000000">
            <w:r>
              <w:rPr>
                <w:sz w:val="19"/>
              </w:rPr>
              <w:t>Auth</w:t>
            </w:r>
          </w:p>
        </w:tc>
        <w:tc>
          <w:tcPr>
            <w:tcW w:w="3216" w:type="dxa"/>
            <w:shd w:val="clear" w:color="auto" w:fill="F2F7FC"/>
          </w:tcPr>
          <w:p w14:paraId="6FB4D386"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HTTP Basic in-mem</w:t>
            </w:r>
          </w:p>
        </w:tc>
        <w:tc>
          <w:tcPr>
            <w:tcW w:w="3216" w:type="dxa"/>
            <w:shd w:val="clear" w:color="auto" w:fill="F2F7FC"/>
          </w:tcPr>
          <w:p w14:paraId="0723B97D"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APIM OAuth2 (Entra ID) → JWT validated by Spring Security resource server</w:t>
            </w:r>
          </w:p>
        </w:tc>
      </w:tr>
      <w:tr w:rsidR="00F60946" w14:paraId="489893B4"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16C8EB1" w14:textId="77777777" w:rsidR="00F60946" w:rsidRDefault="00000000">
            <w:r>
              <w:rPr>
                <w:sz w:val="19"/>
              </w:rPr>
              <w:t>Metrics</w:t>
            </w:r>
          </w:p>
        </w:tc>
        <w:tc>
          <w:tcPr>
            <w:tcW w:w="3216" w:type="dxa"/>
          </w:tcPr>
          <w:p w14:paraId="5CAADA6B"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B01040"/>
                <w:sz w:val="19"/>
              </w:rPr>
              <w:t>/actuator/prometheus</w:t>
            </w:r>
            <w:r>
              <w:rPr>
                <w:sz w:val="19"/>
              </w:rPr>
              <w:t xml:space="preserve"> (ADMIN)</w:t>
            </w:r>
          </w:p>
        </w:tc>
        <w:tc>
          <w:tcPr>
            <w:tcW w:w="3216" w:type="dxa"/>
          </w:tcPr>
          <w:p w14:paraId="218A101B"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Application Insights + Azure Managed Grafana</w:t>
            </w:r>
          </w:p>
        </w:tc>
      </w:tr>
      <w:tr w:rsidR="00F60946" w14:paraId="33394B11"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20674D90" w14:textId="77777777" w:rsidR="00F60946" w:rsidRDefault="00000000">
            <w:r>
              <w:rPr>
                <w:sz w:val="19"/>
              </w:rPr>
              <w:t>Tracing</w:t>
            </w:r>
          </w:p>
        </w:tc>
        <w:tc>
          <w:tcPr>
            <w:tcW w:w="3216" w:type="dxa"/>
            <w:shd w:val="clear" w:color="auto" w:fill="F2F7FC"/>
          </w:tcPr>
          <w:p w14:paraId="361759BE"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logs only</w:t>
            </w:r>
          </w:p>
        </w:tc>
        <w:tc>
          <w:tcPr>
            <w:tcW w:w="3216" w:type="dxa"/>
            <w:shd w:val="clear" w:color="auto" w:fill="F2F7FC"/>
          </w:tcPr>
          <w:p w14:paraId="38DA8BFD"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OpenTelemetry → App Insights (W3C trace-context already propagated by Spring Boot)</w:t>
            </w:r>
          </w:p>
        </w:tc>
      </w:tr>
      <w:tr w:rsidR="00F60946" w14:paraId="13AC6F69"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801A311" w14:textId="77777777" w:rsidR="00F60946" w:rsidRDefault="00000000">
            <w:r>
              <w:rPr>
                <w:sz w:val="19"/>
              </w:rPr>
              <w:t>CI/CD</w:t>
            </w:r>
          </w:p>
        </w:tc>
        <w:tc>
          <w:tcPr>
            <w:tcW w:w="3216" w:type="dxa"/>
          </w:tcPr>
          <w:p w14:paraId="31D99F7D"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local mvn</w:t>
            </w:r>
          </w:p>
        </w:tc>
        <w:tc>
          <w:tcPr>
            <w:tcW w:w="3216" w:type="dxa"/>
          </w:tcPr>
          <w:p w14:paraId="04C84FDC"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GitHub Actions / Azure DevOps → ACR → AKS rollout</w:t>
            </w:r>
          </w:p>
        </w:tc>
      </w:tr>
      <w:tr w:rsidR="00F60946" w14:paraId="7A6762BB"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593AC35E" w14:textId="77777777" w:rsidR="00F60946" w:rsidRDefault="00000000">
            <w:r>
              <w:rPr>
                <w:sz w:val="19"/>
              </w:rPr>
              <w:t>Frontend</w:t>
            </w:r>
          </w:p>
        </w:tc>
        <w:tc>
          <w:tcPr>
            <w:tcW w:w="3216" w:type="dxa"/>
            <w:shd w:val="clear" w:color="auto" w:fill="F2F7FC"/>
          </w:tcPr>
          <w:p w14:paraId="3E65DE24"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Angular dev server</w:t>
            </w:r>
          </w:p>
        </w:tc>
        <w:tc>
          <w:tcPr>
            <w:tcW w:w="3216" w:type="dxa"/>
            <w:shd w:val="clear" w:color="auto" w:fill="F2F7FC"/>
          </w:tcPr>
          <w:p w14:paraId="6507E19E"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Static Web Apps (with APIM as backend)</w:t>
            </w:r>
          </w:p>
        </w:tc>
      </w:tr>
    </w:tbl>
    <w:p w14:paraId="6B439532" w14:textId="77777777" w:rsidR="00F60946" w:rsidRDefault="00000000">
      <w:pPr>
        <w:pStyle w:val="Heading3"/>
      </w:pPr>
      <w:r>
        <w:t>10.8 Cross-cutting concerns added on the cloud path</w:t>
      </w:r>
    </w:p>
    <w:p w14:paraId="1ABF8359" w14:textId="77777777" w:rsidR="00F60946" w:rsidRDefault="00000000">
      <w:pPr>
        <w:pStyle w:val="ListBullet"/>
      </w:pPr>
      <w:r>
        <w:rPr>
          <w:b/>
        </w:rPr>
        <w:t>Idempotency:</w:t>
      </w:r>
      <w:r>
        <w:t xml:space="preserve"> every REST call accepts </w:t>
      </w:r>
      <w:r>
        <w:rPr>
          <w:rFonts w:ascii="Consolas" w:hAnsi="Consolas"/>
          <w:color w:val="B01040"/>
          <w:sz w:val="18"/>
        </w:rPr>
        <w:t>Idempotency-Key</w:t>
      </w:r>
      <w:r>
        <w:t xml:space="preserve"> header; APIM dedupes; engine cache </w:t>
      </w:r>
      <w:r>
        <w:rPr>
          <w:rFonts w:ascii="Consolas" w:hAnsi="Consolas"/>
          <w:color w:val="B01040"/>
          <w:sz w:val="18"/>
        </w:rPr>
        <w:t>(holder, dos, billed)</w:t>
      </w:r>
      <w:r>
        <w:t xml:space="preserve"> for 24 h.</w:t>
      </w:r>
    </w:p>
    <w:p w14:paraId="401E9B43" w14:textId="77777777" w:rsidR="00F60946" w:rsidRDefault="00000000">
      <w:pPr>
        <w:pStyle w:val="ListBullet"/>
      </w:pPr>
      <w:r>
        <w:rPr>
          <w:b/>
        </w:rPr>
        <w:t>Circuit-breaker / retry:</w:t>
      </w:r>
      <w:r>
        <w:t xml:space="preserve"> Resilience4j around Oracle + Redis + downstream </w:t>
      </w:r>
      <w:r>
        <w:rPr>
          <w:rFonts w:ascii="Consolas" w:hAnsi="Consolas"/>
          <w:color w:val="B01040"/>
          <w:sz w:val="18"/>
        </w:rPr>
        <w:t>deductible-svc</w:t>
      </w:r>
      <w:r>
        <w:t>.</w:t>
      </w:r>
    </w:p>
    <w:p w14:paraId="71374070" w14:textId="77777777" w:rsidR="00F60946" w:rsidRDefault="00000000">
      <w:pPr>
        <w:pStyle w:val="ListBullet"/>
      </w:pPr>
      <w:r>
        <w:rPr>
          <w:b/>
        </w:rPr>
        <w:t>Dead-letter:</w:t>
      </w:r>
      <w:r>
        <w:t xml:space="preserve"> Service Bus DLQ for poison messages; Logic App alerts ops.</w:t>
      </w:r>
    </w:p>
    <w:p w14:paraId="6FB0067D" w14:textId="77777777" w:rsidR="00F60946" w:rsidRDefault="00000000">
      <w:pPr>
        <w:pStyle w:val="ListBullet"/>
      </w:pPr>
      <w:r>
        <w:rPr>
          <w:b/>
        </w:rPr>
        <w:t>Zero-trust:</w:t>
      </w:r>
      <w:r>
        <w:t xml:space="preserve"> mTLS pod-to-pod via Azure Service Mesh (or Istio); Key Vault for all secrets; Managed Identity, no passwords in </w:t>
      </w:r>
      <w:r>
        <w:rPr>
          <w:rFonts w:ascii="Consolas" w:hAnsi="Consolas"/>
          <w:color w:val="B01040"/>
          <w:sz w:val="18"/>
        </w:rPr>
        <w:t>application.yml</w:t>
      </w:r>
      <w:r>
        <w:t>.</w:t>
      </w:r>
    </w:p>
    <w:p w14:paraId="4EF5E8B6" w14:textId="77777777" w:rsidR="00F60946" w:rsidRDefault="00000000">
      <w:pPr>
        <w:pStyle w:val="ListBullet"/>
      </w:pPr>
      <w:r>
        <w:rPr>
          <w:b/>
        </w:rPr>
        <w:t>Multi-region DR:</w:t>
      </w:r>
      <w:r>
        <w:t xml:space="preserve"> Front Door active-active, AKS in two paired regions, Cosmos DB multi-write, Redis geo-replication.</w:t>
      </w:r>
    </w:p>
    <w:p w14:paraId="4AED7F55" w14:textId="77777777" w:rsidR="00F60946" w:rsidRDefault="00000000">
      <w:pPr>
        <w:pStyle w:val="ListBullet"/>
      </w:pPr>
      <w:r>
        <w:rPr>
          <w:b/>
        </w:rPr>
        <w:t>Compliance:</w:t>
      </w:r>
      <w:r>
        <w:t xml:space="preserve"> HIPAA — audit log immutable in Cosmos with TTL=7y; PII redaction filter in Logback before App Insights sink.</w:t>
      </w:r>
    </w:p>
    <w:p w14:paraId="143ACB54" w14:textId="77777777" w:rsidR="00F60946" w:rsidRDefault="00F60946">
      <w:pPr>
        <w:pBdr>
          <w:bottom w:val="single" w:sz="6" w:space="1" w:color="808080"/>
        </w:pBdr>
      </w:pPr>
    </w:p>
    <w:p w14:paraId="2E971B20" w14:textId="77777777" w:rsidR="00F60946" w:rsidRDefault="00000000">
      <w:r>
        <w:br w:type="page"/>
      </w:r>
    </w:p>
    <w:p w14:paraId="75F86AA5" w14:textId="77777777" w:rsidR="00F60946" w:rsidRDefault="00000000">
      <w:pPr>
        <w:pStyle w:val="Heading2"/>
      </w:pPr>
      <w:r>
        <w:lastRenderedPageBreak/>
        <w:t>11. Test Strategy</w:t>
      </w:r>
    </w:p>
    <w:p w14:paraId="56203BD8" w14:textId="77777777" w:rsidR="00F60946" w:rsidRDefault="00000000">
      <w:pPr>
        <w:pStyle w:val="Heading3"/>
      </w:pPr>
      <w:r>
        <w:t>Unit tests (JUnit 5 + AssertJ)</w:t>
      </w:r>
    </w:p>
    <w:tbl>
      <w:tblPr>
        <w:tblStyle w:val="LightGrid-Accent1"/>
        <w:tblW w:w="0" w:type="auto"/>
        <w:tblLook w:val="04A0" w:firstRow="1" w:lastRow="0" w:firstColumn="1" w:lastColumn="0" w:noHBand="0" w:noVBand="1"/>
      </w:tblPr>
      <w:tblGrid>
        <w:gridCol w:w="4824"/>
        <w:gridCol w:w="4824"/>
      </w:tblGrid>
      <w:tr w:rsidR="00F60946" w14:paraId="635F7967" w14:textId="77777777" w:rsidTr="00F609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shd w:val="clear" w:color="auto" w:fill="1F4E79"/>
          </w:tcPr>
          <w:p w14:paraId="2DA4A9B5" w14:textId="77777777" w:rsidR="00F60946" w:rsidRDefault="00000000">
            <w:r>
              <w:rPr>
                <w:color w:val="FFFFFF"/>
                <w:sz w:val="20"/>
              </w:rPr>
              <w:t>Test class</w:t>
            </w:r>
          </w:p>
        </w:tc>
        <w:tc>
          <w:tcPr>
            <w:tcW w:w="4824" w:type="dxa"/>
            <w:shd w:val="clear" w:color="auto" w:fill="1F4E79"/>
          </w:tcPr>
          <w:p w14:paraId="210F4F3C" w14:textId="77777777" w:rsidR="00F6094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it covers</w:t>
            </w:r>
          </w:p>
        </w:tc>
      </w:tr>
      <w:tr w:rsidR="00F60946" w14:paraId="5D233A25"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0C13EA1" w14:textId="77777777" w:rsidR="00F60946" w:rsidRDefault="00000000">
            <w:r>
              <w:rPr>
                <w:rFonts w:ascii="Consolas" w:hAnsi="Consolas"/>
                <w:color w:val="B01040"/>
                <w:sz w:val="19"/>
              </w:rPr>
              <w:t>CoverageRuleParserTest</w:t>
            </w:r>
          </w:p>
        </w:tc>
        <w:tc>
          <w:tcPr>
            <w:tcW w:w="4824" w:type="dxa"/>
          </w:tcPr>
          <w:p w14:paraId="708C9B00"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All three rule type parsings, edge cases (no $ sign, "100" as flat dollar, mixed case)</w:t>
            </w:r>
          </w:p>
        </w:tc>
      </w:tr>
      <w:tr w:rsidR="00F60946" w14:paraId="3363326C"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shd w:val="clear" w:color="auto" w:fill="F2F7FC"/>
          </w:tcPr>
          <w:p w14:paraId="2B7A940E" w14:textId="77777777" w:rsidR="00F60946" w:rsidRDefault="00000000">
            <w:r>
              <w:rPr>
                <w:rFonts w:ascii="Consolas" w:hAnsi="Consolas"/>
                <w:color w:val="B01040"/>
                <w:sz w:val="19"/>
              </w:rPr>
              <w:t>DeductibleServiceTest</w:t>
            </w:r>
          </w:p>
        </w:tc>
        <w:tc>
          <w:tcPr>
            <w:tcW w:w="4824" w:type="dxa"/>
            <w:shd w:val="clear" w:color="auto" w:fill="F2F7FC"/>
          </w:tcPr>
          <w:p w14:paraId="188EA52B"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Individual met only, family met only, neither met (holder pays 100%), both met, and a strict-atomic boundary case (YTD just under threshold, single claim does NOT cross within itself)</w:t>
            </w:r>
          </w:p>
        </w:tc>
      </w:tr>
      <w:tr w:rsidR="00F60946" w14:paraId="01A99ED0"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F921DDD" w14:textId="77777777" w:rsidR="00F60946" w:rsidRDefault="00000000">
            <w:r>
              <w:rPr>
                <w:rFonts w:ascii="Consolas" w:hAnsi="Consolas"/>
                <w:color w:val="B01040"/>
                <w:sz w:val="19"/>
              </w:rPr>
              <w:t>ValidationServiceTest</w:t>
            </w:r>
          </w:p>
        </w:tc>
        <w:tc>
          <w:tcPr>
            <w:tcW w:w="4824" w:type="dxa"/>
          </w:tcPr>
          <w:p w14:paraId="2390B62D"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Each error code triggered correctly, valid claim passes</w:t>
            </w:r>
          </w:p>
        </w:tc>
      </w:tr>
      <w:tr w:rsidR="00F60946" w14:paraId="596196BD"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shd w:val="clear" w:color="auto" w:fill="F2F7FC"/>
          </w:tcPr>
          <w:p w14:paraId="633E4975" w14:textId="77777777" w:rsidR="00F60946" w:rsidRDefault="00000000">
            <w:r>
              <w:rPr>
                <w:rFonts w:ascii="Consolas" w:hAnsi="Consolas"/>
                <w:color w:val="B01040"/>
                <w:sz w:val="19"/>
              </w:rPr>
              <w:t>ClaimsEngineTest</w:t>
            </w:r>
          </w:p>
        </w:tc>
        <w:tc>
          <w:tcPr>
            <w:tcW w:w="4824" w:type="dxa"/>
            <w:shd w:val="clear" w:color="auto" w:fill="F2F7FC"/>
          </w:tcPr>
          <w:p w14:paraId="6794FAAC"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Full claim-to-result for each row in SampleTransactionsProcessed (golden path)</w:t>
            </w:r>
          </w:p>
        </w:tc>
      </w:tr>
    </w:tbl>
    <w:p w14:paraId="0FE0ACFA" w14:textId="77777777" w:rsidR="00F60946" w:rsidRDefault="00000000">
      <w:pPr>
        <w:pStyle w:val="Heading3"/>
      </w:pPr>
      <w:r>
        <w:t>Integration test</w:t>
      </w:r>
    </w:p>
    <w:p w14:paraId="39589DE8" w14:textId="77777777" w:rsidR="00F60946" w:rsidRDefault="00000000">
      <w:r>
        <w:rPr>
          <w:rFonts w:ascii="Consolas" w:hAnsi="Consolas"/>
          <w:color w:val="B01040"/>
          <w:sz w:val="18"/>
        </w:rPr>
        <w:t>BatchProcessorTest</w:t>
      </w:r>
      <w:r>
        <w:t xml:space="preserve">: reads the full </w:t>
      </w:r>
      <w:r>
        <w:rPr>
          <w:rFonts w:ascii="Consolas" w:hAnsi="Consolas"/>
          <w:color w:val="B01040"/>
          <w:sz w:val="18"/>
        </w:rPr>
        <w:t>SampleTransactions</w:t>
      </w:r>
      <w:r>
        <w:t xml:space="preserve"> CSV and compares output row-by-row against </w:t>
      </w:r>
      <w:r>
        <w:rPr>
          <w:rFonts w:ascii="Consolas" w:hAnsi="Consolas"/>
          <w:color w:val="B01040"/>
          <w:sz w:val="18"/>
        </w:rPr>
        <w:t>SampleTransactionsProcessed</w:t>
      </w:r>
      <w:r>
        <w:t>. This is the demo test.</w:t>
      </w:r>
    </w:p>
    <w:p w14:paraId="17AE91C5" w14:textId="77777777" w:rsidR="00F60946" w:rsidRDefault="00000000">
      <w:pPr>
        <w:pStyle w:val="Heading3"/>
      </w:pPr>
      <w:r>
        <w:t>Additional test cases (beyond sample data)</w:t>
      </w:r>
    </w:p>
    <w:p w14:paraId="1F1AE6CB" w14:textId="77777777" w:rsidR="00F60946" w:rsidRDefault="00000000">
      <w:pPr>
        <w:pStyle w:val="ListBullet"/>
      </w:pPr>
      <w:r>
        <w:t>Claim exactly at the deductible threshold (boundary test)</w:t>
      </w:r>
    </w:p>
    <w:p w14:paraId="6614C45F" w14:textId="77777777" w:rsidR="00F60946" w:rsidRDefault="00000000">
      <w:pPr>
        <w:pStyle w:val="ListBullet"/>
      </w:pPr>
      <w:r>
        <w:t>Family deductible met before individual (P001 family scenario)</w:t>
      </w:r>
    </w:p>
    <w:p w14:paraId="45BE6D6B" w14:textId="77777777" w:rsidR="00F60946" w:rsidRDefault="00000000">
      <w:pPr>
        <w:pStyle w:val="ListBullet"/>
      </w:pPr>
      <w:r>
        <w:t>Service date = coverage start date (inclusive)</w:t>
      </w:r>
    </w:p>
    <w:p w14:paraId="357873D8" w14:textId="77777777" w:rsidR="00F60946" w:rsidRDefault="00000000">
      <w:pPr>
        <w:pStyle w:val="ListBullet"/>
      </w:pPr>
      <w:r>
        <w:t>Service date = coverage end date (inclusive)</w:t>
      </w:r>
    </w:p>
    <w:p w14:paraId="6900F45E" w14:textId="77777777" w:rsidR="00F60946" w:rsidRDefault="00000000">
      <w:pPr>
        <w:pStyle w:val="ListBullet"/>
      </w:pPr>
      <w:r>
        <w:t>billedAmount = $0 edge case</w:t>
      </w:r>
    </w:p>
    <w:p w14:paraId="64AB9E40" w14:textId="77777777" w:rsidR="00F60946" w:rsidRDefault="00000000">
      <w:pPr>
        <w:pStyle w:val="ListBullet"/>
      </w:pPr>
      <w:r>
        <w:t>malformed billedAmount in CSV (e.g., "abc")</w:t>
      </w:r>
    </w:p>
    <w:p w14:paraId="26E2F0DE" w14:textId="77777777" w:rsidR="00F60946" w:rsidRDefault="00000000">
      <w:pPr>
        <w:pStyle w:val="ListBullet"/>
      </w:pPr>
      <w:r>
        <w:t>Empty CSV file</w:t>
      </w:r>
    </w:p>
    <w:p w14:paraId="6B3F3289" w14:textId="77777777" w:rsidR="00F60946" w:rsidRDefault="00000000">
      <w:pPr>
        <w:pStyle w:val="ListBullet"/>
      </w:pPr>
      <w:r>
        <w:t>CSV with only a header row</w:t>
      </w:r>
    </w:p>
    <w:p w14:paraId="7282B351" w14:textId="77777777" w:rsidR="00F60946" w:rsidRDefault="00F60946">
      <w:pPr>
        <w:pBdr>
          <w:bottom w:val="single" w:sz="6" w:space="1" w:color="808080"/>
        </w:pBdr>
      </w:pPr>
    </w:p>
    <w:p w14:paraId="1B262CE1" w14:textId="77777777" w:rsidR="00F60946" w:rsidRDefault="00000000">
      <w:r>
        <w:br w:type="page"/>
      </w:r>
    </w:p>
    <w:p w14:paraId="2294705B" w14:textId="77777777" w:rsidR="00F60946" w:rsidRDefault="00000000">
      <w:pPr>
        <w:pStyle w:val="Heading2"/>
      </w:pPr>
      <w:r>
        <w:lastRenderedPageBreak/>
        <w:t>12. pom.xml dependencies</w:t>
      </w:r>
    </w:p>
    <w:p w14:paraId="33A72AE0" w14:textId="77777777" w:rsidR="00F60946" w:rsidRDefault="00000000">
      <w:pPr>
        <w:pBdr>
          <w:top w:val="single" w:sz="4" w:space="4" w:color="CCCCCC"/>
          <w:left w:val="single" w:sz="4" w:space="4" w:color="CCCCCC"/>
          <w:bottom w:val="single" w:sz="4" w:space="4" w:color="CCCCCC"/>
          <w:right w:val="single" w:sz="4" w:space="4" w:color="CCCCCC"/>
        </w:pBdr>
        <w:shd w:val="clear" w:color="auto" w:fill="F4F4F4"/>
        <w:spacing w:before="80" w:after="160"/>
        <w:ind w:left="170" w:right="170"/>
      </w:pPr>
      <w:r>
        <w:rPr>
          <w:rFonts w:ascii="Consolas" w:hAnsi="Consolas"/>
          <w:color w:val="1F2A44"/>
          <w:sz w:val="17"/>
        </w:rPr>
        <w:t>&lt;dependencies&gt;</w:t>
      </w:r>
      <w:r>
        <w:rPr>
          <w:rFonts w:ascii="Consolas" w:hAnsi="Consolas"/>
          <w:color w:val="1F2A44"/>
          <w:sz w:val="17"/>
        </w:rPr>
        <w:br/>
        <w:t xml:space="preserve">  &lt;!-- Spring Boot Web + Thymeleaf --&gt;</w:t>
      </w:r>
      <w:r>
        <w:rPr>
          <w:rFonts w:ascii="Consolas" w:hAnsi="Consolas"/>
          <w:color w:val="1F2A44"/>
          <w:sz w:val="17"/>
        </w:rPr>
        <w:br/>
        <w:t xml:space="preserve">  &lt;dependency&gt;</w:t>
      </w:r>
      <w:r>
        <w:rPr>
          <w:rFonts w:ascii="Consolas" w:hAnsi="Consolas"/>
          <w:color w:val="1F2A44"/>
          <w:sz w:val="17"/>
        </w:rPr>
        <w:br/>
        <w:t xml:space="preserve">    &lt;groupId&gt;org.springframework.boot&lt;/groupId&gt;</w:t>
      </w:r>
      <w:r>
        <w:rPr>
          <w:rFonts w:ascii="Consolas" w:hAnsi="Consolas"/>
          <w:color w:val="1F2A44"/>
          <w:sz w:val="17"/>
        </w:rPr>
        <w:br/>
        <w:t xml:space="preserve">    &lt;artifactId&gt;spring-boot-starter-web&lt;/artifactId&gt;</w:t>
      </w:r>
      <w:r>
        <w:rPr>
          <w:rFonts w:ascii="Consolas" w:hAnsi="Consolas"/>
          <w:color w:val="1F2A44"/>
          <w:sz w:val="17"/>
        </w:rPr>
        <w:br/>
        <w:t xml:space="preserve">  &lt;/dependency&gt;</w:t>
      </w:r>
      <w:r>
        <w:rPr>
          <w:rFonts w:ascii="Consolas" w:hAnsi="Consolas"/>
          <w:color w:val="1F2A44"/>
          <w:sz w:val="17"/>
        </w:rPr>
        <w:br/>
        <w:t xml:space="preserve">  &lt;dependency&gt;</w:t>
      </w:r>
      <w:r>
        <w:rPr>
          <w:rFonts w:ascii="Consolas" w:hAnsi="Consolas"/>
          <w:color w:val="1F2A44"/>
          <w:sz w:val="17"/>
        </w:rPr>
        <w:br/>
        <w:t xml:space="preserve">    &lt;groupId&gt;org.springframework.boot&lt;/groupId&gt;</w:t>
      </w:r>
      <w:r>
        <w:rPr>
          <w:rFonts w:ascii="Consolas" w:hAnsi="Consolas"/>
          <w:color w:val="1F2A44"/>
          <w:sz w:val="17"/>
        </w:rPr>
        <w:br/>
        <w:t xml:space="preserve">    &lt;artifactId&gt;spring-boot-starter-thymeleaf&lt;/artifactId&gt;</w:t>
      </w:r>
      <w:r>
        <w:rPr>
          <w:rFonts w:ascii="Consolas" w:hAnsi="Consolas"/>
          <w:color w:val="1F2A44"/>
          <w:sz w:val="17"/>
        </w:rPr>
        <w:br/>
        <w:t xml:space="preserve">  &lt;/dependency&gt;</w:t>
      </w:r>
      <w:r>
        <w:rPr>
          <w:rFonts w:ascii="Consolas" w:hAnsi="Consolas"/>
          <w:color w:val="1F2A44"/>
          <w:sz w:val="17"/>
        </w:rPr>
        <w:br/>
        <w:t xml:space="preserve">  &lt;dependency&gt;</w:t>
      </w:r>
      <w:r>
        <w:rPr>
          <w:rFonts w:ascii="Consolas" w:hAnsi="Consolas"/>
          <w:color w:val="1F2A44"/>
          <w:sz w:val="17"/>
        </w:rPr>
        <w:br/>
        <w:t xml:space="preserve">    &lt;groupId&gt;org.springframework.boot&lt;/groupId&gt;</w:t>
      </w:r>
      <w:r>
        <w:rPr>
          <w:rFonts w:ascii="Consolas" w:hAnsi="Consolas"/>
          <w:color w:val="1F2A44"/>
          <w:sz w:val="17"/>
        </w:rPr>
        <w:br/>
        <w:t xml:space="preserve">    &lt;artifactId&gt;spring-boot-starter-validation&lt;/artifactId&gt;</w:t>
      </w:r>
      <w:r>
        <w:rPr>
          <w:rFonts w:ascii="Consolas" w:hAnsi="Consolas"/>
          <w:color w:val="1F2A44"/>
          <w:sz w:val="17"/>
        </w:rPr>
        <w:br/>
        <w:t xml:space="preserve">  &lt;/dependency&gt;</w:t>
      </w:r>
      <w:r>
        <w:rPr>
          <w:rFonts w:ascii="Consolas" w:hAnsi="Consolas"/>
          <w:color w:val="1F2A44"/>
          <w:sz w:val="17"/>
        </w:rPr>
        <w:br/>
      </w:r>
      <w:r>
        <w:rPr>
          <w:rFonts w:ascii="Consolas" w:hAnsi="Consolas"/>
          <w:color w:val="1F2A44"/>
          <w:sz w:val="17"/>
        </w:rPr>
        <w:br/>
        <w:t xml:space="preserve">  &lt;!-- Apache POI for Excel --&gt;</w:t>
      </w:r>
      <w:r>
        <w:rPr>
          <w:rFonts w:ascii="Consolas" w:hAnsi="Consolas"/>
          <w:color w:val="1F2A44"/>
          <w:sz w:val="17"/>
        </w:rPr>
        <w:br/>
        <w:t xml:space="preserve">  &lt;dependency&gt;</w:t>
      </w:r>
      <w:r>
        <w:rPr>
          <w:rFonts w:ascii="Consolas" w:hAnsi="Consolas"/>
          <w:color w:val="1F2A44"/>
          <w:sz w:val="17"/>
        </w:rPr>
        <w:br/>
        <w:t xml:space="preserve">    &lt;groupId&gt;org.apache.poi&lt;/groupId&gt;</w:t>
      </w:r>
      <w:r>
        <w:rPr>
          <w:rFonts w:ascii="Consolas" w:hAnsi="Consolas"/>
          <w:color w:val="1F2A44"/>
          <w:sz w:val="17"/>
        </w:rPr>
        <w:br/>
        <w:t xml:space="preserve">    &lt;artifactId&gt;poi-ooxml&lt;/artifactId&gt;</w:t>
      </w:r>
      <w:r>
        <w:rPr>
          <w:rFonts w:ascii="Consolas" w:hAnsi="Consolas"/>
          <w:color w:val="1F2A44"/>
          <w:sz w:val="17"/>
        </w:rPr>
        <w:br/>
        <w:t xml:space="preserve">    &lt;version&gt;5.3.0&lt;/version&gt;</w:t>
      </w:r>
      <w:r>
        <w:rPr>
          <w:rFonts w:ascii="Consolas" w:hAnsi="Consolas"/>
          <w:color w:val="1F2A44"/>
          <w:sz w:val="17"/>
        </w:rPr>
        <w:br/>
        <w:t xml:space="preserve">  &lt;/dependency&gt;</w:t>
      </w:r>
      <w:r>
        <w:rPr>
          <w:rFonts w:ascii="Consolas" w:hAnsi="Consolas"/>
          <w:color w:val="1F2A44"/>
          <w:sz w:val="17"/>
        </w:rPr>
        <w:br/>
      </w:r>
      <w:r>
        <w:rPr>
          <w:rFonts w:ascii="Consolas" w:hAnsi="Consolas"/>
          <w:color w:val="1F2A44"/>
          <w:sz w:val="17"/>
        </w:rPr>
        <w:br/>
        <w:t xml:space="preserve">  &lt;!-- OpenCSV for CSV parsing/writing --&gt;</w:t>
      </w:r>
      <w:r>
        <w:rPr>
          <w:rFonts w:ascii="Consolas" w:hAnsi="Consolas"/>
          <w:color w:val="1F2A44"/>
          <w:sz w:val="17"/>
        </w:rPr>
        <w:br/>
        <w:t xml:space="preserve">  &lt;dependency&gt;</w:t>
      </w:r>
      <w:r>
        <w:rPr>
          <w:rFonts w:ascii="Consolas" w:hAnsi="Consolas"/>
          <w:color w:val="1F2A44"/>
          <w:sz w:val="17"/>
        </w:rPr>
        <w:br/>
        <w:t xml:space="preserve">    &lt;groupId&gt;com.opencsv&lt;/groupId&gt;</w:t>
      </w:r>
      <w:r>
        <w:rPr>
          <w:rFonts w:ascii="Consolas" w:hAnsi="Consolas"/>
          <w:color w:val="1F2A44"/>
          <w:sz w:val="17"/>
        </w:rPr>
        <w:br/>
        <w:t xml:space="preserve">    &lt;artifactId&gt;opencsv&lt;/artifactId&gt;</w:t>
      </w:r>
      <w:r>
        <w:rPr>
          <w:rFonts w:ascii="Consolas" w:hAnsi="Consolas"/>
          <w:color w:val="1F2A44"/>
          <w:sz w:val="17"/>
        </w:rPr>
        <w:br/>
        <w:t xml:space="preserve">    &lt;version&gt;5.9&lt;/version&gt;</w:t>
      </w:r>
      <w:r>
        <w:rPr>
          <w:rFonts w:ascii="Consolas" w:hAnsi="Consolas"/>
          <w:color w:val="1F2A44"/>
          <w:sz w:val="17"/>
        </w:rPr>
        <w:br/>
        <w:t xml:space="preserve">  &lt;/dependency&gt;</w:t>
      </w:r>
      <w:r>
        <w:rPr>
          <w:rFonts w:ascii="Consolas" w:hAnsi="Consolas"/>
          <w:color w:val="1F2A44"/>
          <w:sz w:val="17"/>
        </w:rPr>
        <w:br/>
      </w:r>
      <w:r>
        <w:rPr>
          <w:rFonts w:ascii="Consolas" w:hAnsi="Consolas"/>
          <w:color w:val="1F2A44"/>
          <w:sz w:val="17"/>
        </w:rPr>
        <w:br/>
        <w:t xml:space="preserve">  &lt;!-- Test --&gt;</w:t>
      </w:r>
      <w:r>
        <w:rPr>
          <w:rFonts w:ascii="Consolas" w:hAnsi="Consolas"/>
          <w:color w:val="1F2A44"/>
          <w:sz w:val="17"/>
        </w:rPr>
        <w:br/>
        <w:t xml:space="preserve">  &lt;dependency&gt;</w:t>
      </w:r>
      <w:r>
        <w:rPr>
          <w:rFonts w:ascii="Consolas" w:hAnsi="Consolas"/>
          <w:color w:val="1F2A44"/>
          <w:sz w:val="17"/>
        </w:rPr>
        <w:br/>
        <w:t xml:space="preserve">    &lt;groupId&gt;org.springframework.boot&lt;/groupId&gt;</w:t>
      </w:r>
      <w:r>
        <w:rPr>
          <w:rFonts w:ascii="Consolas" w:hAnsi="Consolas"/>
          <w:color w:val="1F2A44"/>
          <w:sz w:val="17"/>
        </w:rPr>
        <w:br/>
        <w:t xml:space="preserve">    &lt;artifactId&gt;spring-boot-starter-test&lt;/artifactId&gt;</w:t>
      </w:r>
      <w:r>
        <w:rPr>
          <w:rFonts w:ascii="Consolas" w:hAnsi="Consolas"/>
          <w:color w:val="1F2A44"/>
          <w:sz w:val="17"/>
        </w:rPr>
        <w:br/>
        <w:t xml:space="preserve">    &lt;scope&gt;test&lt;/scope&gt;</w:t>
      </w:r>
      <w:r>
        <w:rPr>
          <w:rFonts w:ascii="Consolas" w:hAnsi="Consolas"/>
          <w:color w:val="1F2A44"/>
          <w:sz w:val="17"/>
        </w:rPr>
        <w:br/>
        <w:t xml:space="preserve">  &lt;/dependency&gt;</w:t>
      </w:r>
      <w:r>
        <w:rPr>
          <w:rFonts w:ascii="Consolas" w:hAnsi="Consolas"/>
          <w:color w:val="1F2A44"/>
          <w:sz w:val="17"/>
        </w:rPr>
        <w:br/>
        <w:t>&lt;/dependencies&gt;</w:t>
      </w:r>
      <w:r>
        <w:rPr>
          <w:rFonts w:ascii="Consolas" w:hAnsi="Consolas"/>
          <w:color w:val="1F2A44"/>
          <w:sz w:val="17"/>
        </w:rPr>
        <w:br/>
      </w:r>
      <w:r>
        <w:rPr>
          <w:rFonts w:ascii="Consolas" w:hAnsi="Consolas"/>
          <w:color w:val="1F2A44"/>
          <w:sz w:val="17"/>
        </w:rPr>
        <w:br/>
        <w:t>&lt;build&gt;</w:t>
      </w:r>
      <w:r>
        <w:rPr>
          <w:rFonts w:ascii="Consolas" w:hAnsi="Consolas"/>
          <w:color w:val="1F2A44"/>
          <w:sz w:val="17"/>
        </w:rPr>
        <w:br/>
        <w:t xml:space="preserve">  &lt;plugins&gt;</w:t>
      </w:r>
      <w:r>
        <w:rPr>
          <w:rFonts w:ascii="Consolas" w:hAnsi="Consolas"/>
          <w:color w:val="1F2A44"/>
          <w:sz w:val="17"/>
        </w:rPr>
        <w:br/>
        <w:t xml:space="preserve">    &lt;plugin&gt;</w:t>
      </w:r>
      <w:r>
        <w:rPr>
          <w:rFonts w:ascii="Consolas" w:hAnsi="Consolas"/>
          <w:color w:val="1F2A44"/>
          <w:sz w:val="17"/>
        </w:rPr>
        <w:br/>
        <w:t xml:space="preserve">      &lt;groupId&gt;org.springframework.boot&lt;/groupId&gt;</w:t>
      </w:r>
      <w:r>
        <w:rPr>
          <w:rFonts w:ascii="Consolas" w:hAnsi="Consolas"/>
          <w:color w:val="1F2A44"/>
          <w:sz w:val="17"/>
        </w:rPr>
        <w:br/>
        <w:t xml:space="preserve">      &lt;artifactId&gt;spring-boot-maven-plugin&lt;/artifactId&gt;</w:t>
      </w:r>
      <w:r>
        <w:rPr>
          <w:rFonts w:ascii="Consolas" w:hAnsi="Consolas"/>
          <w:color w:val="1F2A44"/>
          <w:sz w:val="17"/>
        </w:rPr>
        <w:br/>
        <w:t xml:space="preserve">    &lt;/plugin&gt;</w:t>
      </w:r>
      <w:r>
        <w:rPr>
          <w:rFonts w:ascii="Consolas" w:hAnsi="Consolas"/>
          <w:color w:val="1F2A44"/>
          <w:sz w:val="17"/>
        </w:rPr>
        <w:br/>
        <w:t xml:space="preserve">  &lt;/plugins&gt;</w:t>
      </w:r>
      <w:r>
        <w:rPr>
          <w:rFonts w:ascii="Consolas" w:hAnsi="Consolas"/>
          <w:color w:val="1F2A44"/>
          <w:sz w:val="17"/>
        </w:rPr>
        <w:br/>
        <w:t>&lt;/build&gt;</w:t>
      </w:r>
    </w:p>
    <w:p w14:paraId="2F24A8B8" w14:textId="77777777" w:rsidR="00F60946" w:rsidRDefault="00F60946">
      <w:pPr>
        <w:pBdr>
          <w:bottom w:val="single" w:sz="6" w:space="1" w:color="808080"/>
        </w:pBdr>
      </w:pPr>
    </w:p>
    <w:p w14:paraId="2C69706A" w14:textId="77777777" w:rsidR="00F60946" w:rsidRDefault="00000000">
      <w:r>
        <w:br w:type="page"/>
      </w:r>
    </w:p>
    <w:p w14:paraId="640A569E" w14:textId="77777777" w:rsidR="00F60946" w:rsidRDefault="00000000">
      <w:pPr>
        <w:pStyle w:val="Heading2"/>
      </w:pPr>
      <w:r>
        <w:lastRenderedPageBreak/>
        <w:t>13. Interview Talking Points</w:t>
      </w:r>
    </w:p>
    <w:p w14:paraId="7BA9C981" w14:textId="77777777" w:rsidR="00F60946" w:rsidRDefault="00000000">
      <w:r>
        <w:rPr>
          <w:b/>
        </w:rPr>
        <w:t>"Walk me through your assumptions"</w:t>
      </w:r>
    </w:p>
    <w:p w14:paraId="3BA45F76" w14:textId="77777777" w:rsidR="00F60946" w:rsidRDefault="00000000">
      <w:pPr>
        <w:shd w:val="clear" w:color="auto" w:fill="EEF2F7"/>
        <w:ind w:left="283" w:right="283"/>
      </w:pPr>
      <w:r>
        <w:rPr>
          <w:i/>
          <w:color w:val="404040"/>
        </w:rPr>
        <w:t>Start with A1 (running YTD state), A2 (family vs individual accumulation), and A6 (strict atomic, pre-claim deductible determination — never split a single claim across the threshold). These are the three most important and likely to generate discussion. Back A6 up with row 16 of `SampleTransactionsProcessed` (holder 1000021, LAB TESTS $1,200 with remaining-to-threshold only $1,000) — only strict atomic reproduces holder=$1,200 / plan=$0; straddle would give $1,020 / $180.</w:t>
      </w:r>
    </w:p>
    <w:p w14:paraId="2BEF069D" w14:textId="77777777" w:rsidR="00F60946" w:rsidRDefault="00000000">
      <w:r>
        <w:rPr>
          <w:b/>
        </w:rPr>
        <w:t>"Explain your design"</w:t>
      </w:r>
    </w:p>
    <w:p w14:paraId="0BDD7939" w14:textId="77777777" w:rsidR="00F60946" w:rsidRDefault="00000000">
      <w:pPr>
        <w:shd w:val="clear" w:color="auto" w:fill="EEF2F7"/>
        <w:ind w:left="283" w:right="283"/>
      </w:pPr>
      <w:r>
        <w:rPr>
          <w:i/>
          <w:color w:val="404040"/>
        </w:rPr>
        <w:t>Three modes, one engine. The `ClaimsEngine` is the single source of truth for claims logic. All three modes (GUI, CLI, REST) call the same service — no duplication of business logic. The Strategy pattern makes adding new coverage rule types trivial.</w:t>
      </w:r>
    </w:p>
    <w:p w14:paraId="4A803E6C" w14:textId="77777777" w:rsidR="00F60946" w:rsidRDefault="00000000">
      <w:r>
        <w:rPr>
          <w:b/>
        </w:rPr>
        <w:t>"What would you do differently at production scale?"</w:t>
      </w:r>
    </w:p>
    <w:p w14:paraId="34E79059" w14:textId="77777777" w:rsidR="00F60946" w:rsidRDefault="00000000">
      <w:pPr>
        <w:shd w:val="clear" w:color="auto" w:fill="EEF2F7"/>
        <w:ind w:left="283" w:right="283"/>
      </w:pPr>
      <w:r>
        <w:rPr>
          <w:i/>
          <w:color w:val="404040"/>
        </w:rPr>
        <w:t>Move reference data to Oracle (as the company already uses). Move deductible state to Redis for sub-millisecond reads across distributed instances. Break into microservices: claims-validator, deductible-service, coverage-service, each independently scalable. Use AWS Step Functions for batch orchestration with retry and DLQ support.</w:t>
      </w:r>
    </w:p>
    <w:p w14:paraId="32997B60" w14:textId="77777777" w:rsidR="00F60946" w:rsidRDefault="00000000">
      <w:r>
        <w:rPr>
          <w:b/>
        </w:rPr>
        <w:t>"What are the trade-offs of your approach?"</w:t>
      </w:r>
    </w:p>
    <w:p w14:paraId="451EF1EF" w14:textId="77777777" w:rsidR="00F60946" w:rsidRDefault="00000000">
      <w:pPr>
        <w:shd w:val="clear" w:color="auto" w:fill="EEF2F7"/>
        <w:ind w:left="283" w:right="283"/>
      </w:pPr>
      <w:r>
        <w:rPr>
          <w:i/>
          <w:color w:val="404040"/>
        </w:rPr>
        <w:t>In-memory store is simple to implement and fully correct for the test scenario, but does not support multiple instances running concurrently (a distributed batch would have race conditions on the deductible state). The fix is optimistic locking in a database, or a Redis INCR operation which is atomic.</w:t>
      </w:r>
    </w:p>
    <w:p w14:paraId="4F34326B" w14:textId="77777777" w:rsidR="00F60946" w:rsidRDefault="00000000">
      <w:r>
        <w:rPr>
          <w:b/>
        </w:rPr>
        <w:t>"How long did this take and what tools did you use?"</w:t>
      </w:r>
    </w:p>
    <w:p w14:paraId="207F0F7C" w14:textId="77777777" w:rsidR="00F60946" w:rsidRDefault="00000000">
      <w:pPr>
        <w:shd w:val="clear" w:color="auto" w:fill="EEF2F7"/>
        <w:ind w:left="283" w:right="283"/>
      </w:pPr>
      <w:r>
        <w:rPr>
          <w:i/>
          <w:color w:val="404040"/>
        </w:rPr>
        <w:t>Be honest. Mention Claude / GitHub Copilot if used. The interviewers explicitly said AI tools are allowed — what matters is that you understand every line.</w:t>
      </w:r>
    </w:p>
    <w:p w14:paraId="4581CF01" w14:textId="77777777" w:rsidR="00F60946" w:rsidRDefault="00F60946">
      <w:pPr>
        <w:pBdr>
          <w:bottom w:val="single" w:sz="6" w:space="1" w:color="808080"/>
        </w:pBdr>
      </w:pPr>
    </w:p>
    <w:p w14:paraId="1FEF33BB" w14:textId="77777777" w:rsidR="00F60946" w:rsidRDefault="00000000">
      <w:r>
        <w:br w:type="page"/>
      </w:r>
    </w:p>
    <w:p w14:paraId="36A042A8" w14:textId="77777777" w:rsidR="00F60946" w:rsidRDefault="00000000">
      <w:pPr>
        <w:pStyle w:val="Heading2"/>
      </w:pPr>
      <w:r>
        <w:lastRenderedPageBreak/>
        <w:t>Appendix — Security (Spring Security + HTTP Basic, JWT-ready)</w:t>
      </w:r>
    </w:p>
    <w:p w14:paraId="3D2A09F0" w14:textId="77777777" w:rsidR="00F60946" w:rsidRDefault="00000000">
      <w:pPr>
        <w:pStyle w:val="Heading3"/>
      </w:pPr>
      <w:r>
        <w:t>Current implementation</w:t>
      </w:r>
    </w:p>
    <w:p w14:paraId="10CC0D0A" w14:textId="77777777" w:rsidR="00F60946" w:rsidRDefault="00000000">
      <w:pPr>
        <w:pStyle w:val="ListBullet"/>
      </w:pPr>
      <w:r>
        <w:rPr>
          <w:rFonts w:ascii="Consolas" w:hAnsi="Consolas"/>
          <w:color w:val="B01040"/>
          <w:sz w:val="18"/>
        </w:rPr>
        <w:t>spring-boot-starter-security</w:t>
      </w:r>
      <w:r>
        <w:t xml:space="preserve"> is on the classpath. </w:t>
      </w:r>
      <w:r>
        <w:rPr>
          <w:rFonts w:ascii="Consolas" w:hAnsi="Consolas"/>
          <w:color w:val="B01040"/>
          <w:sz w:val="18"/>
        </w:rPr>
        <w:t>SecurityConfig</w:t>
      </w:r>
      <w:r>
        <w:t xml:space="preserve"> registers</w:t>
      </w:r>
    </w:p>
    <w:p w14:paraId="7F1CEBBB" w14:textId="77777777" w:rsidR="00F60946" w:rsidRDefault="00000000">
      <w:pPr>
        <w:pStyle w:val="ListBullet"/>
      </w:pPr>
      <w:r>
        <w:rPr>
          <w:rFonts w:ascii="Consolas" w:hAnsi="Consolas"/>
          <w:color w:val="B01040"/>
          <w:sz w:val="18"/>
        </w:rPr>
        <w:t>admin / admin123</w:t>
      </w:r>
      <w:r>
        <w:t xml:space="preserve"> &amp;mdash; roles </w:t>
      </w:r>
      <w:r>
        <w:rPr>
          <w:rFonts w:ascii="Consolas" w:hAnsi="Consolas"/>
          <w:color w:val="B01040"/>
          <w:sz w:val="18"/>
        </w:rPr>
        <w:t>ADMIN</w:t>
      </w:r>
      <w:r>
        <w:t xml:space="preserve">, </w:t>
      </w:r>
      <w:r>
        <w:rPr>
          <w:rFonts w:ascii="Consolas" w:hAnsi="Consolas"/>
          <w:color w:val="B01040"/>
          <w:sz w:val="18"/>
        </w:rPr>
        <w:t>PROCESSOR</w:t>
      </w:r>
    </w:p>
    <w:p w14:paraId="138C607E" w14:textId="77777777" w:rsidR="00F60946" w:rsidRDefault="00000000">
      <w:pPr>
        <w:pStyle w:val="ListBullet"/>
      </w:pPr>
      <w:r>
        <w:rPr>
          <w:rFonts w:ascii="Consolas" w:hAnsi="Consolas"/>
          <w:color w:val="B01040"/>
          <w:sz w:val="18"/>
        </w:rPr>
        <w:t>processor / claims123</w:t>
      </w:r>
      <w:r>
        <w:t xml:space="preserve"> &amp;mdash; role </w:t>
      </w:r>
      <w:r>
        <w:rPr>
          <w:rFonts w:ascii="Consolas" w:hAnsi="Consolas"/>
          <w:color w:val="B01040"/>
          <w:sz w:val="18"/>
        </w:rPr>
        <w:t>PROCESSOR</w:t>
      </w:r>
    </w:p>
    <w:p w14:paraId="0B5E897C" w14:textId="77777777" w:rsidR="00F60946" w:rsidRDefault="00000000">
      <w:pPr>
        <w:pStyle w:val="ListBullet"/>
      </w:pPr>
      <w:r>
        <w:rPr>
          <w:rFonts w:ascii="Consolas" w:hAnsi="Consolas"/>
          <w:color w:val="B01040"/>
          <w:sz w:val="18"/>
        </w:rPr>
        <w:t>/api/**</w:t>
      </w:r>
      <w:r>
        <w:t xml:space="preserve">, </w:t>
      </w:r>
      <w:r>
        <w:rPr>
          <w:rFonts w:ascii="Consolas" w:hAnsi="Consolas"/>
          <w:color w:val="B01040"/>
          <w:sz w:val="18"/>
        </w:rPr>
        <w:t>/</w:t>
      </w:r>
      <w:r>
        <w:t xml:space="preserve">, and </w:t>
      </w:r>
      <w:r>
        <w:rPr>
          <w:rFonts w:ascii="Consolas" w:hAnsi="Consolas"/>
          <w:color w:val="B01040"/>
          <w:sz w:val="18"/>
        </w:rPr>
        <w:t>/process/**</w:t>
      </w:r>
      <w:r>
        <w:t xml:space="preserve"> require role </w:t>
      </w:r>
      <w:r>
        <w:rPr>
          <w:rFonts w:ascii="Consolas" w:hAnsi="Consolas"/>
          <w:color w:val="B01040"/>
          <w:sz w:val="18"/>
        </w:rPr>
        <w:t>PROCESSOR</w:t>
      </w:r>
      <w:r>
        <w:t>.</w:t>
      </w:r>
    </w:p>
    <w:p w14:paraId="44CD0701" w14:textId="77777777" w:rsidR="00F60946" w:rsidRDefault="00000000">
      <w:pPr>
        <w:pStyle w:val="ListBullet"/>
      </w:pPr>
      <w:r>
        <w:t>CSRF is disabled (no server-rendered forms post outside the same session;</w:t>
      </w:r>
    </w:p>
    <w:p w14:paraId="08928A9B" w14:textId="77777777" w:rsidR="00F60946" w:rsidRDefault="00000000">
      <w:pPr>
        <w:pStyle w:val="ListBullet"/>
      </w:pPr>
      <w:r>
        <w:t xml:space="preserve">Sessions are </w:t>
      </w:r>
      <w:r>
        <w:rPr>
          <w:rFonts w:ascii="Consolas" w:hAnsi="Consolas"/>
          <w:color w:val="B01040"/>
          <w:sz w:val="18"/>
        </w:rPr>
        <w:t>IF_REQUIRED</w:t>
      </w:r>
      <w:r>
        <w:t xml:space="preserve"> &amp;mdash; APIs are stateless, Thymeleaf GUI uses a</w:t>
      </w:r>
    </w:p>
    <w:p w14:paraId="78DC1C98" w14:textId="77777777" w:rsidR="00F60946" w:rsidRDefault="00000000">
      <w:pPr>
        <w:pStyle w:val="ListBullet"/>
      </w:pPr>
      <w:r>
        <w:t>All curl scripts, Postman collection, and Angular interceptor</w:t>
      </w:r>
    </w:p>
    <w:p w14:paraId="2F41ED94" w14:textId="77777777" w:rsidR="00F60946" w:rsidRDefault="00000000">
      <w:pPr>
        <w:pStyle w:val="Heading3"/>
      </w:pPr>
      <w:r>
        <w:t>Why HTTP Basic and not JWT</w:t>
      </w:r>
    </w:p>
    <w:p w14:paraId="0F441212" w14:textId="77777777" w:rsidR="00F60946" w:rsidRDefault="00000000">
      <w:r>
        <w:t>For a single Spring Boot deployment fronting an Angular SPA over TLS, HTTP Basic is the simpler, more honest choice:</w:t>
      </w:r>
    </w:p>
    <w:tbl>
      <w:tblPr>
        <w:tblStyle w:val="LightGrid-Accent1"/>
        <w:tblW w:w="0" w:type="auto"/>
        <w:tblLook w:val="04A0" w:firstRow="1" w:lastRow="0" w:firstColumn="1" w:lastColumn="0" w:noHBand="0" w:noVBand="1"/>
      </w:tblPr>
      <w:tblGrid>
        <w:gridCol w:w="3216"/>
        <w:gridCol w:w="3216"/>
        <w:gridCol w:w="3216"/>
      </w:tblGrid>
      <w:tr w:rsidR="00F60946" w14:paraId="630E14A7" w14:textId="77777777" w:rsidTr="00F609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1F4E79"/>
          </w:tcPr>
          <w:p w14:paraId="41760512" w14:textId="77777777" w:rsidR="00F60946" w:rsidRDefault="00000000">
            <w:r>
              <w:rPr>
                <w:color w:val="FFFFFF"/>
                <w:sz w:val="20"/>
              </w:rPr>
              <w:t>Concern</w:t>
            </w:r>
          </w:p>
        </w:tc>
        <w:tc>
          <w:tcPr>
            <w:tcW w:w="3216" w:type="dxa"/>
            <w:shd w:val="clear" w:color="auto" w:fill="1F4E79"/>
          </w:tcPr>
          <w:p w14:paraId="67AD56C8" w14:textId="77777777" w:rsidR="00F6094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HTTP Basic</w:t>
            </w:r>
          </w:p>
        </w:tc>
        <w:tc>
          <w:tcPr>
            <w:tcW w:w="3216" w:type="dxa"/>
            <w:shd w:val="clear" w:color="auto" w:fill="1F4E79"/>
          </w:tcPr>
          <w:p w14:paraId="7FE72F4A" w14:textId="77777777" w:rsidR="00F6094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JWT</w:t>
            </w:r>
          </w:p>
        </w:tc>
      </w:tr>
      <w:tr w:rsidR="00F60946" w14:paraId="2B2F3955"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E3B44BA" w14:textId="77777777" w:rsidR="00F60946" w:rsidRDefault="00000000">
            <w:r>
              <w:rPr>
                <w:sz w:val="19"/>
              </w:rPr>
              <w:t>Single trusted backend</w:t>
            </w:r>
          </w:p>
        </w:tc>
        <w:tc>
          <w:tcPr>
            <w:tcW w:w="3216" w:type="dxa"/>
          </w:tcPr>
          <w:p w14:paraId="32C8694A"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 enough</w:t>
            </w:r>
          </w:p>
        </w:tc>
        <w:tc>
          <w:tcPr>
            <w:tcW w:w="3216" w:type="dxa"/>
          </w:tcPr>
          <w:p w14:paraId="4D7C0DEE"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overkill</w:t>
            </w:r>
          </w:p>
        </w:tc>
      </w:tr>
      <w:tr w:rsidR="00F60946" w14:paraId="0C62BF02"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4DB72B80" w14:textId="77777777" w:rsidR="00F60946" w:rsidRDefault="00000000">
            <w:r>
              <w:rPr>
                <w:sz w:val="19"/>
              </w:rPr>
              <w:t>Stateless</w:t>
            </w:r>
          </w:p>
        </w:tc>
        <w:tc>
          <w:tcPr>
            <w:tcW w:w="3216" w:type="dxa"/>
            <w:shd w:val="clear" w:color="auto" w:fill="F2F7FC"/>
          </w:tcPr>
          <w:p w14:paraId="070C9B21"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3216" w:type="dxa"/>
            <w:shd w:val="clear" w:color="auto" w:fill="F2F7FC"/>
          </w:tcPr>
          <w:p w14:paraId="09A7FB5C"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w:t>
            </w:r>
          </w:p>
        </w:tc>
      </w:tr>
      <w:tr w:rsidR="00F60946" w14:paraId="0A02B6A5"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3466740" w14:textId="77777777" w:rsidR="00F60946" w:rsidRDefault="00000000">
            <w:r>
              <w:rPr>
                <w:sz w:val="19"/>
              </w:rPr>
              <w:t>Standard browser support</w:t>
            </w:r>
          </w:p>
        </w:tc>
        <w:tc>
          <w:tcPr>
            <w:tcW w:w="3216" w:type="dxa"/>
          </w:tcPr>
          <w:p w14:paraId="7EF3CC93"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3216" w:type="dxa"/>
          </w:tcPr>
          <w:p w14:paraId="69FC2ACC"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needs script</w:t>
            </w:r>
          </w:p>
        </w:tc>
      </w:tr>
      <w:tr w:rsidR="00F60946" w14:paraId="6142ADE3" w14:textId="77777777" w:rsidTr="00F60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F2F7FC"/>
          </w:tcPr>
          <w:p w14:paraId="252585F3" w14:textId="77777777" w:rsidR="00F60946" w:rsidRDefault="00000000">
            <w:r>
              <w:rPr>
                <w:sz w:val="19"/>
              </w:rPr>
              <w:t>Multiple microservices verify identity</w:t>
            </w:r>
          </w:p>
        </w:tc>
        <w:tc>
          <w:tcPr>
            <w:tcW w:w="3216" w:type="dxa"/>
            <w:shd w:val="clear" w:color="auto" w:fill="F2F7FC"/>
          </w:tcPr>
          <w:p w14:paraId="2B9082FC"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 revalidate</w:t>
            </w:r>
          </w:p>
        </w:tc>
        <w:tc>
          <w:tcPr>
            <w:tcW w:w="3216" w:type="dxa"/>
            <w:shd w:val="clear" w:color="auto" w:fill="F2F7FC"/>
          </w:tcPr>
          <w:p w14:paraId="61FDD0DE" w14:textId="77777777" w:rsidR="00F60946" w:rsidRDefault="00000000">
            <w:pPr>
              <w:cnfStyle w:val="000000010000" w:firstRow="0" w:lastRow="0" w:firstColumn="0" w:lastColumn="0" w:oddVBand="0" w:evenVBand="0" w:oddHBand="0" w:evenHBand="1" w:firstRowFirstColumn="0" w:firstRowLastColumn="0" w:lastRowFirstColumn="0" w:lastRowLastColumn="0"/>
            </w:pPr>
            <w:r>
              <w:rPr>
                <w:sz w:val="19"/>
              </w:rPr>
              <w:t>✅ self-contained</w:t>
            </w:r>
          </w:p>
        </w:tc>
      </w:tr>
      <w:tr w:rsidR="00F60946" w14:paraId="6D1252CB" w14:textId="77777777" w:rsidTr="00F60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615C41E" w14:textId="77777777" w:rsidR="00F60946" w:rsidRDefault="00000000">
            <w:r>
              <w:rPr>
                <w:sz w:val="19"/>
              </w:rPr>
              <w:t>Federated identity / SSO</w:t>
            </w:r>
          </w:p>
        </w:tc>
        <w:tc>
          <w:tcPr>
            <w:tcW w:w="3216" w:type="dxa"/>
          </w:tcPr>
          <w:p w14:paraId="1C1186E5"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3216" w:type="dxa"/>
          </w:tcPr>
          <w:p w14:paraId="6770CA6B" w14:textId="77777777" w:rsidR="00F60946" w:rsidRDefault="00000000">
            <w:pPr>
              <w:cnfStyle w:val="000000100000" w:firstRow="0" w:lastRow="0" w:firstColumn="0" w:lastColumn="0" w:oddVBand="0" w:evenVBand="0" w:oddHBand="1" w:evenHBand="0" w:firstRowFirstColumn="0" w:firstRowLastColumn="0" w:lastRowFirstColumn="0" w:lastRowLastColumn="0"/>
            </w:pPr>
            <w:r>
              <w:rPr>
                <w:sz w:val="19"/>
              </w:rPr>
              <w:t>✅ via OIDC</w:t>
            </w:r>
          </w:p>
        </w:tc>
      </w:tr>
    </w:tbl>
    <w:p w14:paraId="72FF3379" w14:textId="77777777" w:rsidR="00F60946" w:rsidRDefault="00000000">
      <w:r>
        <w:t>Issuing and rotating JWTs without an identity provider would mean writing key material, signing logic, and revocation lists into the application &amp;mdash; all risk surface that delivers no value today.</w:t>
      </w:r>
    </w:p>
    <w:p w14:paraId="4366A15E" w14:textId="77777777" w:rsidR="00F60946" w:rsidRDefault="00000000">
      <w:pPr>
        <w:pStyle w:val="Heading3"/>
      </w:pPr>
      <w:r>
        <w:t>Migration path to JWT (Azure / AWS)</w:t>
      </w:r>
    </w:p>
    <w:p w14:paraId="53496917" w14:textId="77777777" w:rsidR="00F60946" w:rsidRDefault="00000000">
      <w:r>
        <w:t xml:space="preserve">When the deductible service or coverage service is extracted as an independent microservice, drop in </w:t>
      </w:r>
      <w:r>
        <w:rPr>
          <w:rFonts w:ascii="Consolas" w:hAnsi="Consolas"/>
          <w:color w:val="B01040"/>
          <w:sz w:val="18"/>
        </w:rPr>
        <w:t>spring-boot-starter-oauth2-resource-server</w:t>
      </w:r>
      <w:r>
        <w:t xml:space="preserve"> and point </w:t>
      </w:r>
      <w:r>
        <w:rPr>
          <w:rFonts w:ascii="Consolas" w:hAnsi="Consolas"/>
          <w:color w:val="B01040"/>
          <w:sz w:val="18"/>
        </w:rPr>
        <w:t>spring.security.oauth2.resourceserver.jwt.issuer-uri</w:t>
      </w:r>
      <w:r>
        <w:t xml:space="preserve"> at:</w:t>
      </w:r>
    </w:p>
    <w:p w14:paraId="42517E4F" w14:textId="77777777" w:rsidR="00F60946" w:rsidRDefault="00000000">
      <w:pPr>
        <w:pStyle w:val="ListBullet"/>
      </w:pPr>
      <w:r>
        <w:rPr>
          <w:b/>
        </w:rPr>
        <w:t>Azure Entra ID</w:t>
      </w:r>
      <w:r>
        <w:t xml:space="preserve"> &amp;mdash; </w:t>
      </w:r>
      <w:r>
        <w:rPr>
          <w:rFonts w:ascii="Consolas" w:hAnsi="Consolas"/>
          <w:color w:val="B01040"/>
          <w:sz w:val="18"/>
        </w:rPr>
        <w:t>https://login.microsoftonline.com/&lt;tenant&gt;/v2.0</w:t>
      </w:r>
    </w:p>
    <w:p w14:paraId="4B676634" w14:textId="77777777" w:rsidR="00F60946" w:rsidRDefault="00000000">
      <w:pPr>
        <w:pStyle w:val="ListBullet"/>
      </w:pPr>
      <w:r>
        <w:rPr>
          <w:b/>
        </w:rPr>
        <w:t>AWS Cognito</w:t>
      </w:r>
      <w:r>
        <w:t xml:space="preserve"> &amp;mdash; </w:t>
      </w:r>
      <w:r>
        <w:rPr>
          <w:rFonts w:ascii="Consolas" w:hAnsi="Consolas"/>
          <w:color w:val="B01040"/>
          <w:sz w:val="18"/>
        </w:rPr>
        <w:t>https://cognito-idp.&lt;region&gt;.amazonaws.com/&lt;userPoolId&gt;</w:t>
      </w:r>
    </w:p>
    <w:p w14:paraId="58C8B9FF" w14:textId="77777777" w:rsidR="00F60946" w:rsidRDefault="00000000">
      <w:r>
        <w:rPr>
          <w:rFonts w:ascii="Consolas" w:hAnsi="Consolas"/>
          <w:color w:val="B01040"/>
          <w:sz w:val="18"/>
        </w:rPr>
        <w:t>SecurityConfig</w:t>
      </w:r>
      <w:r>
        <w:t xml:space="preserve"> becomes a five-line </w:t>
      </w:r>
      <w:r>
        <w:rPr>
          <w:rFonts w:ascii="Consolas" w:hAnsi="Consolas"/>
          <w:color w:val="B01040"/>
          <w:sz w:val="18"/>
        </w:rPr>
        <w:t>oauth2ResourceServer(jwt())</w:t>
      </w:r>
      <w:r>
        <w:t xml:space="preserve"> configuration and the same </w:t>
      </w:r>
      <w:r>
        <w:rPr>
          <w:rFonts w:ascii="Consolas" w:hAnsi="Consolas"/>
          <w:color w:val="B01040"/>
          <w:sz w:val="18"/>
        </w:rPr>
        <w:t>hasRole("PROCESSOR")</w:t>
      </w:r>
      <w:r>
        <w:t xml:space="preserve"> rules continue to work &amp;mdash; map the issuer&amp;#39;s </w:t>
      </w:r>
      <w:r>
        <w:rPr>
          <w:rFonts w:ascii="Consolas" w:hAnsi="Consolas"/>
          <w:color w:val="B01040"/>
          <w:sz w:val="18"/>
        </w:rPr>
        <w:t>roles</w:t>
      </w:r>
      <w:r>
        <w:t xml:space="preserve"> or </w:t>
      </w:r>
      <w:r>
        <w:rPr>
          <w:rFonts w:ascii="Consolas" w:hAnsi="Consolas"/>
          <w:color w:val="B01040"/>
          <w:sz w:val="18"/>
        </w:rPr>
        <w:t>groups</w:t>
      </w:r>
      <w:r>
        <w:t xml:space="preserve"> claim to Spring authorities with a </w:t>
      </w:r>
      <w:r>
        <w:rPr>
          <w:rFonts w:ascii="Consolas" w:hAnsi="Consolas"/>
          <w:color w:val="B01040"/>
          <w:sz w:val="18"/>
        </w:rPr>
        <w:t>JwtAuthenticationConverter</w:t>
      </w:r>
      <w:r>
        <w:t xml:space="preserve">. The Angular interceptor switches from sending </w:t>
      </w:r>
      <w:r>
        <w:rPr>
          <w:rFonts w:ascii="Consolas" w:hAnsi="Consolas"/>
          <w:color w:val="B01040"/>
          <w:sz w:val="18"/>
        </w:rPr>
        <w:t>Basic &lt;token&gt;</w:t>
      </w:r>
      <w:r>
        <w:t xml:space="preserve"> to sending </w:t>
      </w:r>
      <w:r>
        <w:rPr>
          <w:rFonts w:ascii="Consolas" w:hAnsi="Consolas"/>
          <w:color w:val="B01040"/>
          <w:sz w:val="18"/>
        </w:rPr>
        <w:t>Bearer &lt;token&gt;</w:t>
      </w:r>
      <w:r>
        <w:t xml:space="preserve"> obtained from MSAL.js or Amplify. No other code changes.</w:t>
      </w:r>
    </w:p>
    <w:sectPr w:rsidR="00F60946" w:rsidSect="00034616">
      <w:footerReference w:type="default" r:id="rId24"/>
      <w:pgSz w:w="12240" w:h="15840"/>
      <w:pgMar w:top="1008"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1061F" w14:textId="77777777" w:rsidR="001250F0" w:rsidRDefault="001250F0">
      <w:pPr>
        <w:spacing w:after="0" w:line="240" w:lineRule="auto"/>
      </w:pPr>
      <w:r>
        <w:separator/>
      </w:r>
    </w:p>
  </w:endnote>
  <w:endnote w:type="continuationSeparator" w:id="0">
    <w:p w14:paraId="43F155F4" w14:textId="77777777" w:rsidR="001250F0" w:rsidRDefault="00125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AD20E" w14:textId="33D0F138" w:rsidR="00F60946" w:rsidRDefault="00000000">
    <w:pPr>
      <w:pStyle w:val="Footer"/>
      <w:jc w:val="center"/>
    </w:pPr>
    <w:r>
      <w:fldChar w:fldCharType="begin"/>
    </w:r>
    <w:r>
      <w:instrText>PAGE</w:instrText>
    </w:r>
    <w:r w:rsidR="00A80C67">
      <w:fldChar w:fldCharType="separate"/>
    </w:r>
    <w:r w:rsidR="00A80C67">
      <w:rPr>
        <w:noProof/>
      </w:rPr>
      <w:t>1</w:t>
    </w:r>
    <w:r>
      <w:fldChar w:fldCharType="end"/>
    </w:r>
    <w:r>
      <w:rPr>
        <w:color w:val="808080"/>
        <w:sz w:val="16"/>
      </w:rPr>
      <w:t xml:space="preserve">  ·  Claims Processor Design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87AE0" w14:textId="77777777" w:rsidR="001250F0" w:rsidRDefault="001250F0">
      <w:pPr>
        <w:spacing w:after="0" w:line="240" w:lineRule="auto"/>
      </w:pPr>
      <w:r>
        <w:separator/>
      </w:r>
    </w:p>
  </w:footnote>
  <w:footnote w:type="continuationSeparator" w:id="0">
    <w:p w14:paraId="66F9A3F5" w14:textId="77777777" w:rsidR="001250F0" w:rsidRDefault="001250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0247620">
    <w:abstractNumId w:val="8"/>
  </w:num>
  <w:num w:numId="2" w16cid:durableId="528101705">
    <w:abstractNumId w:val="6"/>
  </w:num>
  <w:num w:numId="3" w16cid:durableId="1117874056">
    <w:abstractNumId w:val="5"/>
  </w:num>
  <w:num w:numId="4" w16cid:durableId="1292442789">
    <w:abstractNumId w:val="4"/>
  </w:num>
  <w:num w:numId="5" w16cid:durableId="2035033929">
    <w:abstractNumId w:val="7"/>
  </w:num>
  <w:num w:numId="6" w16cid:durableId="1224676746">
    <w:abstractNumId w:val="3"/>
  </w:num>
  <w:num w:numId="7" w16cid:durableId="1089541811">
    <w:abstractNumId w:val="2"/>
  </w:num>
  <w:num w:numId="8" w16cid:durableId="1455978256">
    <w:abstractNumId w:val="1"/>
  </w:num>
  <w:num w:numId="9" w16cid:durableId="203251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509"/>
    <w:rsid w:val="001250F0"/>
    <w:rsid w:val="0015074B"/>
    <w:rsid w:val="0029639D"/>
    <w:rsid w:val="00326F90"/>
    <w:rsid w:val="003C384D"/>
    <w:rsid w:val="00751E8F"/>
    <w:rsid w:val="008A19A8"/>
    <w:rsid w:val="00A80C67"/>
    <w:rsid w:val="00AA1D8D"/>
    <w:rsid w:val="00B47730"/>
    <w:rsid w:val="00C846F1"/>
    <w:rsid w:val="00CB0664"/>
    <w:rsid w:val="00CC771C"/>
    <w:rsid w:val="00DC2ED8"/>
    <w:rsid w:val="00DE0A8F"/>
    <w:rsid w:val="00F609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A6359B6-D161-4A4D-8363-8134CACD9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ED8"/>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6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Cs/>
      <w:i/>
      <w:iCs/>
      <w:color w:val="4F81B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4886</Words>
  <Characters>27854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Sikharam, Lokesh, ITD</cp:lastModifiedBy>
  <cp:revision>9</cp:revision>
  <dcterms:created xsi:type="dcterms:W3CDTF">2013-12-23T23:15:00Z</dcterms:created>
  <dcterms:modified xsi:type="dcterms:W3CDTF">2026-05-17T23:48:00Z</dcterms:modified>
  <cp:category/>
</cp:coreProperties>
</file>