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6"/>
        </w:rPr>
        <w:t>AEC / SDC · SEMESTER III · PROJECT-BASED LEARNING · ONE CREDIT</w:t>
      </w:r>
    </w:p>
    <w:p>
      <w:pPr>
        <w:jc w:val="center"/>
      </w:pPr>
      <w:r>
        <w:t>Complete Community-Project Notes with the Tool It Documents</w:t>
      </w:r>
    </w:p>
    <w:p>
      <w:pPr>
        <w:pStyle w:val="Title"/>
        <w:jc w:val="center"/>
      </w:pPr>
      <w:r>
        <w:t>COMMUNITY</w:t>
        <w:br/>
        <w:t>PROJECT</w:t>
      </w:r>
    </w:p>
    <w:p>
      <w:pPr>
        <w:jc w:val="center"/>
      </w:pPr>
      <w:r>
        <w:t>Topic 1 — Computer-Based Learning Tool for Mentally Challenged Students</w:t>
        <w:br/>
        <w:t>Mangaluru, Dakshina Kannada · Karnataka, India</w:t>
      </w:r>
    </w:p>
    <w:p>
      <w:pPr>
        <w:jc w:val="center"/>
      </w:pPr>
      <w:r>
        <w:t>CONTINUATION COMPANION</w:t>
        <w:br/>
        <w:t>Secondary Data · Open-Source Model · District Mapping</w:t>
        <w:br/>
        <w:t>English–Kannada Browser Tool · Git and Render Handover</w:t>
      </w:r>
    </w:p>
    <w:p>
      <w:pPr>
        <w:jc w:val="center"/>
      </w:pPr>
      <w:r>
        <w:t>COURSE CODE</w:t>
        <w:br/>
        <w:t>1BCP308</w:t>
      </w:r>
    </w:p>
    <w:tbl>
      <w:tblPr>
        <w:tblStyle w:val="TableGrid"/>
        <w:tblW w:type="auto" w:w="0"/>
        <w:tblLook w:firstColumn="1" w:firstRow="1" w:lastColumn="0" w:lastRow="0" w:noHBand="0" w:noVBand="1" w:val="04A0"/>
      </w:tblPr>
      <w:tblGrid>
        <w:gridCol w:w="1434"/>
        <w:gridCol w:w="1434"/>
        <w:gridCol w:w="1434"/>
        <w:gridCol w:w="1434"/>
        <w:gridCol w:w="1434"/>
        <w:gridCol w:w="1434"/>
        <w:gridCol w:w="1434"/>
      </w:tblGrid>
      <w:tr>
        <w:tc>
          <w:tcPr>
            <w:tcW w:type="dxa" w:w="1434"/>
          </w:tcPr>
          <w:p>
            <w:r>
              <w:t>Credits</w:t>
            </w:r>
          </w:p>
        </w:tc>
        <w:tc>
          <w:tcPr>
            <w:tcW w:type="dxa" w:w="1434"/>
          </w:tcPr>
          <w:p>
            <w:r>
              <w:t>Teaching Hours</w:t>
              <w:br/>
              <w:t>(L : T : P)</w:t>
            </w:r>
          </w:p>
        </w:tc>
        <w:tc>
          <w:tcPr>
            <w:tcW w:type="dxa" w:w="1434"/>
          </w:tcPr>
          <w:p>
            <w:r>
              <w:t>Total Marks</w:t>
            </w:r>
          </w:p>
        </w:tc>
        <w:tc>
          <w:tcPr>
            <w:tcW w:type="dxa" w:w="1434"/>
          </w:tcPr>
          <w:p>
            <w:r>
              <w:t>CIE</w:t>
            </w:r>
          </w:p>
        </w:tc>
        <w:tc>
          <w:tcPr>
            <w:tcW w:type="dxa" w:w="1434"/>
          </w:tcPr>
          <w:p>
            <w:r>
              <w:t>SEE</w:t>
            </w:r>
          </w:p>
        </w:tc>
        <w:tc>
          <w:tcPr>
            <w:tcW w:type="dxa" w:w="1434"/>
          </w:tcPr>
          <w:p>
            <w:r>
              <w:t>Exam Hours</w:t>
            </w:r>
          </w:p>
        </w:tc>
        <w:tc>
          <w:tcPr>
            <w:tcW w:type="dxa" w:w="1434"/>
          </w:tcPr>
          <w:p>
            <w:r>
              <w:t>Examination Type</w:t>
            </w:r>
          </w:p>
        </w:tc>
      </w:tr>
      <w:tr>
        <w:tc>
          <w:tcPr>
            <w:tcW w:type="dxa" w:w="1434"/>
          </w:tcPr>
          <w:p>
            <w:r>
              <w:t>1</w:t>
            </w:r>
          </w:p>
        </w:tc>
        <w:tc>
          <w:tcPr>
            <w:tcW w:type="dxa" w:w="1434"/>
          </w:tcPr>
          <w:p>
            <w:r>
              <w:t>0:0:0</w:t>
            </w:r>
          </w:p>
        </w:tc>
        <w:tc>
          <w:tcPr>
            <w:tcW w:type="dxa" w:w="1434"/>
          </w:tcPr>
          <w:p>
            <w:r>
              <w:t>100</w:t>
            </w:r>
          </w:p>
        </w:tc>
        <w:tc>
          <w:tcPr>
            <w:tcW w:type="dxa" w:w="1434"/>
          </w:tcPr>
          <w:p>
            <w:r>
              <w:t>50</w:t>
            </w:r>
          </w:p>
        </w:tc>
        <w:tc>
          <w:tcPr>
            <w:tcW w:type="dxa" w:w="1434"/>
          </w:tcPr>
          <w:p>
            <w:r>
              <w:t>50</w:t>
            </w:r>
          </w:p>
        </w:tc>
        <w:tc>
          <w:tcPr>
            <w:tcW w:type="dxa" w:w="1434"/>
          </w:tcPr>
          <w:p>
            <w:r>
              <w:t>03 Hours</w:t>
            </w:r>
          </w:p>
        </w:tc>
        <w:tc>
          <w:tcPr>
            <w:tcW w:type="dxa" w:w="1434"/>
          </w:tcPr>
          <w:p>
            <w:r>
              <w:t>Practical</w:t>
            </w:r>
          </w:p>
        </w:tc>
      </w:tr>
    </w:tbl>
    <w:p/>
    <w:p>
      <w:pPr>
        <w:jc w:val="center"/>
      </w:pPr>
      <w:r>
        <w:t>Project application: SAHAYA</w:t>
      </w:r>
    </w:p>
    <w:p>
      <w:pPr>
        <w:jc w:val="center"/>
      </w:pPr>
      <w:r>
        <w:t>Prepared for project-team adaptation and special-educator review</w:t>
        <w:br/>
        <w:t>Team / USNs / Guide / School: to be supplied</w:t>
      </w:r>
    </w:p>
    <w:p>
      <w:r>
        <w:rPr>
          <w:sz w:val="16"/>
        </w:rPr>
        <w:t>Format reference: Community-Project-1BCP308-Book.pdf</w:t>
        <w:br/>
        <w:t>Dr. Lokesh M R · AJIET, Mangaluru · supplied by the user</w:t>
        <w:br/>
        <w:t>No authorship, affiliation, school acceptance or endorsement implied.</w:t>
      </w:r>
    </w:p>
    <w:p>
      <w:pPr>
        <w:jc w:val="center"/>
      </w:pPr>
      <w:r>
        <w:t>20 September 2026 · Engineering prototype with pending field validation</w:t>
      </w:r>
    </w:p>
    <w:p>
      <w:r>
        <w:br w:type="page"/>
      </w:r>
    </w:p>
    <w:p>
      <w:r>
        <w:rPr>
          <w:sz w:val="16"/>
        </w:rPr>
        <w:t>FRONT MATTER</w:t>
      </w:r>
    </w:p>
    <w:p>
      <w:pPr>
        <w:pStyle w:val="Heading1"/>
      </w:pPr>
      <w:r>
        <w:t>Course at a Glance</w:t>
      </w:r>
    </w:p>
    <w:tbl>
      <w:tblPr>
        <w:tblStyle w:val="TableGrid"/>
        <w:tblW w:type="auto" w:w="0"/>
        <w:tblLook w:firstColumn="1" w:firstRow="1" w:lastColumn="0" w:lastRow="0" w:noHBand="0" w:noVBand="1" w:val="04A0"/>
      </w:tblPr>
      <w:tblGrid>
        <w:gridCol w:w="5018"/>
        <w:gridCol w:w="5018"/>
      </w:tblGrid>
      <w:tr>
        <w:tc>
          <w:tcPr>
            <w:tcW w:type="dxa" w:w="5018"/>
          </w:tcPr>
          <w:p>
            <w:r>
              <w:t>Item</w:t>
            </w:r>
          </w:p>
        </w:tc>
        <w:tc>
          <w:tcPr>
            <w:tcW w:type="dxa" w:w="5018"/>
          </w:tcPr>
          <w:p>
            <w:r>
              <w:t>Record</w:t>
            </w:r>
          </w:p>
        </w:tc>
      </w:tr>
      <w:tr>
        <w:tc>
          <w:tcPr>
            <w:tcW w:type="dxa" w:w="5018"/>
          </w:tcPr>
          <w:p>
            <w:r>
              <w:t>Course</w:t>
            </w:r>
          </w:p>
        </w:tc>
        <w:tc>
          <w:tcPr>
            <w:tcW w:type="dxa" w:w="5018"/>
          </w:tcPr>
          <w:p>
            <w:r>
              <w:t>Community Project / Societal Project (Project-Based Learning)</w:t>
            </w:r>
          </w:p>
        </w:tc>
      </w:tr>
      <w:tr>
        <w:tc>
          <w:tcPr>
            <w:tcW w:type="dxa" w:w="5018"/>
          </w:tcPr>
          <w:p>
            <w:r>
              <w:t>Course code</w:t>
            </w:r>
          </w:p>
        </w:tc>
        <w:tc>
          <w:tcPr>
            <w:tcW w:type="dxa" w:w="5018"/>
          </w:tcPr>
          <w:p>
            <w:r>
              <w:t>1BCP308 · AEC/SDC · Semester III · 1 credit</w:t>
            </w:r>
          </w:p>
        </w:tc>
      </w:tr>
      <w:tr>
        <w:tc>
          <w:tcPr>
            <w:tcW w:type="dxa" w:w="5018"/>
          </w:tcPr>
          <w:p>
            <w:r>
              <w:t>Pedagogy ledger</w:t>
            </w:r>
          </w:p>
        </w:tc>
        <w:tc>
          <w:tcPr>
            <w:tcW w:type="dxa" w:w="5018"/>
          </w:tcPr>
          <w:p>
            <w:r>
              <w:t>0:0:0:30:30; planned term work 30 h + self-learning 30 h</w:t>
            </w:r>
          </w:p>
        </w:tc>
      </w:tr>
      <w:tr>
        <w:tc>
          <w:tcPr>
            <w:tcW w:type="dxa" w:w="5018"/>
          </w:tcPr>
          <w:p>
            <w:r>
              <w:t>Project location</w:t>
            </w:r>
          </w:p>
        </w:tc>
        <w:tc>
          <w:tcPr>
            <w:tcW w:type="dxa" w:w="5018"/>
          </w:tcPr>
          <w:p>
            <w:r>
              <w:t>Dakshina Kannada district, Karnataka, India; Mangaluru headquarters</w:t>
            </w:r>
          </w:p>
        </w:tc>
      </w:tr>
      <w:tr>
        <w:tc>
          <w:tcPr>
            <w:tcW w:type="dxa" w:w="5018"/>
          </w:tcPr>
          <w:p>
            <w:r>
              <w:t>Application</w:t>
            </w:r>
          </w:p>
        </w:tc>
        <w:tc>
          <w:tcPr>
            <w:tcW w:type="dxa" w:w="5018"/>
          </w:tcPr>
          <w:p>
            <w:r>
              <w:t>Sahaya: English–Kannada foundational practice</w:t>
            </w:r>
          </w:p>
        </w:tc>
      </w:tr>
      <w:tr>
        <w:tc>
          <w:tcPr>
            <w:tcW w:type="dxa" w:w="5018"/>
          </w:tcPr>
          <w:p>
            <w:r>
              <w:t>POs / SDG</w:t>
            </w:r>
          </w:p>
        </w:tc>
        <w:tc>
          <w:tcPr>
            <w:tcW w:type="dxa" w:w="5018"/>
          </w:tcPr>
          <w:p>
            <w:r>
              <w:t>Specific POs 5, 6 · SDG 4</w:t>
            </w:r>
          </w:p>
        </w:tc>
      </w:tr>
      <w:tr>
        <w:tc>
          <w:tcPr>
            <w:tcW w:type="dxa" w:w="5018"/>
          </w:tcPr>
          <w:p>
            <w:r>
              <w:t>Runtime</w:t>
            </w:r>
          </w:p>
        </w:tc>
        <w:tc>
          <w:tcPr>
            <w:tcW w:type="dxa" w:w="5018"/>
          </w:tcPr>
          <w:p>
            <w:r>
              <w:t>Static HTML/CSS/JavaScript; local assets; no learner backend</w:t>
            </w:r>
          </w:p>
        </w:tc>
      </w:tr>
      <w:tr>
        <w:tc>
          <w:tcPr>
            <w:tcW w:type="dxa" w:w="5018"/>
          </w:tcPr>
          <w:p>
            <w:r>
              <w:t>Secondary sources</w:t>
            </w:r>
          </w:p>
        </w:tc>
        <w:tc>
          <w:tcPr>
            <w:tcW w:type="dxa" w:w="5018"/>
          </w:tcPr>
          <w:p>
            <w:r>
              <w:t>UCI handwritten digits; geoBoundaries district geometry; Twemoji graphics</w:t>
            </w:r>
          </w:p>
        </w:tc>
      </w:tr>
      <w:tr>
        <w:tc>
          <w:tcPr>
            <w:tcW w:type="dxa" w:w="5018"/>
          </w:tcPr>
          <w:p>
            <w:r>
              <w:t>Open-source model</w:t>
            </w:r>
          </w:p>
        </w:tc>
        <w:tc>
          <w:tcPr>
            <w:tcW w:type="dxa" w:w="5018"/>
          </w:tcPr>
          <w:p>
            <w:r>
              <w:t>scikit-learn 3-NN reference; browser equivalent for examples</w:t>
            </w:r>
          </w:p>
        </w:tc>
      </w:tr>
      <w:tr>
        <w:tc>
          <w:tcPr>
            <w:tcW w:type="dxa" w:w="5018"/>
          </w:tcPr>
          <w:p>
            <w:r>
              <w:t>Technical status</w:t>
            </w:r>
          </w:p>
        </w:tc>
        <w:tc>
          <w:tcPr>
            <w:tcW w:type="dxa" w:w="5018"/>
          </w:tcPr>
          <w:p>
            <w:r>
              <w:t>Built, tested and captured; local Git initialized; Render Blueprint supplied</w:t>
            </w:r>
          </w:p>
        </w:tc>
      </w:tr>
      <w:tr>
        <w:tc>
          <w:tcPr>
            <w:tcW w:type="dxa" w:w="5018"/>
          </w:tcPr>
          <w:p>
            <w:r>
              <w:t>Field status</w:t>
            </w:r>
          </w:p>
        </w:tc>
        <w:tc>
          <w:tcPr>
            <w:tcW w:type="dxa" w:w="5018"/>
          </w:tcPr>
          <w:p>
            <w:r>
              <w:t>No school survey, interviews or learner trials; Kannada expert review pending</w:t>
            </w:r>
          </w:p>
        </w:tc>
      </w:tr>
      <w:tr>
        <w:tc>
          <w:tcPr>
            <w:tcW w:type="dxa" w:w="5018"/>
          </w:tcPr>
          <w:p>
            <w:r>
              <w:t>Publication status</w:t>
            </w:r>
          </w:p>
        </w:tc>
        <w:tc>
          <w:tcPr>
            <w:tcW w:type="dxa" w:w="5018"/>
          </w:tcPr>
          <w:p>
            <w:r>
              <w:t>No remote Git push or Render account deployment performed</w:t>
            </w:r>
          </w:p>
        </w:tc>
      </w:tr>
    </w:tbl>
    <w:p/>
    <w:p>
      <w:pPr>
        <w:pStyle w:val="Heading2"/>
      </w:pPr>
      <w:r>
        <w:t>Environment of record</w:t>
      </w:r>
    </w:p>
    <w:p>
      <w:r>
        <w:rPr>
          <w:sz w:val="16"/>
        </w:rPr>
        <w:t>python: 3.13.14; platform: Linux-6.1.158+-x86_64-with-glibc2.41; numpy: 2.3.5; scikit_learn: 1.6.1; node: v20.20.2; record_date: 2026-09-20</w:t>
      </w:r>
    </w:p>
    <w:p>
      <w:r>
        <w:t>This report preserves the book’s week-led sequence, numbered six-part chapter pattern, code listings, captured-run boxes, checkpoint questions and appendices. It is a newly generated companion, not an alteration of the supplied PDF. Original pilot numbers are not reused.</w:t>
      </w:r>
    </w:p>
    <w:p>
      <w:r>
        <w:br w:type="page"/>
      </w:r>
    </w:p>
    <w:p>
      <w:r>
        <w:rPr>
          <w:sz w:val="16"/>
        </w:rPr>
        <w:t>FRONT MATTER</w:t>
      </w:r>
    </w:p>
    <w:p>
      <w:pPr>
        <w:pStyle w:val="Heading1"/>
      </w:pPr>
      <w:r>
        <w:t>Preface</w:t>
      </w:r>
    </w:p>
    <w:p>
      <w:r>
        <w:t>The useful continuation of a community-project book is a tool a team can run, a report it can defend, and a clear boundary around what has not been done. Sahaya provides all three. Its engineering evidence comes from programs executed in this workspace and from attributed open repositories, not from invented stakeholder responses.</w:t>
      </w:r>
    </w:p>
    <w:p>
      <w:r>
        <w:t>Each of the fifteen chapters follows the corresponding Teaching–Learning Process week. Sections retain the reference pattern: Why This Week; The Program (Code); Captured Run (Two-Pass Verified); What the Capture Proves; Checkpoint Questions; and Field Extensions. The listings are the actual executable checks included in the repository.</w:t>
      </w:r>
    </w:p>
    <w:p>
      <w:r>
        <w:t>The code and data are ready for local reproduction. A Git history, static Render Blueprint and CI workflow are supplied. Publication through the user’s Git and Render accounts remains an explicit handover step. The live sandbox preview is not described as a public Render deployment.</w:t>
      </w:r>
    </w:p>
    <w:p>
      <w:r>
        <w:t>The title from the syllabus is reproduced exactly in the prescribed topic row. New narrative uses learners with intellectual disabilities or learners requiring individualized support, and treats a special educator—not a model—as the authority on suitability. The generic baseline must be reviewed with a consenting local school before classroom use.</w:t>
      </w:r>
    </w:p>
    <w:p>
      <w:pPr>
        <w:pStyle w:val="Heading2"/>
      </w:pPr>
      <w:r>
        <w:t>Evidence discipline</w:t>
      </w:r>
    </w:p>
    <w:p>
      <w:r>
        <w:rPr>
          <w:b/>
        </w:rPr>
        <w:t>MEASURED: source row counts, content totals, model evaluation, automated tests, artifact fingerprints and payload size.</w:t>
      </w:r>
    </w:p>
    <w:p>
      <w:r>
        <w:rPr>
          <w:b/>
        </w:rPr>
        <w:t>SOURCED: district context, boundary vintage, repository provenance and licences.</w:t>
      </w:r>
    </w:p>
    <w:p>
      <w:r>
        <w:rPr>
          <w:b/>
        </w:rPr>
        <w:t>PROPOSED: fifteen-week plan, stakeholder protocol, local requirement validation and deployment steps.</w:t>
      </w:r>
    </w:p>
    <w:p>
      <w:r>
        <w:rPr>
          <w:b/>
        </w:rPr>
        <w:t>NOT CLAIMED: school partnership, learner benefit, diagnosis, Kannada quality certification, all-device accessibility, remote publication or achieved marks.</w:t>
      </w:r>
    </w:p>
    <w:p>
      <w:r>
        <w:rPr>
          <w:sz w:val="16"/>
        </w:rPr>
        <w:t>RESULT: 15 week programs passed; two captures each; byte-identical stdout</w:t>
      </w:r>
    </w:p>
    <w:p>
      <w:r>
        <w:br w:type="page"/>
      </w:r>
    </w:p>
    <w:p>
      <w:r>
        <w:rPr>
          <w:sz w:val="16"/>
        </w:rPr>
        <w:t>FRONT MATTER</w:t>
      </w:r>
    </w:p>
    <w:p>
      <w:pPr>
        <w:pStyle w:val="Heading1"/>
      </w:pPr>
      <w:r>
        <w:t>Prescribed Course Content — Topic Row</w:t>
      </w:r>
    </w:p>
    <w:p>
      <w:r>
        <w:t>The column order and requested wording are preserved below. The measurable outcome remains an objective; the phrase “as per the requirements of the special school” is not treated as achieved before a school supplies and approves those requirements.</w:t>
      </w:r>
    </w:p>
    <w:tbl>
      <w:tblPr>
        <w:tblStyle w:val="TableGrid"/>
        <w:tblW w:type="auto" w:w="0"/>
        <w:tblLook w:firstColumn="1" w:firstRow="1" w:lastColumn="0" w:lastRow="0" w:noHBand="0" w:noVBand="1" w:val="04A0"/>
      </w:tblPr>
      <w:tblGrid>
        <w:gridCol w:w="2007"/>
        <w:gridCol w:w="2007"/>
        <w:gridCol w:w="2007"/>
        <w:gridCol w:w="2007"/>
        <w:gridCol w:w="2007"/>
      </w:tblGrid>
      <w:tr>
        <w:tc>
          <w:tcPr>
            <w:tcW w:type="dxa" w:w="2007"/>
          </w:tcPr>
          <w:p>
            <w:r>
              <w:t>Sl. No.</w:t>
            </w:r>
          </w:p>
        </w:tc>
        <w:tc>
          <w:tcPr>
            <w:tcW w:type="dxa" w:w="2007"/>
          </w:tcPr>
          <w:p>
            <w:r>
              <w:t>Broad Areas/Project titles</w:t>
            </w:r>
          </w:p>
        </w:tc>
        <w:tc>
          <w:tcPr>
            <w:tcW w:type="dxa" w:w="2007"/>
          </w:tcPr>
          <w:p>
            <w:r>
              <w:t>Measurable engineering outcome</w:t>
            </w:r>
          </w:p>
        </w:tc>
        <w:tc>
          <w:tcPr>
            <w:tcW w:type="dxa" w:w="2007"/>
          </w:tcPr>
          <w:p>
            <w:r>
              <w:t>Specific POs</w:t>
            </w:r>
          </w:p>
        </w:tc>
        <w:tc>
          <w:tcPr>
            <w:tcW w:type="dxa" w:w="2007"/>
          </w:tcPr>
          <w:p>
            <w:r>
              <w:t>SDGs</w:t>
            </w:r>
          </w:p>
        </w:tc>
      </w:tr>
      <w:tr>
        <w:tc>
          <w:tcPr>
            <w:tcW w:type="dxa" w:w="2007"/>
          </w:tcPr>
          <w:p>
            <w:r>
              <w:t>1</w:t>
            </w:r>
          </w:p>
        </w:tc>
        <w:tc>
          <w:tcPr>
            <w:tcW w:type="dxa" w:w="2007"/>
          </w:tcPr>
          <w:p>
            <w:r>
              <w:t>Computer-Based Learning Tool for Mentally Challenged Students</w:t>
            </w:r>
          </w:p>
        </w:tc>
        <w:tc>
          <w:tcPr>
            <w:tcW w:type="dxa" w:w="2007"/>
          </w:tcPr>
          <w:p>
            <w:r>
              <w:t>Design and develop a web/browserbased learning tool as per the requirements of the special school.</w:t>
            </w:r>
          </w:p>
        </w:tc>
        <w:tc>
          <w:tcPr>
            <w:tcW w:type="dxa" w:w="2007"/>
          </w:tcPr>
          <w:p>
            <w:r>
              <w:t>5, 6</w:t>
            </w:r>
          </w:p>
        </w:tc>
        <w:tc>
          <w:tcPr>
            <w:tcW w:type="dxa" w:w="2007"/>
          </w:tcPr>
          <w:p>
            <w:r>
              <w:t>4</w:t>
            </w:r>
          </w:p>
        </w:tc>
      </w:tr>
    </w:tbl>
    <w:p/>
    <w:p>
      <w:pPr>
        <w:pStyle w:val="Heading2"/>
      </w:pPr>
      <w:r>
        <w:t>Assessment arithmetic from the supplied book</w:t>
      </w:r>
    </w:p>
    <w:tbl>
      <w:tblPr>
        <w:tblStyle w:val="TableGrid"/>
        <w:tblW w:type="auto" w:w="0"/>
        <w:tblLook w:firstColumn="1" w:firstRow="1" w:lastColumn="0" w:lastRow="0" w:noHBand="0" w:noVBand="1" w:val="04A0"/>
      </w:tblPr>
      <w:tblGrid>
        <w:gridCol w:w="3346"/>
        <w:gridCol w:w="3346"/>
        <w:gridCol w:w="3346"/>
      </w:tblGrid>
      <w:tr>
        <w:tc>
          <w:tcPr>
            <w:tcW w:type="dxa" w:w="3346"/>
          </w:tcPr>
          <w:p>
            <w:r>
              <w:t>Criterion (short label)</w:t>
            </w:r>
          </w:p>
        </w:tc>
        <w:tc>
          <w:tcPr>
            <w:tcW w:type="dxa" w:w="3346"/>
          </w:tcPr>
          <w:p>
            <w:r>
              <w:t>CIE</w:t>
            </w:r>
          </w:p>
        </w:tc>
        <w:tc>
          <w:tcPr>
            <w:tcW w:type="dxa" w:w="3346"/>
          </w:tcPr>
          <w:p>
            <w:r>
              <w:t>SEE</w:t>
            </w:r>
          </w:p>
        </w:tc>
      </w:tr>
      <w:tr>
        <w:tc>
          <w:tcPr>
            <w:tcW w:type="dxa" w:w="3346"/>
          </w:tcPr>
          <w:p>
            <w:r>
              <w:t>Problem identification and relevance</w:t>
            </w:r>
          </w:p>
        </w:tc>
        <w:tc>
          <w:tcPr>
            <w:tcW w:type="dxa" w:w="3346"/>
          </w:tcPr>
          <w:p>
            <w:r>
              <w:t>8</w:t>
            </w:r>
          </w:p>
        </w:tc>
        <w:tc>
          <w:tcPr>
            <w:tcW w:type="dxa" w:w="3346"/>
          </w:tcPr>
          <w:p>
            <w:r>
              <w:t>16</w:t>
            </w:r>
          </w:p>
        </w:tc>
      </w:tr>
      <w:tr>
        <w:tc>
          <w:tcPr>
            <w:tcW w:type="dxa" w:w="3346"/>
          </w:tcPr>
          <w:p>
            <w:r>
              <w:t>Problem statement, engineering and feasibility</w:t>
            </w:r>
          </w:p>
        </w:tc>
        <w:tc>
          <w:tcPr>
            <w:tcW w:type="dxa" w:w="3346"/>
          </w:tcPr>
          <w:p>
            <w:r>
              <w:t>10</w:t>
            </w:r>
          </w:p>
        </w:tc>
        <w:tc>
          <w:tcPr>
            <w:tcW w:type="dxa" w:w="3346"/>
          </w:tcPr>
          <w:p>
            <w:r>
              <w:t>20</w:t>
            </w:r>
          </w:p>
        </w:tc>
      </w:tr>
      <w:tr>
        <w:tc>
          <w:tcPr>
            <w:tcW w:type="dxa" w:w="3346"/>
          </w:tcPr>
          <w:p>
            <w:r>
              <w:t>Stakeholder interaction and data</w:t>
            </w:r>
          </w:p>
        </w:tc>
        <w:tc>
          <w:tcPr>
            <w:tcW w:type="dxa" w:w="3346"/>
          </w:tcPr>
          <w:p>
            <w:r>
              <w:t>8</w:t>
            </w:r>
          </w:p>
        </w:tc>
        <w:tc>
          <w:tcPr>
            <w:tcW w:type="dxa" w:w="3346"/>
          </w:tcPr>
          <w:p>
            <w:r>
              <w:t>16</w:t>
            </w:r>
          </w:p>
        </w:tc>
      </w:tr>
      <w:tr>
        <w:tc>
          <w:tcPr>
            <w:tcW w:type="dxa" w:w="3346"/>
          </w:tcPr>
          <w:p>
            <w:r>
              <w:t>Documentation and problem-solving</w:t>
            </w:r>
          </w:p>
        </w:tc>
        <w:tc>
          <w:tcPr>
            <w:tcW w:type="dxa" w:w="3346"/>
          </w:tcPr>
          <w:p>
            <w:r>
              <w:t>10</w:t>
            </w:r>
          </w:p>
        </w:tc>
        <w:tc>
          <w:tcPr>
            <w:tcW w:type="dxa" w:w="3346"/>
          </w:tcPr>
          <w:p>
            <w:r>
              <w:t>20</w:t>
            </w:r>
          </w:p>
        </w:tc>
      </w:tr>
      <w:tr>
        <w:tc>
          <w:tcPr>
            <w:tcW w:type="dxa" w:w="3346"/>
          </w:tcPr>
          <w:p>
            <w:r>
              <w:t>Communication and presentation</w:t>
            </w:r>
          </w:p>
        </w:tc>
        <w:tc>
          <w:tcPr>
            <w:tcW w:type="dxa" w:w="3346"/>
          </w:tcPr>
          <w:p>
            <w:r>
              <w:t>6</w:t>
            </w:r>
          </w:p>
        </w:tc>
        <w:tc>
          <w:tcPr>
            <w:tcW w:type="dxa" w:w="3346"/>
          </w:tcPr>
          <w:p>
            <w:r>
              <w:t>12</w:t>
            </w:r>
          </w:p>
        </w:tc>
      </w:tr>
      <w:tr>
        <w:tc>
          <w:tcPr>
            <w:tcW w:type="dxa" w:w="3346"/>
          </w:tcPr>
          <w:p>
            <w:r>
              <w:t>Societal contribution, impact and sustainability</w:t>
            </w:r>
          </w:p>
        </w:tc>
        <w:tc>
          <w:tcPr>
            <w:tcW w:type="dxa" w:w="3346"/>
          </w:tcPr>
          <w:p>
            <w:r>
              <w:t>8</w:t>
            </w:r>
          </w:p>
        </w:tc>
        <w:tc>
          <w:tcPr>
            <w:tcW w:type="dxa" w:w="3346"/>
          </w:tcPr>
          <w:p>
            <w:r>
              <w:t>16</w:t>
            </w:r>
          </w:p>
        </w:tc>
      </w:tr>
      <w:tr>
        <w:tc>
          <w:tcPr>
            <w:tcW w:type="dxa" w:w="3346"/>
          </w:tcPr>
          <w:p>
            <w:r>
              <w:t>Total</w:t>
            </w:r>
          </w:p>
        </w:tc>
        <w:tc>
          <w:tcPr>
            <w:tcW w:type="dxa" w:w="3346"/>
          </w:tcPr>
          <w:p>
            <w:r>
              <w:t>50</w:t>
            </w:r>
          </w:p>
        </w:tc>
        <w:tc>
          <w:tcPr>
            <w:tcW w:type="dxa" w:w="3346"/>
          </w:tcPr>
          <w:p>
            <w:r>
              <w:t>100 (scaled to 50)</w:t>
            </w:r>
          </w:p>
        </w:tc>
      </w:tr>
    </w:tbl>
    <w:p/>
    <w:p>
      <w:r>
        <w:t>CIE ≥ 20/50 for SEE eligibility; SEE ≥ 35/100 in the examination itself; CIE plus SEE scaled to 50 must total ≥ 40. These rules and shortened rubric labels are restated from the supplied book, not independently certified as the current university regulation. Full performance-band wording remains in the reference book.</w:t>
      </w:r>
    </w:p>
    <w:p>
      <w:pPr>
        <w:pStyle w:val="Heading2"/>
      </w:pPr>
      <w:r>
        <w:t>Course-outcome and PO alignment</w:t>
      </w:r>
    </w:p>
    <w:p>
      <w:r>
        <w:t>CO identifiers in the chapter metadata follow the corresponding rows of the reference book’s compliance map. They are traceability labels, not a finding that every course outcome has been attained. PO5: appropriate modern-tool use with limits. PO6: responsible community application, accessibility, privacy and stakeholder involvement. SDG 4: intended alignment with inclusive quality education, not a measured indicator change.</w:t>
      </w:r>
    </w:p>
    <w:p>
      <w:r>
        <w:br w:type="page"/>
      </w:r>
    </w:p>
    <w:p>
      <w:r>
        <w:rPr>
          <w:sz w:val="16"/>
        </w:rPr>
        <w:t>FRONT MATTER</w:t>
      </w:r>
    </w:p>
    <w:p>
      <w:pPr>
        <w:pStyle w:val="Heading1"/>
      </w:pPr>
      <w:r>
        <w:t>Teaching–Learning Process — Fifteen Weeks</w:t>
      </w:r>
    </w:p>
    <w:tbl>
      <w:tblPr>
        <w:tblStyle w:val="TableGrid"/>
        <w:tblW w:type="auto" w:w="0"/>
        <w:tblLook w:firstColumn="1" w:firstRow="1" w:lastColumn="0" w:lastRow="0" w:noHBand="0" w:noVBand="1" w:val="04A0"/>
      </w:tblPr>
      <w:tblGrid>
        <w:gridCol w:w="2509"/>
        <w:gridCol w:w="2509"/>
        <w:gridCol w:w="2509"/>
        <w:gridCol w:w="2509"/>
      </w:tblGrid>
      <w:tr>
        <w:tc>
          <w:tcPr>
            <w:tcW w:type="dxa" w:w="2509"/>
          </w:tcPr>
          <w:p>
            <w:r>
              <w:t>Wk</w:t>
            </w:r>
          </w:p>
        </w:tc>
        <w:tc>
          <w:tcPr>
            <w:tcW w:type="dxa" w:w="2509"/>
          </w:tcPr>
          <w:p>
            <w:r>
              <w:t>Activity</w:t>
            </w:r>
          </w:p>
        </w:tc>
        <w:tc>
          <w:tcPr>
            <w:tcW w:type="dxa" w:w="2509"/>
          </w:tcPr>
          <w:p>
            <w:r>
              <w:t>Output / evidence</w:t>
            </w:r>
          </w:p>
        </w:tc>
        <w:tc>
          <w:tcPr>
            <w:tcW w:type="dxa" w:w="2509"/>
          </w:tcPr>
          <w:p>
            <w:r>
              <w:t>Lead role</w:t>
            </w:r>
          </w:p>
        </w:tc>
      </w:tr>
      <w:tr>
        <w:tc>
          <w:tcPr>
            <w:tcW w:type="dxa" w:w="2509"/>
          </w:tcPr>
          <w:p>
            <w:r>
              <w:t>1</w:t>
            </w:r>
          </w:p>
        </w:tc>
        <w:tc>
          <w:tcPr>
            <w:tcW w:type="dxa" w:w="2509"/>
          </w:tcPr>
          <w:p>
            <w:r>
              <w:t>Course introduction, objectives, ethics, conduct, and assessment briefing</w:t>
            </w:r>
          </w:p>
        </w:tc>
        <w:tc>
          <w:tcPr>
            <w:tcW w:type="dxa" w:w="2509"/>
          </w:tcPr>
          <w:p>
            <w:r>
              <w:t>Team list, course plan</w:t>
            </w:r>
          </w:p>
        </w:tc>
        <w:tc>
          <w:tcPr>
            <w:tcW w:type="dxa" w:w="2509"/>
          </w:tcPr>
          <w:p>
            <w:r>
              <w:t>Coordinator / ethics</w:t>
            </w:r>
          </w:p>
        </w:tc>
      </w:tr>
      <w:tr>
        <w:tc>
          <w:tcPr>
            <w:tcW w:type="dxa" w:w="2509"/>
          </w:tcPr>
          <w:p>
            <w:r>
              <w:t>2</w:t>
            </w:r>
          </w:p>
        </w:tc>
        <w:tc>
          <w:tcPr>
            <w:tcW w:type="dxa" w:w="2509"/>
          </w:tcPr>
          <w:p>
            <w:r>
              <w:t>Community problem identification and topic selection</w:t>
            </w:r>
          </w:p>
        </w:tc>
        <w:tc>
          <w:tcPr>
            <w:tcW w:type="dxa" w:w="2509"/>
          </w:tcPr>
          <w:p>
            <w:r>
              <w:t>Shortlisted project topic</w:t>
            </w:r>
          </w:p>
        </w:tc>
        <w:tc>
          <w:tcPr>
            <w:tcW w:type="dxa" w:w="2509"/>
          </w:tcPr>
          <w:p>
            <w:r>
              <w:t>Content / accessibility</w:t>
            </w:r>
          </w:p>
        </w:tc>
      </w:tr>
      <w:tr>
        <w:tc>
          <w:tcPr>
            <w:tcW w:type="dxa" w:w="2509"/>
          </w:tcPr>
          <w:p>
            <w:r>
              <w:t>3</w:t>
            </w:r>
          </w:p>
        </w:tc>
        <w:tc>
          <w:tcPr>
            <w:tcW w:type="dxa" w:w="2509"/>
          </w:tcPr>
          <w:p>
            <w:r>
              <w:t>Stakeholder interaction and preliminary survey</w:t>
            </w:r>
          </w:p>
        </w:tc>
        <w:tc>
          <w:tcPr>
            <w:tcW w:type="dxa" w:w="2509"/>
          </w:tcPr>
          <w:p>
            <w:r>
              <w:t>Survey notes, interview record (pending)</w:t>
            </w:r>
          </w:p>
        </w:tc>
        <w:tc>
          <w:tcPr>
            <w:tcW w:type="dxa" w:w="2509"/>
          </w:tcPr>
          <w:p>
            <w:r>
              <w:t>Engineering / data</w:t>
            </w:r>
          </w:p>
        </w:tc>
      </w:tr>
      <w:tr>
        <w:tc>
          <w:tcPr>
            <w:tcW w:type="dxa" w:w="2509"/>
          </w:tcPr>
          <w:p>
            <w:r>
              <w:t>4</w:t>
            </w:r>
          </w:p>
        </w:tc>
        <w:tc>
          <w:tcPr>
            <w:tcW w:type="dxa" w:w="2509"/>
          </w:tcPr>
          <w:p>
            <w:r>
              <w:t>Problem statement and objective formulation</w:t>
            </w:r>
          </w:p>
        </w:tc>
        <w:tc>
          <w:tcPr>
            <w:tcW w:type="dxa" w:w="2509"/>
          </w:tcPr>
          <w:p>
            <w:r>
              <w:t>Problem statement and requirement ledger</w:t>
            </w:r>
          </w:p>
        </w:tc>
        <w:tc>
          <w:tcPr>
            <w:tcW w:type="dxa" w:w="2509"/>
          </w:tcPr>
          <w:p>
            <w:r>
              <w:t>QA / documentation</w:t>
            </w:r>
          </w:p>
        </w:tc>
      </w:tr>
      <w:tr>
        <w:tc>
          <w:tcPr>
            <w:tcW w:type="dxa" w:w="2509"/>
          </w:tcPr>
          <w:p>
            <w:r>
              <w:t>5</w:t>
            </w:r>
          </w:p>
        </w:tc>
        <w:tc>
          <w:tcPr>
            <w:tcW w:type="dxa" w:w="2509"/>
          </w:tcPr>
          <w:p>
            <w:r>
              <w:t>Literature/case study review and baseline analysis</w:t>
            </w:r>
          </w:p>
        </w:tc>
        <w:tc>
          <w:tcPr>
            <w:tcW w:type="dxa" w:w="2509"/>
          </w:tcPr>
          <w:p>
            <w:r>
              <w:t>Baseline analysis summary</w:t>
            </w:r>
          </w:p>
        </w:tc>
        <w:tc>
          <w:tcPr>
            <w:tcW w:type="dxa" w:w="2509"/>
          </w:tcPr>
          <w:p>
            <w:r>
              <w:t>Coordinator / ethics</w:t>
            </w:r>
          </w:p>
        </w:tc>
      </w:tr>
      <w:tr>
        <w:tc>
          <w:tcPr>
            <w:tcW w:type="dxa" w:w="2509"/>
          </w:tcPr>
          <w:p>
            <w:r>
              <w:t>6</w:t>
            </w:r>
          </w:p>
        </w:tc>
        <w:tc>
          <w:tcPr>
            <w:tcW w:type="dxa" w:w="2509"/>
          </w:tcPr>
          <w:p>
            <w:r>
              <w:t>Project planning and role assignment</w:t>
            </w:r>
          </w:p>
        </w:tc>
        <w:tc>
          <w:tcPr>
            <w:tcW w:type="dxa" w:w="2509"/>
          </w:tcPr>
          <w:p>
            <w:r>
              <w:t>Work plan / Gantt chart</w:t>
            </w:r>
          </w:p>
        </w:tc>
        <w:tc>
          <w:tcPr>
            <w:tcW w:type="dxa" w:w="2509"/>
          </w:tcPr>
          <w:p>
            <w:r>
              <w:t>Content / accessibility</w:t>
            </w:r>
          </w:p>
        </w:tc>
      </w:tr>
      <w:tr>
        <w:tc>
          <w:tcPr>
            <w:tcW w:type="dxa" w:w="2509"/>
          </w:tcPr>
          <w:p>
            <w:r>
              <w:t>7</w:t>
            </w:r>
          </w:p>
        </w:tc>
        <w:tc>
          <w:tcPr>
            <w:tcW w:type="dxa" w:w="2509"/>
          </w:tcPr>
          <w:p>
            <w:r>
              <w:t>Feasibility analysis and solution brainstorming</w:t>
            </w:r>
          </w:p>
        </w:tc>
        <w:tc>
          <w:tcPr>
            <w:tcW w:type="dxa" w:w="2509"/>
          </w:tcPr>
          <w:p>
            <w:r>
              <w:t>Solution alternatives sheet</w:t>
            </w:r>
          </w:p>
        </w:tc>
        <w:tc>
          <w:tcPr>
            <w:tcW w:type="dxa" w:w="2509"/>
          </w:tcPr>
          <w:p>
            <w:r>
              <w:t>Engineering / data</w:t>
            </w:r>
          </w:p>
        </w:tc>
      </w:tr>
      <w:tr>
        <w:tc>
          <w:tcPr>
            <w:tcW w:type="dxa" w:w="2509"/>
          </w:tcPr>
          <w:p>
            <w:r>
              <w:t>8</w:t>
            </w:r>
          </w:p>
        </w:tc>
        <w:tc>
          <w:tcPr>
            <w:tcW w:type="dxa" w:w="2509"/>
          </w:tcPr>
          <w:p>
            <w:r>
              <w:t>Selection of final solution and design approach</w:t>
            </w:r>
          </w:p>
        </w:tc>
        <w:tc>
          <w:tcPr>
            <w:tcW w:type="dxa" w:w="2509"/>
          </w:tcPr>
          <w:p>
            <w:r>
              <w:t>Concept note / design outline</w:t>
            </w:r>
          </w:p>
        </w:tc>
        <w:tc>
          <w:tcPr>
            <w:tcW w:type="dxa" w:w="2509"/>
          </w:tcPr>
          <w:p>
            <w:r>
              <w:t>QA / documentation</w:t>
            </w:r>
          </w:p>
        </w:tc>
      </w:tr>
      <w:tr>
        <w:tc>
          <w:tcPr>
            <w:tcW w:type="dxa" w:w="2509"/>
          </w:tcPr>
          <w:p>
            <w:r>
              <w:t>9</w:t>
            </w:r>
          </w:p>
        </w:tc>
        <w:tc>
          <w:tcPr>
            <w:tcW w:type="dxa" w:w="2509"/>
          </w:tcPr>
          <w:p>
            <w:r>
              <w:t>Data processing / calculations / sizing / mapping</w:t>
            </w:r>
          </w:p>
        </w:tc>
        <w:tc>
          <w:tcPr>
            <w:tcW w:type="dxa" w:w="2509"/>
          </w:tcPr>
          <w:p>
            <w:r>
              <w:t>Technical analysis sheet</w:t>
            </w:r>
          </w:p>
        </w:tc>
        <w:tc>
          <w:tcPr>
            <w:tcW w:type="dxa" w:w="2509"/>
          </w:tcPr>
          <w:p>
            <w:r>
              <w:t>Coordinator / ethics</w:t>
            </w:r>
          </w:p>
        </w:tc>
      </w:tr>
      <w:tr>
        <w:tc>
          <w:tcPr>
            <w:tcW w:type="dxa" w:w="2509"/>
          </w:tcPr>
          <w:p>
            <w:r>
              <w:t>10</w:t>
            </w:r>
          </w:p>
        </w:tc>
        <w:tc>
          <w:tcPr>
            <w:tcW w:type="dxa" w:w="2509"/>
          </w:tcPr>
          <w:p>
            <w:r>
              <w:t>Prototype / model / audit / DPR / app development</w:t>
            </w:r>
          </w:p>
        </w:tc>
        <w:tc>
          <w:tcPr>
            <w:tcW w:type="dxa" w:w="2509"/>
          </w:tcPr>
          <w:p>
            <w:r>
              <w:t>Working app / source repository</w:t>
            </w:r>
          </w:p>
        </w:tc>
        <w:tc>
          <w:tcPr>
            <w:tcW w:type="dxa" w:w="2509"/>
          </w:tcPr>
          <w:p>
            <w:r>
              <w:t>Content / accessibility</w:t>
            </w:r>
          </w:p>
        </w:tc>
      </w:tr>
      <w:tr>
        <w:tc>
          <w:tcPr>
            <w:tcW w:type="dxa" w:w="2509"/>
          </w:tcPr>
          <w:p>
            <w:r>
              <w:t>11</w:t>
            </w:r>
          </w:p>
        </w:tc>
        <w:tc>
          <w:tcPr>
            <w:tcW w:type="dxa" w:w="2509"/>
          </w:tcPr>
          <w:p>
            <w:r>
              <w:t>Testing, refinement, and implementation planning</w:t>
            </w:r>
          </w:p>
        </w:tc>
        <w:tc>
          <w:tcPr>
            <w:tcW w:type="dxa" w:w="2509"/>
          </w:tcPr>
          <w:p>
            <w:r>
              <w:t>Test results / revised output</w:t>
            </w:r>
          </w:p>
        </w:tc>
        <w:tc>
          <w:tcPr>
            <w:tcW w:type="dxa" w:w="2509"/>
          </w:tcPr>
          <w:p>
            <w:r>
              <w:t>Engineering / data</w:t>
            </w:r>
          </w:p>
        </w:tc>
      </w:tr>
      <w:tr>
        <w:tc>
          <w:tcPr>
            <w:tcW w:type="dxa" w:w="2509"/>
          </w:tcPr>
          <w:p>
            <w:r>
              <w:t>12</w:t>
            </w:r>
          </w:p>
        </w:tc>
        <w:tc>
          <w:tcPr>
            <w:tcW w:type="dxa" w:w="2509"/>
          </w:tcPr>
          <w:p>
            <w:r>
              <w:t>Field implementation / demonstration / awareness activity</w:t>
            </w:r>
          </w:p>
        </w:tc>
        <w:tc>
          <w:tcPr>
            <w:tcW w:type="dxa" w:w="2509"/>
          </w:tcPr>
          <w:p>
            <w:r>
              <w:t>Implementation record (pending)</w:t>
            </w:r>
          </w:p>
        </w:tc>
        <w:tc>
          <w:tcPr>
            <w:tcW w:type="dxa" w:w="2509"/>
          </w:tcPr>
          <w:p>
            <w:r>
              <w:t>QA / documentation</w:t>
            </w:r>
          </w:p>
        </w:tc>
      </w:tr>
      <w:tr>
        <w:tc>
          <w:tcPr>
            <w:tcW w:type="dxa" w:w="2509"/>
          </w:tcPr>
          <w:p>
            <w:r>
              <w:t>13</w:t>
            </w:r>
          </w:p>
        </w:tc>
        <w:tc>
          <w:tcPr>
            <w:tcW w:type="dxa" w:w="2509"/>
          </w:tcPr>
          <w:p>
            <w:r>
              <w:t>Documentation of outcomes, feedback, and impact</w:t>
            </w:r>
          </w:p>
        </w:tc>
        <w:tc>
          <w:tcPr>
            <w:tcW w:type="dxa" w:w="2509"/>
          </w:tcPr>
          <w:p>
            <w:r>
              <w:t>Draft report / impact limits</w:t>
            </w:r>
          </w:p>
        </w:tc>
        <w:tc>
          <w:tcPr>
            <w:tcW w:type="dxa" w:w="2509"/>
          </w:tcPr>
          <w:p>
            <w:r>
              <w:t>Coordinator / ethics</w:t>
            </w:r>
          </w:p>
        </w:tc>
      </w:tr>
      <w:tr>
        <w:tc>
          <w:tcPr>
            <w:tcW w:type="dxa" w:w="2509"/>
          </w:tcPr>
          <w:p>
            <w:r>
              <w:t>14</w:t>
            </w:r>
          </w:p>
        </w:tc>
        <w:tc>
          <w:tcPr>
            <w:tcW w:type="dxa" w:w="2509"/>
          </w:tcPr>
          <w:p>
            <w:r>
              <w:t>Presentation preparation and viva practice</w:t>
            </w:r>
          </w:p>
        </w:tc>
        <w:tc>
          <w:tcPr>
            <w:tcW w:type="dxa" w:w="2509"/>
          </w:tcPr>
          <w:p>
            <w:r>
              <w:t>Presentation outline / reproducibility receipts</w:t>
            </w:r>
          </w:p>
        </w:tc>
        <w:tc>
          <w:tcPr>
            <w:tcW w:type="dxa" w:w="2509"/>
          </w:tcPr>
          <w:p>
            <w:r>
              <w:t>Content / accessibility</w:t>
            </w:r>
          </w:p>
        </w:tc>
      </w:tr>
      <w:tr>
        <w:tc>
          <w:tcPr>
            <w:tcW w:type="dxa" w:w="2509"/>
          </w:tcPr>
          <w:p>
            <w:r>
              <w:t>15</w:t>
            </w:r>
          </w:p>
        </w:tc>
        <w:tc>
          <w:tcPr>
            <w:tcW w:type="dxa" w:w="2509"/>
          </w:tcPr>
          <w:p>
            <w:r>
              <w:t>Final presentation, submission, and reflection</w:t>
            </w:r>
          </w:p>
        </w:tc>
        <w:tc>
          <w:tcPr>
            <w:tcW w:type="dxa" w:w="2509"/>
          </w:tcPr>
          <w:p>
            <w:r>
              <w:t>Final report, deployment handover, viva</w:t>
            </w:r>
          </w:p>
        </w:tc>
        <w:tc>
          <w:tcPr>
            <w:tcW w:type="dxa" w:w="2509"/>
          </w:tcPr>
          <w:p>
            <w:r>
              <w:t>Engineering / data</w:t>
            </w:r>
          </w:p>
        </w:tc>
      </w:tr>
    </w:tbl>
    <w:p/>
    <w:p>
      <w:r>
        <w:rPr>
          <w:sz w:val="16"/>
        </w:rPr>
        <w:t>All rows are a proposed schedule, not an attendance record. Two term-work hours and two self-learning hours per row: 30 + 30 = 60 hours. Faculty roles are to guide framing, demonstrate ethical engagement, review feasibility/technical work, facilitate permitted fieldwork and assess evidence. Student owners and reviewers must be assigned locally.</w:t>
      </w:r>
    </w:p>
    <w:p>
      <w:r>
        <w:br w:type="page"/>
      </w:r>
    </w:p>
    <w:p>
      <w:r>
        <w:rPr>
          <w:sz w:val="16"/>
        </w:rPr>
        <w:t>FRONT MATTER</w:t>
      </w:r>
    </w:p>
    <w:p>
      <w:pPr>
        <w:pStyle w:val="Heading1"/>
      </w:pPr>
      <w:r>
        <w:t>Compliance Maps &amp; Assessment Evidence</w:t>
      </w:r>
    </w:p>
    <w:tbl>
      <w:tblPr>
        <w:tblStyle w:val="TableGrid"/>
        <w:tblW w:type="auto" w:w="0"/>
        <w:tblLook w:firstColumn="1" w:firstRow="1" w:lastColumn="0" w:lastRow="0" w:noHBand="0" w:noVBand="1" w:val="04A0"/>
      </w:tblPr>
      <w:tblGrid>
        <w:gridCol w:w="3346"/>
        <w:gridCol w:w="3346"/>
        <w:gridCol w:w="3346"/>
      </w:tblGrid>
      <w:tr>
        <w:tc>
          <w:tcPr>
            <w:tcW w:type="dxa" w:w="3346"/>
          </w:tcPr>
          <w:p>
            <w:r>
              <w:t>Evidence family</w:t>
            </w:r>
          </w:p>
        </w:tc>
        <w:tc>
          <w:tcPr>
            <w:tcW w:type="dxa" w:w="3346"/>
          </w:tcPr>
          <w:p>
            <w:r>
              <w:t>Repository location</w:t>
            </w:r>
          </w:p>
        </w:tc>
        <w:tc>
          <w:tcPr>
            <w:tcW w:type="dxa" w:w="3346"/>
          </w:tcPr>
          <w:p>
            <w:r>
              <w:t>Meaning / limitation</w:t>
            </w:r>
          </w:p>
        </w:tc>
      </w:tr>
      <w:tr>
        <w:tc>
          <w:tcPr>
            <w:tcW w:type="dxa" w:w="3346"/>
          </w:tcPr>
          <w:p>
            <w:r>
              <w:t>Requirements and ethics</w:t>
            </w:r>
          </w:p>
        </w:tc>
        <w:tc>
          <w:tcPr>
            <w:tcW w:type="dxa" w:w="3346"/>
          </w:tcPr>
          <w:p>
            <w:r>
              <w:t>docs/REQUIREMENTS.md; FIELD_PROTOCOL.md</w:t>
            </w:r>
          </w:p>
        </w:tc>
        <w:tc>
          <w:tcPr>
            <w:tcW w:type="dxa" w:w="3346"/>
          </w:tcPr>
          <w:p>
            <w:r>
              <w:t>Generic baseline and blank protocol, not signed school approval</w:t>
            </w:r>
          </w:p>
        </w:tc>
      </w:tr>
      <w:tr>
        <w:tc>
          <w:tcPr>
            <w:tcW w:type="dxa" w:w="3346"/>
          </w:tcPr>
          <w:p>
            <w:r>
              <w:t>Content and secondary data</w:t>
            </w:r>
          </w:p>
        </w:tc>
        <w:tc>
          <w:tcPr>
            <w:tcW w:type="dxa" w:w="3346"/>
          </w:tcPr>
          <w:p>
            <w:r>
              <w:t>public/data; data/raw</w:t>
            </w:r>
          </w:p>
        </w:tc>
        <w:tc>
          <w:tcPr>
            <w:tcW w:type="dxa" w:w="3346"/>
          </w:tcPr>
          <w:p>
            <w:r>
              <w:t>Thirty cards; source-derived digits and boundary</w:t>
            </w:r>
          </w:p>
        </w:tc>
      </w:tr>
      <w:tr>
        <w:tc>
          <w:tcPr>
            <w:tcW w:type="dxa" w:w="3346"/>
          </w:tcPr>
          <w:p>
            <w:r>
              <w:t>Model and implementation</w:t>
            </w:r>
          </w:p>
        </w:tc>
        <w:tc>
          <w:tcPr>
            <w:tcW w:type="dxa" w:w="3346"/>
          </w:tcPr>
          <w:p>
            <w:r>
              <w:t>scripts/prepare_data.py; public/engine.js</w:t>
            </w:r>
          </w:p>
        </w:tc>
        <w:tc>
          <w:tcPr>
            <w:tcW w:type="dxa" w:w="3346"/>
          </w:tcPr>
          <w:p>
            <w:r>
              <w:t>3-NN reference evaluation and local demonstration</w:t>
            </w:r>
          </w:p>
        </w:tc>
      </w:tr>
      <w:tr>
        <w:tc>
          <w:tcPr>
            <w:tcW w:type="dxa" w:w="3346"/>
          </w:tcPr>
          <w:p>
            <w:r>
              <w:t>Test receipts</w:t>
            </w:r>
          </w:p>
        </w:tc>
        <w:tc>
          <w:tcPr>
            <w:tcW w:type="dxa" w:w="3346"/>
          </w:tcPr>
          <w:p>
            <w:r>
              <w:t>evidence/unit-transcript.txt; browser-results.json</w:t>
            </w:r>
          </w:p>
        </w:tc>
        <w:tc>
          <w:tcPr>
            <w:tcW w:type="dxa" w:w="3346"/>
          </w:tcPr>
          <w:p>
            <w:r>
              <w:t>Recorded automation; no learner field trial</w:t>
            </w:r>
          </w:p>
        </w:tc>
      </w:tr>
      <w:tr>
        <w:tc>
          <w:tcPr>
            <w:tcW w:type="dxa" w:w="3346"/>
          </w:tcPr>
          <w:p>
            <w:r>
              <w:t>Two-pass capture</w:t>
            </w:r>
          </w:p>
        </w:tc>
        <w:tc>
          <w:tcPr>
            <w:tcW w:type="dxa" w:w="3346"/>
          </w:tcPr>
          <w:p>
            <w:r>
              <w:t>scripts/collect.py; evidence/cp00..cp14</w:t>
            </w:r>
          </w:p>
        </w:tc>
        <w:tc>
          <w:tcPr>
            <w:tcW w:type="dxa" w:w="3346"/>
          </w:tcPr>
          <w:p>
            <w:r>
              <w:t>Fifteen deterministic checks; stdout byte equality</w:t>
            </w:r>
          </w:p>
        </w:tc>
      </w:tr>
      <w:tr>
        <w:tc>
          <w:tcPr>
            <w:tcW w:type="dxa" w:w="3346"/>
          </w:tcPr>
          <w:p>
            <w:r>
              <w:t>Version control and hosting</w:t>
            </w:r>
          </w:p>
        </w:tc>
        <w:tc>
          <w:tcPr>
            <w:tcW w:type="dxa" w:w="3346"/>
          </w:tcPr>
          <w:p>
            <w:r>
              <w:t>Local Git, render.yaml, docs/DEPLOYMENT.md</w:t>
            </w:r>
          </w:p>
        </w:tc>
        <w:tc>
          <w:tcPr>
            <w:tcW w:type="dxa" w:w="3346"/>
          </w:tcPr>
          <w:p>
            <w:r>
              <w:t>Prepared handover, not remote deployment</w:t>
            </w:r>
          </w:p>
        </w:tc>
      </w:tr>
      <w:tr>
        <w:tc>
          <w:tcPr>
            <w:tcW w:type="dxa" w:w="3346"/>
          </w:tcPr>
          <w:p>
            <w:r>
              <w:t>Course reflection and viva</w:t>
            </w:r>
          </w:p>
        </w:tc>
        <w:tc>
          <w:tcPr>
            <w:tcW w:type="dxa" w:w="3346"/>
          </w:tcPr>
          <w:p>
            <w:r>
              <w:t>Chapters 13–15; Appendices B–D</w:t>
            </w:r>
          </w:p>
        </w:tc>
        <w:tc>
          <w:tcPr>
            <w:tcW w:type="dxa" w:w="3346"/>
          </w:tcPr>
          <w:p>
            <w:r>
              <w:t>Separate evidence from unresolved fieldwork</w:t>
            </w:r>
          </w:p>
        </w:tc>
      </w:tr>
    </w:tbl>
    <w:p/>
    <w:p>
      <w:pPr>
        <w:pStyle w:val="Heading2"/>
      </w:pPr>
      <w:r>
        <w:t>Measurable engineering outputs</w:t>
      </w:r>
    </w:p>
    <w:tbl>
      <w:tblPr>
        <w:tblStyle w:val="TableGrid"/>
        <w:tblW w:type="auto" w:w="0"/>
        <w:tblLook w:firstColumn="1" w:firstRow="1" w:lastColumn="0" w:lastRow="0" w:noHBand="0" w:noVBand="1" w:val="04A0"/>
      </w:tblPr>
      <w:tblGrid>
        <w:gridCol w:w="5018"/>
        <w:gridCol w:w="5018"/>
      </w:tblGrid>
      <w:tr>
        <w:tc>
          <w:tcPr>
            <w:tcW w:type="dxa" w:w="5018"/>
          </w:tcPr>
          <w:p>
            <w:r>
              <w:t>Measure</w:t>
            </w:r>
          </w:p>
        </w:tc>
        <w:tc>
          <w:tcPr>
            <w:tcW w:type="dxa" w:w="5018"/>
          </w:tcPr>
          <w:p>
            <w:r>
              <w:t>Captured value</w:t>
            </w:r>
          </w:p>
        </w:tc>
      </w:tr>
      <w:tr>
        <w:tc>
          <w:tcPr>
            <w:tcW w:type="dxa" w:w="5018"/>
          </w:tcPr>
          <w:p>
            <w:r>
              <w:t>Bilingual cards</w:t>
            </w:r>
          </w:p>
        </w:tc>
        <w:tc>
          <w:tcPr>
            <w:tcW w:type="dxa" w:w="5018"/>
          </w:tcPr>
          <w:p>
            <w:r>
              <w:t>30; 20 authored everyday + 10 UCI digit cards</w:t>
            </w:r>
          </w:p>
        </w:tc>
      </w:tr>
      <w:tr>
        <w:tc>
          <w:tcPr>
            <w:tcW w:type="dxa" w:w="5018"/>
          </w:tcPr>
          <w:p>
            <w:r>
              <w:t>Model source split</w:t>
            </w:r>
          </w:p>
        </w:tc>
        <w:tc>
          <w:tcPr>
            <w:tcW w:type="dxa" w:w="5018"/>
          </w:tcPr>
          <w:p>
            <w:r>
              <w:t>3823 train / 1797 test</w:t>
            </w:r>
          </w:p>
        </w:tc>
      </w:tr>
      <w:tr>
        <w:tc>
          <w:tcPr>
            <w:tcW w:type="dxa" w:w="5018"/>
          </w:tcPr>
          <w:p>
            <w:r>
              <w:t>Reference digit accuracy</w:t>
            </w:r>
          </w:p>
        </w:tc>
        <w:tc>
          <w:tcPr>
            <w:tcW w:type="dxa" w:w="5018"/>
          </w:tcPr>
          <w:p>
            <w:r>
              <w:t>1758/1797 = 97.83%</w:t>
            </w:r>
          </w:p>
        </w:tc>
      </w:tr>
      <w:tr>
        <w:tc>
          <w:tcPr>
            <w:tcW w:type="dxa" w:w="5018"/>
          </w:tcPr>
          <w:p>
            <w:r>
              <w:t>Automated checks</w:t>
            </w:r>
          </w:p>
        </w:tc>
        <w:tc>
          <w:tcPr>
            <w:tcW w:type="dxa" w:w="5018"/>
          </w:tcPr>
          <w:p>
            <w:r>
              <w:t>9 Node tests; 19 Chromium checks</w:t>
            </w:r>
          </w:p>
        </w:tc>
      </w:tr>
      <w:tr>
        <w:tc>
          <w:tcPr>
            <w:tcW w:type="dxa" w:w="5018"/>
          </w:tcPr>
          <w:p>
            <w:r>
              <w:t>Accessibility scan</w:t>
            </w:r>
          </w:p>
        </w:tc>
        <w:tc>
          <w:tcPr>
            <w:tcW w:type="dxa" w:w="5018"/>
          </w:tcPr>
          <w:p>
            <w:r>
              <w:t>0 detected axe violations across 4 main views</w:t>
            </w:r>
          </w:p>
        </w:tc>
      </w:tr>
      <w:tr>
        <w:tc>
          <w:tcPr>
            <w:tcW w:type="dxa" w:w="5018"/>
          </w:tcPr>
          <w:p>
            <w:r>
              <w:t>Local field engagement</w:t>
            </w:r>
          </w:p>
        </w:tc>
        <w:tc>
          <w:tcPr>
            <w:tcW w:type="dxa" w:w="5018"/>
          </w:tcPr>
          <w:p>
            <w:r>
              <w:t>0 school surveys / 0 learner trials</w:t>
            </w:r>
          </w:p>
        </w:tc>
      </w:tr>
      <w:tr>
        <w:tc>
          <w:tcPr>
            <w:tcW w:type="dxa" w:w="5018"/>
          </w:tcPr>
          <w:p>
            <w:r>
              <w:t>Learner improvement</w:t>
            </w:r>
          </w:p>
        </w:tc>
        <w:tc>
          <w:tcPr>
            <w:tcW w:type="dxa" w:w="5018"/>
          </w:tcPr>
          <w:p>
            <w:r>
              <w:t>Not measured</w:t>
            </w:r>
          </w:p>
        </w:tc>
      </w:tr>
    </w:tbl>
    <w:p/>
    <w:p>
      <w:r>
        <w:rPr>
          <w:b/>
        </w:rPr>
        <w:t>Technical metrics are narrow engineering receipts. They cannot be translated into an educational effectiveness percentage or full marks.</w:t>
      </w:r>
    </w:p>
    <w:p>
      <w:r>
        <w:br w:type="page"/>
      </w:r>
    </w:p>
    <w:p>
      <w:r>
        <w:rPr>
          <w:sz w:val="16"/>
        </w:rPr>
        <w:t>FRONT MATTER</w:t>
      </w:r>
    </w:p>
    <w:p>
      <w:pPr>
        <w:pStyle w:val="Heading1"/>
      </w:pPr>
      <w:r>
        <w:t>List of Contents</w:t>
      </w:r>
    </w:p>
    <w:p>
      <w:r>
        <w:rPr>
          <w:sz w:val="16"/>
        </w:rPr>
        <w:t>Body numbering restarts at 1. Each chapter contains sections .1 through .6 in the reference book’s order. Front matter uses roman-numbered footers.</w:t>
      </w:r>
    </w:p>
    <w:p>
      <w:r>
        <w:t>Chapter 1 — The Briefing Ledger: What the Course Actually Pays For</w:t>
      </w:r>
    </w:p>
    <w:p>
      <w:r>
        <w:t>Chapter 2 — Screening the Topic Against the Ground It Must Land On</w:t>
      </w:r>
    </w:p>
    <w:p>
      <w:r>
        <w:t>Chapter 3 — The Baseline Survey: Secondary Evidence, Primary Work Pending</w:t>
      </w:r>
    </w:p>
    <w:p>
      <w:r>
        <w:t>Chapter 4 — Freezing the Problem Statement on Evidence Anchors</w:t>
      </w:r>
    </w:p>
    <w:p>
      <w:r>
        <w:t>Chapter 5 — The Baseline: What Already Exists, and What It Misses</w:t>
      </w:r>
    </w:p>
    <w:p>
      <w:r>
        <w:t>Chapter 6 — The Week Map: Fifteen Slots, Roles and Review Gates</w:t>
      </w:r>
    </w:p>
    <w:p>
      <w:r>
        <w:t>Chapter 7 — Feasibility: What the School Must Confirm</w:t>
      </w:r>
    </w:p>
    <w:p>
      <w:r>
        <w:t>Chapter 8 — Design Week: The Engine Surface and the Page Graph</w:t>
      </w:r>
    </w:p>
    <w:p>
      <w:r>
        <w:t>Chapter 9 — The Content Pack: Secondary Digits and a District Map</w:t>
      </w:r>
    </w:p>
    <w:p>
      <w:r>
        <w:t>Chapter 10 — The Build: A Local-First Browser Tool</w:t>
      </w:r>
    </w:p>
    <w:p>
      <w:r>
        <w:t>Chapter 11 — Testing: A Truth Table for the Engine, a Browser Receipt</w:t>
      </w:r>
    </w:p>
    <w:p>
      <w:r>
        <w:t>Chapter 12 — The Pilot: A Protocol, Not Invented Participants</w:t>
      </w:r>
    </w:p>
    <w:p>
      <w:r>
        <w:t>Chapter 13 — Impact and the DPR: Numbers That Can Be Defended</w:t>
      </w:r>
    </w:p>
    <w:p>
      <w:r>
        <w:t>Chapter 14 — The Evidence Check: Recompute Everything, Compare Bytes</w:t>
      </w:r>
    </w:p>
    <w:p>
      <w:r>
        <w:t>Chapter 15 — The Viva Ledger: Handover with Git and Render</w:t>
      </w:r>
    </w:p>
    <w:p>
      <w:r>
        <w:t>Appendix A — Quick Reference, Fingerprints &amp; Debug Log</w:t>
      </w:r>
    </w:p>
    <w:p>
      <w:r>
        <w:t>Appendix B — Report Format, Rubrics &amp; Submission</w:t>
      </w:r>
    </w:p>
    <w:p>
      <w:r>
        <w:t>Appendix C — Viva Voce Bank</w:t>
      </w:r>
    </w:p>
    <w:p>
      <w:r>
        <w:t>Appendix D — Reproducing This Edition, Git &amp; Render</w:t>
      </w:r>
    </w:p>
    <w:p>
      <w:r>
        <w:br w:type="page"/>
      </w:r>
    </w:p>
    <w:p>
      <w:r>
        <w:rPr>
          <w:sz w:val="16"/>
        </w:rPr>
        <w:t>PART A</w:t>
      </w:r>
    </w:p>
    <w:p>
      <w:pPr>
        <w:pStyle w:val="Heading1"/>
      </w:pPr>
      <w:r>
        <w:t>METHOD: THE CASE FOR ONE TOOL</w:t>
      </w:r>
    </w:p>
    <w:p>
      <w:r>
        <w:t>Chapters 1–8 · Community context, secondary evidence, requirements, source review, schedule, feasibility and design.</w:t>
      </w:r>
    </w:p>
    <w:p>
      <w:r>
        <w:drawing>
          <wp:inline xmlns:a="http://schemas.openxmlformats.org/drawingml/2006/main" xmlns:pic="http://schemas.openxmlformats.org/drawingml/2006/picture">
            <wp:extent cx="6223000" cy="4567855"/>
            <wp:docPr id="1" name="Picture 1"/>
            <wp:cNvGraphicFramePr>
              <a:graphicFrameLocks noChangeAspect="1"/>
            </wp:cNvGraphicFramePr>
            <a:graphic>
              <a:graphicData uri="http://schemas.openxmlformats.org/drawingml/2006/picture">
                <pic:pic>
                  <pic:nvPicPr>
                    <pic:cNvPr id="0" name="app-desktop.png"/>
                    <pic:cNvPicPr/>
                  </pic:nvPicPr>
                  <pic:blipFill>
                    <a:blip r:embed="rId11"/>
                    <a:stretch>
                      <a:fillRect/>
                    </a:stretch>
                  </pic:blipFill>
                  <pic:spPr>
                    <a:xfrm>
                      <a:off x="0" y="0"/>
                      <a:ext cx="6223000" cy="4567855"/>
                    </a:xfrm>
                    <a:prstGeom prst="rect"/>
                  </pic:spPr>
                </pic:pic>
              </a:graphicData>
            </a:graphic>
          </wp:inline>
        </w:drawing>
      </w:r>
    </w:p>
    <w:p>
      <w:r>
        <w:rPr>
          <w:sz w:val="16"/>
        </w:rPr>
        <w:t>Figure A. Sahaya home screen captured from the running prototype. This is technical evidence, not a photograph of classroom use.</w:t>
      </w:r>
    </w:p>
    <w:p>
      <w:r>
        <w:br w:type="page"/>
      </w:r>
    </w:p>
    <w:p>
      <w:pPr>
        <w:pStyle w:val="Heading1"/>
      </w:pPr>
      <w:r>
        <w:t>Chapter 1 — The Briefing Ledger: What the Course Actually Pays For</w:t>
      </w:r>
    </w:p>
    <w:p>
      <w:r>
        <w:rPr>
          <w:sz w:val="16"/>
        </w:rPr>
        <w:t>WEEK (TLP ROW) 1 — Course introduction, objectives, ethics, conduct, and assessment briefing</w:t>
        <w:br/>
        <w:t>EVIDENCE  Team list, course plan</w:t>
        <w:br/>
        <w:t>FILES  scripts/cp00_week.py; evidence/cp00_week.txt</w:t>
        <w:br/>
        <w:t>COURSE OUTCOMES  CO1, CO2 (reference alignment only)</w:t>
      </w:r>
    </w:p>
    <w:p>
      <w:pPr>
        <w:pStyle w:val="Heading2"/>
      </w:pPr>
      <w:r>
        <w:t>1.1 Why This Week</w:t>
      </w:r>
    </w:p>
    <w:p>
      <w:r>
        <w:t>A community project is assessed on more than whether a screen opens. The supplied 1BCP308 book begins with an assessment ledger, and this companion retains that order. The exact requested topic row remains unchanged. New engineering work is described separately from pending school engagement; no marks, approval, or attendance are invented.</w:t>
      </w:r>
    </w:p>
    <w:p>
      <w:pPr>
        <w:pStyle w:val="Heading2"/>
      </w:pPr>
      <w:r>
        <w:t>1.2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result</w:t>
        <w:br/>
        <w:t>cie = [8, 10, 8, 10, 6, 8]</w:t>
        <w:br/>
        <w:t>see = [16, 20, 16, 20, 12, 16]</w:t>
        <w:br/>
        <w:t>assert sum(cie) == 50 and sum(see) == 100</w:t>
        <w:br/>
        <w:t>passing = [raw for raw in range(101)</w:t>
        <w:br/>
        <w:t xml:space="preserve">           if raw &gt;= 35 and 20 + raw / 2 &gt;= 40]</w:t>
        <w:br/>
        <w:t>print(f'CIE={sum(cie)}; SEE={sum(see)}; scaled SEE=/50')</w:t>
        <w:br/>
        <w:t>print('Gates: CIE &gt;=20/50; SEE &gt;=35/100; total &gt;=40/100')</w:t>
        <w:br/>
        <w:t>print(f'At CIE=20, minimum passing raw SEE={min(passing)}')</w:t>
        <w:br/>
        <w:t>result(0, 'assessment arithmetic verified; no grade awarded')</w:t>
      </w:r>
    </w:p>
    <w:p>
      <w:r>
        <w:br w:type="page"/>
      </w:r>
    </w:p>
    <w:p>
      <w:pPr>
        <w:pStyle w:val="Heading2"/>
      </w:pPr>
      <w:r>
        <w:t>1.3 Captured Run (Two-Pass Verified)</w:t>
      </w:r>
    </w:p>
    <w:p>
      <w:pPr>
        <w:spacing w:after="180"/>
      </w:pPr>
      <w:r>
        <w:rPr>
          <w:rFonts w:ascii="Consolas" w:hAnsi="Consolas"/>
          <w:sz w:val="16"/>
        </w:rPr>
        <w:t>$ python scripts/cp00_week.py</w:t>
        <w:br/>
        <w:t>CIE=50; SEE=100; scaled SEE=/50</w:t>
        <w:br/>
        <w:t>Gates: CIE &gt;=20/50; SEE &gt;=35/100; total &gt;=40/100</w:t>
        <w:br/>
        <w:t>At CIE=20, minimum passing raw SEE=40</w:t>
        <w:br/>
        <w:t>CP-00 RESULT: assessment arithmetic verified; no grade awarded</w:t>
      </w:r>
    </w:p>
    <w:p>
      <w:pPr>
        <w:pStyle w:val="Heading2"/>
      </w:pPr>
      <w:r>
        <w:t>1.4 What the Capture Proves</w:t>
      </w:r>
    </w:p>
    <w:p>
      <w:r>
        <w:t>The program reproduces the CIE/SEE weight arithmetic from the supplied book and computes the boundary case at CIE 20. It does not authenticate the current university syllabus or award a grade. Confirm operative assessment rules with the department. PO5 is evidenced by the engineering methods; PO6 requires responsible application and, ultimately, genuine stakeholder engagement.</w:t>
      </w:r>
    </w:p>
    <w:p>
      <w:r>
        <w:rPr>
          <w:b/>
        </w:rPr>
        <w:t>RESULT (THE PROGRAM’S OWN LINE)</w:t>
        <w:br/>
        <w:t>CP-00 RESULT: assessment arithmetic verified; no grade awarded</w:t>
      </w:r>
    </w:p>
    <w:p>
      <w:pPr>
        <w:pStyle w:val="Heading2"/>
      </w:pPr>
      <w:r>
        <w:t>1.5 Checkpoint Questions</w:t>
      </w:r>
    </w:p>
    <w:p>
      <w:r>
        <w:t>Q1. Why is a working app not sufficient evidence for the whole course?</w:t>
      </w:r>
    </w:p>
    <w:p>
      <w:r>
        <w:rPr>
          <w:sz w:val="16"/>
        </w:rPr>
        <w:t>Model answer. The rubric also covers problem definition, stakeholder interaction, documentation, communication and social benefit. Secondary datasets cannot stand in for school consultation.</w:t>
      </w:r>
    </w:p>
    <w:p>
      <w:r>
        <w:t>Q2. Why keep the historical topic title?</w:t>
      </w:r>
    </w:p>
    <w:p>
      <w:r>
        <w:rPr>
          <w:sz w:val="16"/>
        </w:rPr>
        <w:t>Model answer. The user requested the exact prescribed table format. The row is retained as a quotation, while the new application uses respectful, learner-centred terminology.</w:t>
      </w:r>
    </w:p>
    <w:p>
      <w:pPr>
        <w:pStyle w:val="Heading2"/>
      </w:pPr>
      <w:r>
        <w:t>1.6 Field Extensions</w:t>
      </w:r>
    </w:p>
    <w:p>
      <w:r>
        <w:t>Enter team members, USNs, guide and institution only after they are supplied. Agree on a school-contact plan and a safe evidence-handling policy. Never add a signature, affiliation or permission number on someone else’s behalf.</w:t>
      </w:r>
    </w:p>
    <w:p>
      <w:r>
        <w:br w:type="page"/>
      </w:r>
    </w:p>
    <w:p>
      <w:pPr>
        <w:pStyle w:val="Heading1"/>
      </w:pPr>
      <w:r>
        <w:t>Chapter 2 — Screening the Topic Against the Ground It Must Land On</w:t>
      </w:r>
    </w:p>
    <w:p>
      <w:r>
        <w:rPr>
          <w:sz w:val="16"/>
        </w:rPr>
        <w:t>WEEK (TLP ROW) 2 — Community problem identification and topic selection</w:t>
        <w:br/>
        <w:t>EVIDENCE  Shortlisted project topic</w:t>
        <w:br/>
        <w:t>FILES  scripts/cp01_week.py; evidence/cp01_week.txt</w:t>
        <w:br/>
        <w:t>COURSE OUTCOMES  CO1, CO5 (reference alignment only)</w:t>
      </w:r>
    </w:p>
    <w:p>
      <w:pPr>
        <w:pStyle w:val="Heading2"/>
      </w:pPr>
      <w:r>
        <w:t>2.1 Why This Week</w:t>
      </w:r>
    </w:p>
    <w:p>
      <w:r>
        <w:t>The location is Dakshina Kannada district, Karnataka, India, with its headquarters at coastal Mangaluru. The official district administration page supplies this context [S3]. The map is not a decoration drawn from memory: it is an extracted feature from the geoBoundaries India ADM2 release [S2], with the source year and licence kept beside the data.</w:t>
      </w:r>
    </w:p>
    <w:p>
      <w:pPr>
        <w:pStyle w:val="Heading2"/>
      </w:pPr>
      <w:r>
        <w:t>2.2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load, result</w:t>
        <w:br/>
        <w:t>geo = load('public/data/dakshina-kannada.geojson')</w:t>
        <w:br/>
        <w:t>meta = load('data/raw/geoboundaries-metadata.json')</w:t>
        <w:br/>
        <w:t>assert len(geo['features']) == 1</w:t>
        <w:br/>
        <w:t>name = geo['features'][0]['properties']['shapeName']</w:t>
        <w:br/>
        <w:t>assert name == 'Dakshina Kannada'</w:t>
        <w:br/>
        <w:t>print(f'District={name}; state=Karnataka; country=India')</w:t>
        <w:br/>
        <w:t>print('Headquarters=Mangaluru; point approximate, not surveyed')</w:t>
        <w:br/>
        <w:t>print('Boundary vintage=' + meta['boundaryYearRepresented'])</w:t>
        <w:br/>
        <w:t>print('Boundary licence=' + meta['boundaryLicense'])</w:t>
        <w:br/>
        <w:t>result(1, 'one named district source feature verified')</w:t>
      </w:r>
    </w:p>
    <w:p>
      <w:r>
        <w:br w:type="page"/>
      </w:r>
    </w:p>
    <w:p>
      <w:pPr>
        <w:pStyle w:val="Heading2"/>
      </w:pPr>
      <w:r>
        <w:t>2.3 Captured Run (Two-Pass Verified)</w:t>
      </w:r>
    </w:p>
    <w:p>
      <w:pPr>
        <w:spacing w:after="180"/>
      </w:pPr>
      <w:r>
        <w:rPr>
          <w:rFonts w:ascii="Consolas" w:hAnsi="Consolas"/>
          <w:sz w:val="16"/>
        </w:rPr>
        <w:t>$ python scripts/cp01_week.py</w:t>
        <w:br/>
        <w:t>District=Dakshina Kannada; state=Karnataka; country=India</w:t>
        <w:br/>
        <w:t>Headquarters=Mangaluru; point approximate, not surveyed</w:t>
        <w:br/>
        <w:t>Boundary vintage=2021</w:t>
        <w:br/>
        <w:t>Boundary licence=Open Data Commons Open Database License 1.0</w:t>
        <w:br/>
        <w:t>CP-01 RESULT: one named district source feature verified</w:t>
      </w:r>
    </w:p>
    <w:p>
      <w:pPr>
        <w:pStyle w:val="Heading2"/>
      </w:pPr>
      <w:r>
        <w:t>2.4 What the Capture Proves</w:t>
      </w:r>
    </w:p>
    <w:p>
      <w:r>
        <w:t>The check confirms exactly one named district feature and its recorded 2021 vintage. The administrative facts are sourced externally; an assertion alone is not external verification. An approximate Mangaluru city point is a hand-entered orientation annotation, not a surveyed school location. The sea shading and Western Ghats label are schematic context, not additional datasets.</w:t>
      </w:r>
    </w:p>
    <w:p>
      <w:r>
        <w:rPr>
          <w:b/>
        </w:rPr>
        <w:t>RESULT (THE PROGRAM’S OWN LINE)</w:t>
        <w:br/>
        <w:t>CP-01 RESULT: one named district source feature verified</w:t>
      </w:r>
    </w:p>
    <w:p>
      <w:pPr>
        <w:pStyle w:val="Heading2"/>
      </w:pPr>
      <w:r>
        <w:t>2.5 Checkpoint Questions</w:t>
      </w:r>
    </w:p>
    <w:p>
      <w:r>
        <w:t>Q1. Why does the map say 2021 rather than 2026?</w:t>
      </w:r>
    </w:p>
    <w:p>
      <w:r>
        <w:rPr>
          <w:sz w:val="16"/>
        </w:rPr>
        <w:t>Model answer. 2021 is the represented year in this boundary source. Retrieval in 2026 does not make the geometry a current official boundary.</w:t>
      </w:r>
    </w:p>
    <w:p>
      <w:r>
        <w:t>Q2. Why are special schools not pinned on this map?</w:t>
      </w:r>
    </w:p>
    <w:p>
      <w:r>
        <w:rPr>
          <w:sz w:val="16"/>
        </w:rPr>
        <w:t>Model answer. No authoritative, licensed, validated school-location dataset or partnership list was obtained. Invented locations would mislead educators and examiners.</w:t>
      </w:r>
    </w:p>
    <w:p>
      <w:pPr>
        <w:pStyle w:val="Heading2"/>
      </w:pPr>
      <w:r>
        <w:t>2.6 Field Extensions</w:t>
      </w:r>
    </w:p>
    <w:p>
      <w:r>
        <w:t>Verify any future school locations with the institution and an authoritative open source. Document consent and accuracy; never display home addresses or individual learner locations.</w:t>
      </w:r>
    </w:p>
    <w:p>
      <w:r>
        <w:br w:type="page"/>
      </w:r>
    </w:p>
    <w:p>
      <w:pPr>
        <w:pStyle w:val="Heading1"/>
      </w:pPr>
      <w:r>
        <w:t>Chapter 3 — The Baseline Survey: Secondary Evidence, Primary Work Pending</w:t>
      </w:r>
    </w:p>
    <w:p>
      <w:r>
        <w:rPr>
          <w:sz w:val="16"/>
        </w:rPr>
        <w:t>WEEK (TLP ROW) 3 — Stakeholder interaction and preliminary survey</w:t>
        <w:br/>
        <w:t>EVIDENCE  Survey notes, interview record (pending)</w:t>
        <w:br/>
        <w:t>FILES  scripts/cp02_week.py; evidence/cp02_week.txt</w:t>
        <w:br/>
        <w:t>COURSE OUTCOMES  CO1, CO2, CO4 (reference alignment only)</w:t>
      </w:r>
    </w:p>
    <w:p>
      <w:pPr>
        <w:pStyle w:val="Heading2"/>
      </w:pPr>
      <w:r>
        <w:t>3.1 Why This Week</w:t>
      </w:r>
    </w:p>
    <w:p>
      <w:r>
        <w:t>Week 3 in the reference book concerns stakeholder interaction and a preliminary survey. This delivery has no primary survey. It supplies genuine secondary engineering data instead: the UCI Optical Recognition of Handwritten Digits dataset [S1]. Its rows describe handwritten digit intensities, not local children or educational needs. The field protocol is therefore explicitly marked PENDING.</w:t>
      </w:r>
    </w:p>
    <w:p>
      <w:pPr>
        <w:pStyle w:val="Heading2"/>
      </w:pPr>
      <w:r>
        <w:t>3.2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ROOT, read, result</w:t>
        <w:br/>
        <w:t>counts = {}</w:t>
        <w:br/>
        <w:t>for part in ['tra', 'tes']:</w:t>
        <w:br/>
        <w:t xml:space="preserve">    rows = read(f'data/raw/optdigits.{part}').splitlines()</w:t>
        <w:br/>
        <w:t xml:space="preserve">    counts[part] = len(rows)</w:t>
        <w:br/>
        <w:t xml:space="preserve">    assert all(len(row.split(',')) == 65 for row in rows)</w:t>
        <w:br/>
        <w:t>assert counts == {'tra': 3823, 'tes': 1797}</w:t>
        <w:br/>
        <w:t>assert 'PENDING' in read('docs/FIELD_PROTOCOL.md')</w:t>
        <w:br/>
        <w:t>print(f"Secondary digit rows={sum(counts.values())}")</w:t>
        <w:br/>
        <w:t>print('Local schools surveyed=0; local learners tested=0')</w:t>
        <w:br/>
        <w:t>print('Primary engagement status=PENDING')</w:t>
        <w:br/>
        <w:t>result(2, 'secondary data separated from unperformed fieldwork')</w:t>
      </w:r>
    </w:p>
    <w:p>
      <w:r>
        <w:br w:type="page"/>
      </w:r>
    </w:p>
    <w:p>
      <w:pPr>
        <w:pStyle w:val="Heading2"/>
      </w:pPr>
      <w:r>
        <w:t>3.3 Captured Run (Two-Pass Verified)</w:t>
      </w:r>
    </w:p>
    <w:p>
      <w:pPr>
        <w:spacing w:after="180"/>
      </w:pPr>
      <w:r>
        <w:rPr>
          <w:rFonts w:ascii="Consolas" w:hAnsi="Consolas"/>
          <w:sz w:val="16"/>
        </w:rPr>
        <w:t>$ python scripts/cp02_week.py</w:t>
        <w:br/>
        <w:t>Secondary digit rows=5620</w:t>
        <w:br/>
        <w:t>Local schools surveyed=0; local learners tested=0</w:t>
        <w:br/>
        <w:t>Primary engagement status=PENDING</w:t>
        <w:br/>
        <w:t>CP-02 RESULT: secondary data separated from unperformed fieldwork</w:t>
      </w:r>
    </w:p>
    <w:p>
      <w:pPr>
        <w:pStyle w:val="Heading2"/>
      </w:pPr>
      <w:r>
        <w:t>3.4 What the Capture Proves</w:t>
      </w:r>
    </w:p>
    <w:p>
      <w:r>
        <w:t>The script counts the bundled original training/test files and verifies 65 fields per row: 64 pixel intensities plus the class. It does not reinterpret these rows as survey respondents. UCI documents 43 source writers in distinct training/test groups; they are not participants in this community project. Source data are licensed and attributed, with file fingerprints recorded.</w:t>
      </w:r>
    </w:p>
    <w:p>
      <w:r>
        <w:rPr>
          <w:b/>
        </w:rPr>
        <w:t>RESULT (THE PROGRAM’S OWN LINE)</w:t>
        <w:br/>
        <w:t>CP-02 RESULT: secondary data separated from unperformed fieldwork</w:t>
      </w:r>
    </w:p>
    <w:p>
      <w:pPr>
        <w:pStyle w:val="Heading2"/>
      </w:pPr>
      <w:r>
        <w:t>3.5 Checkpoint Questions</w:t>
      </w:r>
    </w:p>
    <w:p>
      <w:r>
        <w:t>Q1. Can the dataset prove the special school needs this tool?</w:t>
      </w:r>
    </w:p>
    <w:p>
      <w:r>
        <w:rPr>
          <w:sz w:val="16"/>
        </w:rPr>
        <w:t>Model answer. No. It enables technical prototyping and reproducible model evaluation. School requirements require direct authorized consultation.</w:t>
      </w:r>
    </w:p>
    <w:p>
      <w:r>
        <w:t>Q2. Why not use the reference book’s respondent and pilot numbers?</w:t>
      </w:r>
    </w:p>
    <w:p>
      <w:r>
        <w:rPr>
          <w:sz w:val="16"/>
        </w:rPr>
        <w:t>Model answer. Those numbers belong to another supplied artifact and its methodology. They are not observations made for this implementation and are not copied into the evidence ledger.</w:t>
      </w:r>
    </w:p>
    <w:p>
      <w:pPr>
        <w:pStyle w:val="Heading2"/>
      </w:pPr>
      <w:r>
        <w:t>3.6 Field Extensions</w:t>
      </w:r>
    </w:p>
    <w:p>
      <w:r>
        <w:t>Use the blank observation record in docs/FIELD_PROTOCOL.md. Arrange an educator interview, record actual constraints, and leave all respondent/learner counts at zero until authorized engagement occurs.</w:t>
      </w:r>
    </w:p>
    <w:p>
      <w:r>
        <w:br w:type="page"/>
      </w:r>
    </w:p>
    <w:p>
      <w:pPr>
        <w:pStyle w:val="Heading1"/>
      </w:pPr>
      <w:r>
        <w:t>Chapter 4 — Freezing the Problem Statement on Evidence Anchors</w:t>
      </w:r>
    </w:p>
    <w:p>
      <w:r>
        <w:rPr>
          <w:sz w:val="16"/>
        </w:rPr>
        <w:t>WEEK (TLP ROW) 4 — Problem statement and objective formulation</w:t>
        <w:br/>
        <w:t>EVIDENCE  Problem statement and requirement ledger</w:t>
        <w:br/>
        <w:t>FILES  scripts/cp03_week.py; evidence/cp03_week.txt</w:t>
        <w:br/>
        <w:t>COURSE OUTCOMES  CO1, CO2 (reference alignment only)</w:t>
      </w:r>
    </w:p>
    <w:p>
      <w:pPr>
        <w:pStyle w:val="Heading2"/>
      </w:pPr>
      <w:r>
        <w:t>4.1 Why This Week</w:t>
      </w:r>
    </w:p>
    <w:p>
      <w:r>
        <w:t>The baseline problem statement is: develop a browser tool for educator-guided foundational practice in English and Kannada, with understandable feedback, local privacy controls, auditable resources and district context. This is a proposed baseline for local validation—not a claim to have implemented an unnamed school’s actual requirements.</w:t>
      </w:r>
    </w:p>
    <w:p>
      <w:pPr>
        <w:pStyle w:val="Heading2"/>
      </w:pPr>
      <w:r>
        <w:t>4.2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load, read, result</w:t>
        <w:br/>
        <w:t>cards = load('public/data/lessons.json')</w:t>
        <w:br/>
        <w:t>text = read('docs/REQUIREMENTS.md')</w:t>
        <w:br/>
        <w:t>assert all(f'R{i}' in text for i in range(1, 11))</w:t>
        <w:br/>
        <w:t>assert all(c['prompt']['en'] and c['prompt']['kn'] for c in cards)</w:t>
        <w:br/>
        <w:t>assert '5, 6' in text and '| 4 |' in text</w:t>
        <w:br/>
        <w:t>print('Requirements=R1..R10; bilingual cards=' + str(len(cards)))</w:t>
        <w:br/>
        <w:t>print('Specific POs=5,6; SDG=4; school approval=PENDING')</w:t>
        <w:br/>
        <w:t>result(3, 'baseline traceability exists; school sign-off not claimed')</w:t>
      </w:r>
    </w:p>
    <w:p>
      <w:r>
        <w:br w:type="page"/>
      </w:r>
    </w:p>
    <w:p>
      <w:pPr>
        <w:pStyle w:val="Heading2"/>
      </w:pPr>
      <w:r>
        <w:t>4.3 Captured Run (Two-Pass Verified)</w:t>
      </w:r>
    </w:p>
    <w:p>
      <w:pPr>
        <w:spacing w:after="180"/>
      </w:pPr>
      <w:r>
        <w:rPr>
          <w:rFonts w:ascii="Consolas" w:hAnsi="Consolas"/>
          <w:sz w:val="16"/>
        </w:rPr>
        <w:t>$ python scripts/cp03_week.py</w:t>
        <w:br/>
        <w:t>Requirements=R1..R10; bilingual cards=30</w:t>
        <w:br/>
        <w:t>Specific POs=5,6; SDG=4; school approval=PENDING</w:t>
        <w:br/>
        <w:t>CP-03 RESULT: baseline traceability exists; school sign-off not claimed</w:t>
      </w:r>
    </w:p>
    <w:p>
      <w:pPr>
        <w:pStyle w:val="Heading2"/>
      </w:pPr>
      <w:r>
        <w:t>4.4 What the Capture Proves</w:t>
      </w:r>
    </w:p>
    <w:p>
      <w:r>
        <w:t>R1–R10 in the requirement ledger link features to evidence and outstanding review. The content has both language fields; that structural check cannot certify translation quality. The learner-facing interface and prompts are bilingual, while technical educator notes and map labels are English-only. School-specific requirements and Kannada specialist review remain release gates.</w:t>
      </w:r>
    </w:p>
    <w:p>
      <w:r>
        <w:rPr>
          <w:b/>
        </w:rPr>
        <w:t>RESULT (THE PROGRAM’S OWN LINE)</w:t>
        <w:br/>
        <w:t>CP-03 RESULT: baseline traceability exists; school sign-off not claimed</w:t>
      </w:r>
    </w:p>
    <w:p>
      <w:pPr>
        <w:pStyle w:val="Heading2"/>
      </w:pPr>
      <w:r>
        <w:t>4.5 Checkpoint Questions</w:t>
      </w:r>
    </w:p>
    <w:p>
      <w:r>
        <w:t>Q1. What is measurable now?</w:t>
      </w:r>
    </w:p>
    <w:p>
      <w:r>
        <w:rPr>
          <w:sz w:val="16"/>
        </w:rPr>
        <w:t>Model answer. Card count, language-field coverage, data split, model accuracy, tests, artifact hashes and deployment configuration. User benefit is not yet measured.</w:t>
      </w:r>
    </w:p>
    <w:p>
      <w:r>
        <w:t>Q2. What is deliberately outside scope?</w:t>
      </w:r>
    </w:p>
    <w:p>
      <w:r>
        <w:rPr>
          <w:sz w:val="16"/>
        </w:rPr>
        <w:t>Model answer. Diagnosis, automated ability ranking, private learner profiles, cloud tracking, authenticated administration and unconstrained generative content.</w:t>
      </w:r>
    </w:p>
    <w:p>
      <w:pPr>
        <w:pStyle w:val="Heading2"/>
      </w:pPr>
      <w:r>
        <w:t>4.6 Field Extensions</w:t>
      </w:r>
    </w:p>
    <w:p>
      <w:r>
        <w:t>Review each requirement with a special educator. Replace generic assumptions with signed-off acceptance criteria, then add actual device and access constraints without collecting unnecessary personal information.</w:t>
      </w:r>
    </w:p>
    <w:p>
      <w:r>
        <w:br w:type="page"/>
      </w:r>
    </w:p>
    <w:p>
      <w:pPr>
        <w:pStyle w:val="Heading1"/>
      </w:pPr>
      <w:r>
        <w:t>Chapter 5 — The Baseline: What Already Exists, and What It Misses</w:t>
      </w:r>
    </w:p>
    <w:p>
      <w:r>
        <w:rPr>
          <w:sz w:val="16"/>
        </w:rPr>
        <w:t>WEEK (TLP ROW) 5 — Literature/case study review and baseline analysis</w:t>
        <w:br/>
        <w:t>EVIDENCE  Baseline analysis summary</w:t>
        <w:br/>
        <w:t>FILES  scripts/cp04_week.py; evidence/cp04_week.txt</w:t>
        <w:br/>
        <w:t>COURSE OUTCOMES  CO1, CO5 (reference alignment only)</w:t>
      </w:r>
    </w:p>
    <w:p>
      <w:pPr>
        <w:pStyle w:val="Heading2"/>
      </w:pPr>
      <w:r>
        <w:t>5.1 Why This Week</w:t>
      </w:r>
    </w:p>
    <w:p>
      <w:r>
        <w:t>The baseline comparison is intentionally practical. A static application minimizes operational dependencies and keeps practice local. A general-purpose LMS adds accounts and administration; a runtime large language model adds cost, variable content and governance burdens. Printed educator cards remain a useful fallback. These are design trade-offs, not a systematic literature review or a superiority claim.</w:t>
      </w:r>
    </w:p>
    <w:p>
      <w:pPr>
        <w:pStyle w:val="Heading2"/>
      </w:pPr>
      <w:r>
        <w:t>5.2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read, result</w:t>
        <w:br/>
        <w:t>sources = read('docs/SOURCES.md')</w:t>
        <w:br/>
        <w:t>for term in ['UCI', 'geoBoundaries', 'Twemoji', 'scikit-learn',</w:t>
        <w:br/>
        <w:t xml:space="preserve">             'IndicTrans2', 'Google Dataset Search']:</w:t>
        <w:br/>
        <w:t xml:space="preserve">    assert term in sources</w:t>
        <w:br/>
        <w:t>assert 'Not downloaded or executed' in sources</w:t>
        <w:br/>
        <w:t>print('Used: UCI digits, geoBoundaries, Twemoji, scikit-learn')</w:t>
        <w:br/>
        <w:t>print('Optional only: IndicTrans2; finder links are discovery aids')</w:t>
        <w:br/>
        <w:t>result(4, 'source register and model-use boundaries documented')</w:t>
      </w:r>
    </w:p>
    <w:p>
      <w:r>
        <w:br w:type="page"/>
      </w:r>
    </w:p>
    <w:p>
      <w:pPr>
        <w:pStyle w:val="Heading2"/>
      </w:pPr>
      <w:r>
        <w:t>5.3 Captured Run (Two-Pass Verified)</w:t>
      </w:r>
    </w:p>
    <w:p>
      <w:pPr>
        <w:spacing w:after="180"/>
      </w:pPr>
      <w:r>
        <w:rPr>
          <w:rFonts w:ascii="Consolas" w:hAnsi="Consolas"/>
          <w:sz w:val="16"/>
        </w:rPr>
        <w:t>$ python scripts/cp04_week.py</w:t>
        <w:br/>
        <w:t>Used: UCI digits, geoBoundaries, Twemoji, scikit-learn</w:t>
        <w:br/>
        <w:t>Optional only: IndicTrans2; finder links are discovery aids</w:t>
        <w:br/>
        <w:t>CP-04 RESULT: source register and model-use boundaries documented</w:t>
      </w:r>
    </w:p>
    <w:p>
      <w:pPr>
        <w:pStyle w:val="Heading2"/>
      </w:pPr>
      <w:r>
        <w:t>5.4 What the Capture Proves</w:t>
      </w:r>
    </w:p>
    <w:p>
      <w:r>
        <w:t>The source register distinguishes resources actually used from resources merely discoverable. UCI data, geoBoundaries geometry, Twemoji graphics and scikit-learn are integrated. AI4Bharat IndicTrans2 En–Indic distilled 200M [S6] is an optional translation candidate with Kannada support and an MIT licence listed on its model card. It was not downloaded or executed. Finder links do not make every result open-licensed or pedagogically suitable.</w:t>
      </w:r>
    </w:p>
    <w:p>
      <w:r>
        <w:rPr>
          <w:b/>
        </w:rPr>
        <w:t>RESULT (THE PROGRAM’S OWN LINE)</w:t>
        <w:br/>
        <w:t>CP-04 RESULT: source register and model-use boundaries documented</w:t>
      </w:r>
    </w:p>
    <w:p>
      <w:pPr>
        <w:pStyle w:val="Heading2"/>
      </w:pPr>
      <w:r>
        <w:t>5.5 Checkpoint Questions</w:t>
      </w:r>
    </w:p>
    <w:p>
      <w:r>
        <w:t>Q1. Which open-source model actually runs?</w:t>
      </w:r>
    </w:p>
    <w:p>
      <w:r>
        <w:rPr>
          <w:sz w:val="16"/>
        </w:rPr>
        <w:t>Model answer. The Python scikit-learn 3-nearest-neighbours baseline and a small original browser equivalent. No foundation-model API is called.</w:t>
      </w:r>
    </w:p>
    <w:p>
      <w:r>
        <w:t>Q2. Why list a translation model if it is not integrated?</w:t>
      </w:r>
    </w:p>
    <w:p>
      <w:r>
        <w:rPr>
          <w:sz w:val="16"/>
        </w:rPr>
        <w:t>Model answer. To document a plausible future resource and its limitations transparently. The app must not imply it generated or validated the current Kannada content.</w:t>
      </w:r>
    </w:p>
    <w:p>
      <w:pPr>
        <w:pStyle w:val="Heading2"/>
      </w:pPr>
      <w:r>
        <w:t>5.6 Field Extensions</w:t>
      </w:r>
    </w:p>
    <w:p>
      <w:r>
        <w:t>Search UCI, Google Dataset Search, Hugging Face, OGD India and Kaggle with a precise question. Record creator, version, licence, population, intended use and representation before selecting a resource.</w:t>
      </w:r>
    </w:p>
    <w:p>
      <w:r>
        <w:br w:type="page"/>
      </w:r>
    </w:p>
    <w:p>
      <w:pPr>
        <w:pStyle w:val="Heading1"/>
      </w:pPr>
      <w:r>
        <w:t>Chapter 6 — The Week Map: Fifteen Slots, Roles and Review Gates</w:t>
      </w:r>
    </w:p>
    <w:p>
      <w:r>
        <w:rPr>
          <w:sz w:val="16"/>
        </w:rPr>
        <w:t>WEEK (TLP ROW) 6 — Project planning and role assignment</w:t>
        <w:br/>
        <w:t>EVIDENCE  Work plan / Gantt chart</w:t>
        <w:br/>
        <w:t>FILES  scripts/cp05_week.py; evidence/cp05_week.txt</w:t>
        <w:br/>
        <w:t>COURSE OUTCOMES  CO2 (reference alignment only)</w:t>
      </w:r>
    </w:p>
    <w:p>
      <w:pPr>
        <w:pStyle w:val="Heading2"/>
      </w:pPr>
      <w:r>
        <w:t>6.1 Why This Week</w:t>
      </w:r>
    </w:p>
    <w:p>
      <w:r>
        <w:t>The fifteen-week schedule follows the Teaching–Learning Process order in the supplied book. It is a proposed workload structure, not evidence of fifteen weeks elapsed. Four role slots distribute coordination/ethics, content/accessibility, engineering/data and QA/documentation. Names and institutional allocation are left for the project team.</w:t>
      </w:r>
    </w:p>
    <w:p>
      <w:pPr>
        <w:pStyle w:val="Heading2"/>
      </w:pPr>
      <w:r>
        <w:t>6.2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load, result</w:t>
        <w:br/>
        <w:t>plan = load('docs/plan.json')</w:t>
        <w:br/>
        <w:t>assert [r['week'] for r in plan] == list(range(1, 16))</w:t>
        <w:br/>
        <w:t>term = sum(r['term_hours'] for r in plan)</w:t>
        <w:br/>
        <w:t>self_hours = sum(r['self_hours'] for r in plan)</w:t>
        <w:br/>
        <w:t>assert (term, self_hours) == (30, 30)</w:t>
        <w:br/>
        <w:t>print(f'Planned weeks={len(plan)}; term={term}h; self={self_hours}h')</w:t>
        <w:br/>
        <w:t>print('Roles=' + str(len(set(r['role'] for r in plan))))</w:t>
        <w:br/>
        <w:t>print('Schedule status=proposed; not an attendance record')</w:t>
        <w:br/>
        <w:t>result(5, '15-week effort allocation closes at 60 hours')</w:t>
      </w:r>
    </w:p>
    <w:p>
      <w:r>
        <w:br w:type="page"/>
      </w:r>
    </w:p>
    <w:p>
      <w:pPr>
        <w:pStyle w:val="Heading2"/>
      </w:pPr>
      <w:r>
        <w:t>6.3 Captured Run (Two-Pass Verified)</w:t>
      </w:r>
    </w:p>
    <w:p>
      <w:pPr>
        <w:spacing w:after="180"/>
      </w:pPr>
      <w:r>
        <w:rPr>
          <w:rFonts w:ascii="Consolas" w:hAnsi="Consolas"/>
          <w:sz w:val="16"/>
        </w:rPr>
        <w:t>$ python scripts/cp05_week.py</w:t>
        <w:br/>
        <w:t>Planned weeks=15; term=30h; self=30h</w:t>
        <w:br/>
        <w:t>Roles=4</w:t>
        <w:br/>
        <w:t>Schedule status=proposed; not an attendance record</w:t>
        <w:br/>
        <w:t>CP-05 RESULT: 15-week effort allocation closes at 60 hours</w:t>
      </w:r>
    </w:p>
    <w:p>
      <w:pPr>
        <w:pStyle w:val="Heading2"/>
      </w:pPr>
      <w:r>
        <w:t>6.4 What the Capture Proves</w:t>
      </w:r>
    </w:p>
    <w:p>
      <w:r>
        <w:t>The plan allocates two term-work hours and two self-learning hours each week, closing at 30 + 30 hours. A school-readiness gate precedes field demonstration. If permission or content review is delayed, week 12 remains pending rather than being replaced with simulated interviews. The JSON plan can be edited and checked without silently changing the report totals.</w:t>
      </w:r>
    </w:p>
    <w:p>
      <w:r>
        <w:rPr>
          <w:b/>
        </w:rPr>
        <w:t>RESULT (THE PROGRAM’S OWN LINE)</w:t>
        <w:br/>
        <w:t>CP-05 RESULT: 15-week effort allocation closes at 60 hours</w:t>
      </w:r>
    </w:p>
    <w:p>
      <w:pPr>
        <w:pStyle w:val="Heading2"/>
      </w:pPr>
      <w:r>
        <w:t>6.5 Checkpoint Questions</w:t>
      </w:r>
    </w:p>
    <w:p>
      <w:r>
        <w:t>Q1. What happens if school engagement is delayed?</w:t>
      </w:r>
    </w:p>
    <w:p>
      <w:r>
        <w:rPr>
          <w:sz w:val="16"/>
        </w:rPr>
        <w:t>Model answer. Continue safe engineering work and report the engagement gate as unresolved. Do not represent automation as a classroom pilot.</w:t>
      </w:r>
    </w:p>
    <w:p>
      <w:r>
        <w:t>Q2. How is effort different from money?</w:t>
      </w:r>
    </w:p>
    <w:p>
      <w:r>
        <w:rPr>
          <w:sz w:val="16"/>
        </w:rPr>
        <w:t>Model answer. The 60 hours are a proposed educational workload. Hardware, staff opportunity cost, travel and hosting still need local estimates.</w:t>
      </w:r>
    </w:p>
    <w:p>
      <w:pPr>
        <w:pStyle w:val="Heading2"/>
      </w:pPr>
      <w:r>
        <w:t>6.6 Field Extensions</w:t>
      </w:r>
    </w:p>
    <w:p>
      <w:r>
        <w:t>Assign real role owners and review dates. Record actual effort separately from this plan; track review delays and refinements with Git issues or a local issue ledger.</w:t>
      </w:r>
    </w:p>
    <w:p>
      <w:r>
        <w:br w:type="page"/>
      </w:r>
    </w:p>
    <w:p>
      <w:pPr>
        <w:pStyle w:val="Heading1"/>
      </w:pPr>
      <w:r>
        <w:t>Chapter 7 — Feasibility: What the School Must Confirm</w:t>
      </w:r>
    </w:p>
    <w:p>
      <w:r>
        <w:rPr>
          <w:sz w:val="16"/>
        </w:rPr>
        <w:t>WEEK (TLP ROW) 7 — Feasibility analysis and solution brainstorming</w:t>
        <w:br/>
        <w:t>EVIDENCE  Solution alternatives sheet</w:t>
        <w:br/>
        <w:t>FILES  scripts/cp06_week.py; evidence/cp06_week.txt</w:t>
        <w:br/>
        <w:t>COURSE OUTCOMES  CO5 (reference alignment only)</w:t>
      </w:r>
    </w:p>
    <w:p>
      <w:pPr>
        <w:pStyle w:val="Heading2"/>
      </w:pPr>
      <w:r>
        <w:t>7.1 Why This Week</w:t>
      </w:r>
    </w:p>
    <w:p>
      <w:r>
        <w:t>A static tool was chosen to reduce runtime complexity: no server-side inference, user accounts, application database or mandatory API subscription. Existing browser hardware is an assumption to validate, not an asset inventory obtained from a school. Production dependencies differ from development dependencies: the app has none in npm, but testing uses Playwright and rebuilding data uses Python libraries.</w:t>
      </w:r>
    </w:p>
    <w:p>
      <w:pPr>
        <w:pStyle w:val="Heading2"/>
      </w:pPr>
      <w:r>
        <w:t>7.2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load, ROOT, result</w:t>
        <w:br/>
        <w:t>pkg = load('package.json')</w:t>
        <w:br/>
        <w:t>prod_deps = len(pkg.get('dependencies', {}))</w:t>
        <w:br/>
        <w:t>assert prod_deps == 0</w:t>
        <w:br/>
        <w:t>size = sum(p.stat().st_size for p in (ROOT/'public').rglob('*')</w:t>
        <w:br/>
        <w:t xml:space="preserve">           if p.is_file())</w:t>
        <w:br/>
        <w:t>print(f'Production npm dependencies={prod_deps}')</w:t>
        <w:br/>
        <w:t>print(f'Bundled site bytes={size}')</w:t>
        <w:br/>
        <w:t>print('Required API keys=0; server database=none')</w:t>
        <w:br/>
        <w:t>print('Hardware, staff time, internet and hosting cost=unconfirmed')</w:t>
        <w:br/>
        <w:t>result(6, 'static feasibility measured; cost assumptions not quotations')</w:t>
      </w:r>
    </w:p>
    <w:p>
      <w:r>
        <w:br w:type="page"/>
      </w:r>
    </w:p>
    <w:p>
      <w:pPr>
        <w:pStyle w:val="Heading2"/>
      </w:pPr>
      <w:r>
        <w:t>7.3 Captured Run (Two-Pass Verified)</w:t>
      </w:r>
    </w:p>
    <w:p>
      <w:pPr>
        <w:spacing w:after="180"/>
      </w:pPr>
      <w:r>
        <w:rPr>
          <w:rFonts w:ascii="Consolas" w:hAnsi="Consolas"/>
          <w:sz w:val="16"/>
        </w:rPr>
        <w:t>$ python scripts/cp06_week.py</w:t>
        <w:br/>
        <w:t>Production npm dependencies=0</w:t>
        <w:br/>
        <w:t>Bundled site bytes=1310555</w:t>
        <w:br/>
        <w:t>Required API keys=0; server database=none</w:t>
        <w:br/>
        <w:t>Hardware, staff time, internet and hosting cost=unconfirmed</w:t>
        <w:br/>
        <w:t>CP-06 RESULT: static feasibility measured; cost assumptions not quotations</w:t>
      </w:r>
    </w:p>
    <w:p>
      <w:pPr>
        <w:pStyle w:val="Heading2"/>
      </w:pPr>
      <w:r>
        <w:t>7.4 What the Capture Proves</w:t>
      </w:r>
    </w:p>
    <w:p>
      <w:r>
        <w:t>The program measures the deployed directory’s actual byte count and the production dependency count. The payload includes font, digits, model vectors and map so essential learning can work after a first successful cache. Low bandwidth and browser cache eviction remain real constraints. No zero-cost field implementation or guaranteed free hosting is asserted.</w:t>
      </w:r>
    </w:p>
    <w:p>
      <w:r>
        <w:rPr>
          <w:b/>
        </w:rPr>
        <w:t>RESULT (THE PROGRAM’S OWN LINE)</w:t>
        <w:br/>
        <w:t>CP-06 RESULT: static feasibility measured; cost assumptions not quotations</w:t>
      </w:r>
    </w:p>
    <w:p>
      <w:pPr>
        <w:pStyle w:val="Heading2"/>
      </w:pPr>
      <w:r>
        <w:t>7.5 Checkpoint Questions</w:t>
      </w:r>
    </w:p>
    <w:p>
      <w:r>
        <w:t>Q1. Why does an offline-capable tool still need an initial connection?</w:t>
      </w:r>
    </w:p>
    <w:p>
      <w:r>
        <w:rPr>
          <w:sz w:val="16"/>
        </w:rPr>
        <w:t>Model answer. The HTTPS site must first download and cache its assets. Local HTTP serving is an alternative; opening index.html directly via file:// is not supported.</w:t>
      </w:r>
    </w:p>
    <w:p>
      <w:r>
        <w:t>Q2. What costs remain if API keys are unnecessary?</w:t>
      </w:r>
    </w:p>
    <w:p>
      <w:r>
        <w:rPr>
          <w:sz w:val="16"/>
        </w:rPr>
        <w:t>Model answer. Device availability, electricity, internet, educator time, accessibility equipment, travel, maintenance and any hosting charges.</w:t>
      </w:r>
    </w:p>
    <w:p>
      <w:pPr>
        <w:pStyle w:val="Heading2"/>
      </w:pPr>
      <w:r>
        <w:t>7.6 Field Extensions</w:t>
      </w:r>
    </w:p>
    <w:p>
      <w:r>
        <w:t>Test on the actual school device and browser. Obtain resource/cost estimates, agree who updates the content, and keep a local copy for network or cache failures.</w:t>
      </w:r>
    </w:p>
    <w:p>
      <w:r>
        <w:br w:type="page"/>
      </w:r>
    </w:p>
    <w:p>
      <w:pPr>
        <w:pStyle w:val="Heading1"/>
      </w:pPr>
      <w:r>
        <w:t>Chapter 8 — Design Week: The Engine Surface and the Page Graph</w:t>
      </w:r>
    </w:p>
    <w:p>
      <w:r>
        <w:rPr>
          <w:sz w:val="16"/>
        </w:rPr>
        <w:t>WEEK (TLP ROW) 8 — Selection of final solution and design approach</w:t>
        <w:br/>
        <w:t>EVIDENCE  Concept note / design outline</w:t>
        <w:br/>
        <w:t>FILES  scripts/cp07_week.py; evidence/cp07_week.txt</w:t>
        <w:br/>
        <w:t>COURSE OUTCOMES  CO2, CO6 (reference alignment only)</w:t>
      </w:r>
    </w:p>
    <w:p>
      <w:pPr>
        <w:pStyle w:val="Heading2"/>
      </w:pPr>
      <w:r>
        <w:t>8.1 Why This Week</w:t>
      </w:r>
    </w:p>
    <w:p>
      <w:r>
        <w:t>The app has five views: learning home, practice, device progress, district context and educator resources. The practice engine presents a short sequence, accepts a choice, offers a supportive retry or confirms success, then enables Next. It never advances on a timer. The separate digit model does not decide whether a child can progress.</w:t>
      </w:r>
    </w:p>
    <w:p>
      <w:pPr>
        <w:pStyle w:val="Heading2"/>
      </w:pPr>
      <w:r>
        <w:t>8.2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read, result</w:t>
        <w:br/>
        <w:t>app = read('public/app.js')</w:t>
        <w:br/>
        <w:t>engine = read('public/engine.js')</w:t>
        <w:br/>
        <w:t>for token in ['function home', 'function progress',</w:t>
        <w:br/>
        <w:t xml:space="preserve">              'function district', 'function educators',</w:t>
        <w:br/>
        <w:t xml:space="preserve">              'function practice']:</w:t>
        <w:br/>
        <w:t xml:space="preserve">    assert token in app</w:t>
        <w:br/>
        <w:t>for token in ['selectCards', 'summarize', 'grade', 'predictKnn']:</w:t>
        <w:br/>
        <w:t xml:space="preserve">    assert token in engine</w:t>
        <w:br/>
        <w:t>assert 'remember:false' in app</w:t>
        <w:br/>
        <w:t>print('Views=5; default persistence=off; answer state=explicit')</w:t>
        <w:br/>
        <w:t>print('Model inference separated from learner practice grading')</w:t>
        <w:br/>
        <w:t>result(7, 'page graph and explicit engine surfaces verified')</w:t>
      </w:r>
    </w:p>
    <w:p>
      <w:r>
        <w:br w:type="page"/>
      </w:r>
    </w:p>
    <w:p>
      <w:pPr>
        <w:pStyle w:val="Heading2"/>
      </w:pPr>
      <w:r>
        <w:t>8.3 Captured Run (Two-Pass Verified)</w:t>
      </w:r>
    </w:p>
    <w:p>
      <w:pPr>
        <w:spacing w:after="180"/>
      </w:pPr>
      <w:r>
        <w:rPr>
          <w:rFonts w:ascii="Consolas" w:hAnsi="Consolas"/>
          <w:sz w:val="16"/>
        </w:rPr>
        <w:t>$ python scripts/cp07_week.py</w:t>
        <w:br/>
        <w:t>Views=5; default persistence=off; answer state=explicit</w:t>
        <w:br/>
        <w:t>Model inference separated from learner practice grading</w:t>
        <w:br/>
        <w:t>CP-07 RESULT: page graph and explicit engine surfaces verified</w:t>
      </w:r>
    </w:p>
    <w:p>
      <w:pPr>
        <w:pStyle w:val="Heading2"/>
      </w:pPr>
      <w:r>
        <w:t>8.4 What the Capture Proves</w:t>
      </w:r>
    </w:p>
    <w:p>
      <w:r>
        <w:t>The static checks confirm named view/engine surfaces and memory-only default storage; the browser tests later verify actual behaviour. Each session contains three or five cards. A category’s next session starts after its device completion count and wraps through the pack; this is deterministic rotation, not adaptive intelligence. CSV records contain date, session token, category, card, attempts and first-correct flag.</w:t>
      </w:r>
    </w:p>
    <w:p>
      <w:r>
        <w:rPr>
          <w:b/>
        </w:rPr>
        <w:t>RESULT (THE PROGRAM’S OWN LINE)</w:t>
        <w:br/>
        <w:t>CP-07 RESULT: page graph and explicit engine surfaces verified</w:t>
      </w:r>
    </w:p>
    <w:p>
      <w:pPr>
        <w:pStyle w:val="Heading2"/>
      </w:pPr>
      <w:r>
        <w:t>8.5 Checkpoint Questions</w:t>
      </w:r>
    </w:p>
    <w:p>
      <w:r>
        <w:t>Q1. Is the educator view a secure admin area?</w:t>
      </w:r>
    </w:p>
    <w:p>
      <w:r>
        <w:rPr>
          <w:sz w:val="16"/>
        </w:rPr>
        <w:t>Model answer. No. It is a public informational workspace and demonstration, with no privileged actions or private learner records.</w:t>
      </w:r>
    </w:p>
    <w:p>
      <w:r>
        <w:t>Q2. Why separate first-try success from retries?</w:t>
      </w:r>
    </w:p>
    <w:p>
      <w:r>
        <w:rPr>
          <w:sz w:val="16"/>
        </w:rPr>
        <w:t>Model answer. A card eventually completed after help is not the same as an unaided first response. Even this distinction is only practice behaviour, not an ability or clinical measure.</w:t>
      </w:r>
    </w:p>
    <w:p>
      <w:pPr>
        <w:pStyle w:val="Heading2"/>
      </w:pPr>
      <w:r>
        <w:t>8.6 Field Extensions</w:t>
      </w:r>
    </w:p>
    <w:p>
      <w:r>
        <w:t>Observe whether instructions, focus changes, feedback and exit controls are understandable. Offer alternative tasks for visual impairments and individual sensory preferences; do not assume one interface serves every learner.</w:t>
      </w:r>
    </w:p>
    <w:p>
      <w:r>
        <w:br w:type="page"/>
      </w:r>
    </w:p>
    <w:p>
      <w:r>
        <w:rPr>
          <w:sz w:val="16"/>
        </w:rPr>
        <w:t>PART B</w:t>
      </w:r>
    </w:p>
    <w:p>
      <w:pPr>
        <w:pStyle w:val="Heading1"/>
      </w:pPr>
      <w:r>
        <w:t>BUILD, TEST AND RESPONSIBLE HANDOVER</w:t>
      </w:r>
    </w:p>
    <w:p>
      <w:r>
        <w:t>Chapters 9–15 · Dataset processing, district mapping, browser implementation, technical tests, pending field protocol, outcome limits and publication.</w:t>
      </w:r>
    </w:p>
    <w:p>
      <w:r>
        <w:drawing>
          <wp:inline xmlns:a="http://schemas.openxmlformats.org/drawingml/2006/main" xmlns:pic="http://schemas.openxmlformats.org/drawingml/2006/picture">
            <wp:extent cx="6223000" cy="3656013"/>
            <wp:docPr id="2" name="Picture 2"/>
            <wp:cNvGraphicFramePr>
              <a:graphicFrameLocks noChangeAspect="1"/>
            </wp:cNvGraphicFramePr>
            <a:graphic>
              <a:graphicData uri="http://schemas.openxmlformats.org/drawingml/2006/picture">
                <pic:pic>
                  <pic:nvPicPr>
                    <pic:cNvPr id="0" name="district-map.png"/>
                    <pic:cNvPicPr/>
                  </pic:nvPicPr>
                  <pic:blipFill>
                    <a:blip r:embed="rId12"/>
                    <a:stretch>
                      <a:fillRect/>
                    </a:stretch>
                  </pic:blipFill>
                  <pic:spPr>
                    <a:xfrm>
                      <a:off x="0" y="0"/>
                      <a:ext cx="6223000" cy="3656013"/>
                    </a:xfrm>
                    <a:prstGeom prst="rect"/>
                  </pic:spPr>
                </pic:pic>
              </a:graphicData>
            </a:graphic>
          </wp:inline>
        </w:drawing>
      </w:r>
    </w:p>
    <w:p>
      <w:r>
        <w:rPr>
          <w:sz w:val="16"/>
        </w:rPr>
        <w:t>Figure B. District geometry from geoBoundaries, 2021 vintage, ODbL 1.0. Approximate Mangaluru point; not a navigation or school-service map.</w:t>
      </w:r>
    </w:p>
    <w:p>
      <w:r>
        <w:br w:type="page"/>
      </w:r>
    </w:p>
    <w:p>
      <w:pPr>
        <w:pStyle w:val="Heading1"/>
      </w:pPr>
      <w:r>
        <w:t>Chapter 9 — The Content Pack: Secondary Digits and a District Map</w:t>
      </w:r>
    </w:p>
    <w:p>
      <w:r>
        <w:rPr>
          <w:sz w:val="16"/>
        </w:rPr>
        <w:t>WEEK (TLP ROW) 9 — Data processing / calculations / sizing / mapping</w:t>
        <w:br/>
        <w:t>EVIDENCE  Technical analysis sheet</w:t>
        <w:br/>
        <w:t>FILES  scripts/cp08_week.py; evidence/cp08_week.txt</w:t>
        <w:br/>
        <w:t>COURSE OUTCOMES  CO2, CO6 (reference alignment only)</w:t>
      </w:r>
    </w:p>
    <w:p>
      <w:pPr>
        <w:pStyle w:val="Heading2"/>
      </w:pPr>
      <w:r>
        <w:t>9.1 Why This Week</w:t>
      </w:r>
    </w:p>
    <w:p>
      <w:r>
        <w:t>The content pack contains authored everyday activities and a clearly separated optional handwriting module. The model uses UCI’s original split: 3,823 training rows and 1,797 test rows [S1]. Each image is an 8×8 array of intensities from 0 to 16; Euclidean 3-nearest-neighbours voting is a transparent baseline. No test-label tuning or new learner handwriting collection occurs.</w:t>
      </w:r>
    </w:p>
    <w:p>
      <w:pPr>
        <w:pStyle w:val="Heading2"/>
      </w:pPr>
      <w:r>
        <w:t>9.2 The Program (Code)</w:t>
      </w:r>
    </w:p>
    <w:p>
      <w:r>
        <w:rPr>
          <w:sz w:val="16"/>
        </w:rPr>
        <w:t>The listing below is the file executed for the captured run. Shared I/O helpers are reproduced in Appendix D.</w:t>
      </w:r>
    </w:p>
    <w:p>
      <w:pPr>
        <w:spacing w:after="180"/>
      </w:pPr>
      <w:r>
        <w:rPr>
          <w:rFonts w:ascii="Consolas" w:hAnsi="Consolas"/>
          <w:sz w:val="16"/>
        </w:rPr>
        <w:t>from collections import Counter</w:t>
        <w:br/>
        <w:t>from evidence_common import load, result</w:t>
        <w:br/>
        <w:t>cards = load('public/data/lessons.json')</w:t>
        <w:br/>
        <w:t>counts = dict(sorted(Counter(c['category'] for c in cards).items()))</w:t>
        <w:br/>
        <w:t>m = load('public/data/model-metrics.json')</w:t>
        <w:br/>
        <w:t>assert len(set(c['id'] for c in cards)) == 30</w:t>
        <w:br/>
        <w:t>assert m['correct'] == sum(m['confusion_matrix'][i][i]</w:t>
        <w:br/>
        <w:t xml:space="preserve">                           for i in range(10))</w:t>
        <w:br/>
        <w:t>print(f'Cards by category={counts}')</w:t>
        <w:br/>
        <w:t>print(f"3-NN correct={m['correct']}/{m['test_rows']}")</w:t>
        <w:br/>
        <w:t>print(f"Repository test accuracy={m['accuracy']:.6f}")</w:t>
        <w:br/>
        <w:t>result(8, 'content and confusion-matrix totals agree')</w:t>
      </w:r>
    </w:p>
    <w:p>
      <w:r>
        <w:br w:type="page"/>
      </w:r>
    </w:p>
    <w:p>
      <w:pPr>
        <w:pStyle w:val="Heading2"/>
      </w:pPr>
      <w:r>
        <w:t>9.3 Captured Run (Two-Pass Verified)</w:t>
      </w:r>
    </w:p>
    <w:p>
      <w:pPr>
        <w:spacing w:after="180"/>
      </w:pPr>
      <w:r>
        <w:rPr>
          <w:rFonts w:ascii="Consolas" w:hAnsi="Consolas"/>
          <w:sz w:val="16"/>
        </w:rPr>
        <w:t>$ python scripts/cp08_week.py</w:t>
        <w:br/>
        <w:t>Cards by category={'colours': 5, 'digits': 10, 'life': 5, 'numbers': 5, 'shapes': 5}</w:t>
        <w:br/>
        <w:t>3-NN correct=1758/1797</w:t>
        <w:br/>
        <w:t>Repository test accuracy=0.978297</w:t>
        <w:br/>
        <w:t>CP-08 RESULT: content and confusion-matrix totals agree</w:t>
      </w:r>
    </w:p>
    <w:p>
      <w:pPr>
        <w:pStyle w:val="Heading2"/>
      </w:pPr>
      <w:r>
        <w:t>9.4 What the Capture Proves</w:t>
      </w:r>
    </w:p>
    <w:p>
      <w:r>
        <w:t>The program validates the confusion-matrix diagonal against the saved correct count. The full accuracy comes from Python reference evaluation; browser parity is checked on 20 selected held-out examples only. The selected examples are not an independent evaluation. Ten digit cards use these secondary images; twenty everyday cards are author-written. The map is another genuine secondary-data derivative, not an invented sketch.</w:t>
      </w:r>
    </w:p>
    <w:p>
      <w:r>
        <w:rPr>
          <w:b/>
        </w:rPr>
        <w:t>RESULT (THE PROGRAM’S OWN LINE)</w:t>
        <w:br/>
        <w:t>CP-08 RESULT: content and confusion-matrix totals agree</w:t>
      </w:r>
    </w:p>
    <w:p>
      <w:pPr>
        <w:pStyle w:val="Heading2"/>
      </w:pPr>
      <w:r>
        <w:t>9.5 Checkpoint Questions</w:t>
      </w:r>
    </w:p>
    <w:p>
      <w:r>
        <w:t>Q1. Why is 97.83% not an educational outcome?</w:t>
      </w:r>
    </w:p>
    <w:p>
      <w:r>
        <w:rPr>
          <w:sz w:val="16"/>
        </w:rPr>
        <w:t>Model answer. It measures repository digit-label classification on a fixed split. It says nothing about improvement, accessibility or suitability for local learners.</w:t>
      </w:r>
    </w:p>
    <w:p>
      <w:r>
        <w:t>Q2. What is the biggest domain limitation?</w:t>
      </w:r>
    </w:p>
    <w:p>
      <w:r>
        <w:rPr>
          <w:sz w:val="16"/>
        </w:rPr>
        <w:t>Model answer. UCI writer samples are not a validated sample of this learner population and are not Kannada numerals. The model is restricted to an educator demonstration.</w:t>
      </w:r>
    </w:p>
    <w:p>
      <w:pPr>
        <w:pStyle w:val="Heading2"/>
      </w:pPr>
      <w:r>
        <w:t>9.6 Field Extensions</w:t>
      </w:r>
    </w:p>
    <w:p>
      <w:r>
        <w:t>Review the optional low-resolution handwritten images for suitability. If collecting any new handwriting is later proposed, obtain separate approval, minimization rules and a held-out evaluation design; do not silently expand this prototype.</w:t>
      </w:r>
    </w:p>
    <w:p>
      <w:r>
        <w:br w:type="page"/>
      </w:r>
    </w:p>
    <w:p>
      <w:pPr>
        <w:pStyle w:val="Heading1"/>
      </w:pPr>
      <w:r>
        <w:t>Chapter 10 — The Build: A Local-First Browser Tool</w:t>
      </w:r>
    </w:p>
    <w:p>
      <w:r>
        <w:rPr>
          <w:sz w:val="16"/>
        </w:rPr>
        <w:t>WEEK (TLP ROW) 10 — Prototype / model / audit / DPR / app development</w:t>
        <w:br/>
        <w:t>EVIDENCE  Working app / source repository</w:t>
        <w:br/>
        <w:t>FILES  scripts/cp09_week.py; evidence/cp09_week.txt</w:t>
        <w:br/>
        <w:t>COURSE OUTCOMES  CO6 (reference alignment only)</w:t>
      </w:r>
    </w:p>
    <w:p>
      <w:pPr>
        <w:pStyle w:val="Heading2"/>
      </w:pPr>
      <w:r>
        <w:t>10.1 Why This Week</w:t>
      </w:r>
    </w:p>
    <w:p>
      <w:r>
        <w:t>The deployed site is the public/ folder. A small Node build script hashes bundled files and writes a versioned service worker. A local Node server is provided for development; Render uses static hosting rather than that server. The app requests only same-origin bundled resources during core use and does not call model or analytics APIs.</w:t>
      </w:r>
    </w:p>
    <w:p>
      <w:pPr>
        <w:pStyle w:val="Heading2"/>
      </w:pPr>
      <w:r>
        <w:t>10.2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read, ROOT, result</w:t>
        <w:br/>
        <w:t>sw = read('public/sw.js')</w:t>
        <w:br/>
        <w:t>assert 'caches.open' in sw and 'cache.addAll' in sw</w:t>
        <w:br/>
        <w:t>assert 'node scripts/build.mjs' in read('render.yaml')</w:t>
        <w:br/>
        <w:t>assert 'runtime: static' in read('render.yaml')</w:t>
        <w:br/>
        <w:t>files = [p for p in (ROOT/'public').rglob('*') if p.is_file()]</w:t>
        <w:br/>
        <w:t>print(f'Deployed public files={len(files)}')</w:t>
        <w:br/>
        <w:t>print('Runtime=static HTML/CSS/JS; backend=none')</w:t>
        <w:br/>
        <w:t>print('Offline prerequisite=successful initial HTTPS cache')</w:t>
        <w:br/>
        <w:t>result(9, 'static build and Render configuration present')</w:t>
      </w:r>
    </w:p>
    <w:p>
      <w:r>
        <w:br w:type="page"/>
      </w:r>
    </w:p>
    <w:p>
      <w:pPr>
        <w:pStyle w:val="Heading2"/>
      </w:pPr>
      <w:r>
        <w:t>10.3 Captured Run (Two-Pass Verified)</w:t>
      </w:r>
    </w:p>
    <w:p>
      <w:pPr>
        <w:spacing w:after="180"/>
      </w:pPr>
      <w:r>
        <w:rPr>
          <w:rFonts w:ascii="Consolas" w:hAnsi="Consolas"/>
          <w:sz w:val="16"/>
        </w:rPr>
        <w:t>$ python scripts/cp09_week.py</w:t>
        <w:br/>
        <w:t>Deployed public files=19</w:t>
        <w:br/>
        <w:t>Runtime=static HTML/CSS/JS; backend=none</w:t>
        <w:br/>
        <w:t>Offline prerequisite=successful initial HTTPS cache</w:t>
        <w:br/>
        <w:t>CP-09 RESULT: static build and Render configuration present</w:t>
      </w:r>
    </w:p>
    <w:p>
      <w:pPr>
        <w:pStyle w:val="Heading2"/>
      </w:pPr>
      <w:r>
        <w:t>10.4 What the Capture Proves</w:t>
      </w:r>
    </w:p>
    <w:p>
      <w:r>
        <w:t>The build check confirms the static configuration and generated offline cache instructions. Offline use requires a complete initial secure-origin cache; browser voice services and external references are outside that guarantee. Cache entries are content-versioned. New workers activate after old tabs close, avoiding an uncontrolled mid-session replacement. A browser can still evict stored data.</w:t>
      </w:r>
    </w:p>
    <w:p>
      <w:r>
        <w:rPr>
          <w:b/>
        </w:rPr>
        <w:t>RESULT (THE PROGRAM’S OWN LINE)</w:t>
        <w:br/>
        <w:t>CP-09 RESULT: static build and Render configuration present</w:t>
      </w:r>
    </w:p>
    <w:p>
      <w:pPr>
        <w:pStyle w:val="Heading2"/>
      </w:pPr>
      <w:r>
        <w:t>10.5 Checkpoint Questions</w:t>
      </w:r>
    </w:p>
    <w:p>
      <w:r>
        <w:t>Q1. Why is there no backend start command in render.yaml?</w:t>
      </w:r>
    </w:p>
    <w:p>
      <w:r>
        <w:rPr>
          <w:sz w:val="16"/>
        </w:rPr>
        <w:t>Model answer. Render static sites publish a directory. There is no application database or API server to start.</w:t>
      </w:r>
    </w:p>
    <w:p>
      <w:r>
        <w:t>Q2. Why can the model run without a cloud service?</w:t>
      </w:r>
    </w:p>
    <w:p>
      <w:r>
        <w:rPr>
          <w:sz w:val="16"/>
        </w:rPr>
        <w:t>Model answer. The exported neighbour vectors are small enough to bundle, and the browser computes distances locally over these repository examples.</w:t>
      </w:r>
    </w:p>
    <w:p>
      <w:pPr>
        <w:pStyle w:val="Heading2"/>
      </w:pPr>
      <w:r>
        <w:t>10.6 Field Extensions</w:t>
      </w:r>
    </w:p>
    <w:p>
      <w:r>
        <w:t>Perform a deployment smoke test on the assigned HTTPS URL. Check font loading, every activity, map, source links, CSV handling and an offline reload. Do not confuse a sandbox preview with a deployed school service.</w:t>
      </w:r>
    </w:p>
    <w:p>
      <w:r>
        <w:br w:type="page"/>
      </w:r>
    </w:p>
    <w:p>
      <w:pPr>
        <w:pStyle w:val="Heading1"/>
      </w:pPr>
      <w:r>
        <w:t>Chapter 11 — Testing: A Truth Table for the Engine, a Browser Receipt</w:t>
      </w:r>
    </w:p>
    <w:p>
      <w:r>
        <w:rPr>
          <w:sz w:val="16"/>
        </w:rPr>
        <w:t>WEEK (TLP ROW) 11 — Testing, refinement, and implementation planning</w:t>
        <w:br/>
        <w:t>EVIDENCE  Test results / revised output</w:t>
        <w:br/>
        <w:t>FILES  scripts/cp10_week.py; evidence/cp10_week.txt</w:t>
        <w:br/>
        <w:t>COURSE OUTCOMES  CO2, CO4 (reference alignment only)</w:t>
      </w:r>
    </w:p>
    <w:p>
      <w:pPr>
        <w:pStyle w:val="Heading2"/>
      </w:pPr>
      <w:r>
        <w:t>11.1 Why This Week</w:t>
      </w:r>
    </w:p>
    <w:p>
      <w:r>
        <w:t>Testing follows three layers: deterministic content/engine checks, Chromium user-flow automation, and limited automated accessibility scans. There is also an artifact regeneration check. These layers catch engineering defects without pretending to replace classroom observation or an accessibility specialist.</w:t>
      </w:r>
    </w:p>
    <w:p>
      <w:pPr>
        <w:pStyle w:val="Heading2"/>
      </w:pPr>
      <w:r>
        <w:t>11.2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load, read, result</w:t>
        <w:br/>
        <w:t>browser = load('evidence/browser-results.json')</w:t>
        <w:br/>
        <w:t>axe = load('evidence/accessibility.json')</w:t>
        <w:br/>
        <w:t>unit = read('evidence/unit-transcript.txt')</w:t>
        <w:br/>
        <w:t>assert browser['status'] == 'PASS' and not browser['errors']</w:t>
        <w:br/>
        <w:t>assert '# pass 9' in unit and '# fail 0' in unit</w:t>
        <w:br/>
        <w:t>violations = sum(len(row['violations']) for row in axe)</w:t>
        <w:br/>
        <w:t>print('Recorded Node unit tests=9 passed, 0 failed')</w:t>
        <w:br/>
        <w:t>print(f"Recorded Chromium checks={len(browser['checks'])} passed")</w:t>
        <w:br/>
        <w:t>print(f'Automated axe findings across {len(axe)} views={violations}')</w:t>
        <w:br/>
        <w:t>print('Scope=recorded automation; not full accessibility certification')</w:t>
        <w:br/>
        <w:t>result(10, 'technical test receipts checked; no user trial inferred')</w:t>
      </w:r>
    </w:p>
    <w:p>
      <w:r>
        <w:br w:type="page"/>
      </w:r>
    </w:p>
    <w:p>
      <w:pPr>
        <w:pStyle w:val="Heading2"/>
      </w:pPr>
      <w:r>
        <w:t>11.3 Captured Run (Two-Pass Verified)</w:t>
      </w:r>
    </w:p>
    <w:p>
      <w:pPr>
        <w:spacing w:after="180"/>
      </w:pPr>
      <w:r>
        <w:rPr>
          <w:rFonts w:ascii="Consolas" w:hAnsi="Consolas"/>
          <w:sz w:val="16"/>
        </w:rPr>
        <w:t>$ python scripts/cp10_week.py</w:t>
        <w:br/>
        <w:t>Recorded Node unit tests=9 passed, 0 failed</w:t>
        <w:br/>
        <w:t>Recorded Chromium checks=19 passed</w:t>
        <w:br/>
        <w:t>Automated axe findings across 4 views=0</w:t>
        <w:br/>
        <w:t>Scope=recorded automation; not full accessibility certification</w:t>
        <w:br/>
        <w:t>CP-10 RESULT: technical test receipts checked; no user trial inferred</w:t>
      </w:r>
    </w:p>
    <w:p>
      <w:pPr>
        <w:pStyle w:val="Heading2"/>
      </w:pPr>
      <w:r>
        <w:t>11.4 What the Capture Proves</w:t>
      </w:r>
    </w:p>
    <w:p>
      <w:r>
        <w:t>The receipts record nine passing Node tests and nineteen passing browser checks. Four main views have no detected axe violations in the recorded scan. Checks include retries, first-try accounting, completion, CSV, default non-retention, opt-in persistence, reset, Kannada switching, map serving, local model inference, source filtering, mobile width and offline practice. The workflow was tested in Chromium, not all browsers and assistive technologies.</w:t>
      </w:r>
    </w:p>
    <w:p>
      <w:r>
        <w:rPr>
          <w:b/>
        </w:rPr>
        <w:t>RESULT (THE PROGRAM’S OWN LINE)</w:t>
        <w:br/>
        <w:t>CP-10 RESULT: technical test receipts checked; no user trial inferred</w:t>
      </w:r>
    </w:p>
    <w:p>
      <w:pPr>
        <w:pStyle w:val="Heading2"/>
      </w:pPr>
      <w:r>
        <w:t>11.5 Checkpoint Questions</w:t>
      </w:r>
    </w:p>
    <w:p>
      <w:r>
        <w:t>Q1. Does a clean axe report mean the app is WCAG-conformant?</w:t>
      </w:r>
    </w:p>
    <w:p>
      <w:r>
        <w:rPr>
          <w:sz w:val="16"/>
        </w:rPr>
        <w:t>Model answer. No. It is a limited automated scan. Manual keyboard, screen-reader, cognitive-accessibility and individual-user evaluation remain necessary.</w:t>
      </w:r>
    </w:p>
    <w:p>
      <w:r>
        <w:t>Q2. How did testing improve the delivery?</w:t>
      </w:r>
    </w:p>
    <w:p>
      <w:r>
        <w:rPr>
          <w:sz w:val="16"/>
        </w:rPr>
        <w:t>Model answer. The capture records include a deterministic engine suite and a corrected test-navigation wait. Map annotation placement and mobile screenshots were visually reviewed. Technical regressions can be rerun in CI.</w:t>
      </w:r>
    </w:p>
    <w:p>
      <w:pPr>
        <w:pStyle w:val="Heading2"/>
      </w:pPr>
      <w:r>
        <w:t>11.6 Field Extensions</w:t>
      </w:r>
    </w:p>
    <w:p>
      <w:r>
        <w:t>Add teacher-led task walkthroughs, actual keyboard/switch testing, screen-reader review and language verification. Record failed cases as well as successes and maintain a defect/refinement log.</w:t>
      </w:r>
    </w:p>
    <w:p>
      <w:r>
        <w:br w:type="page"/>
      </w:r>
    </w:p>
    <w:p>
      <w:pPr>
        <w:pStyle w:val="Heading1"/>
      </w:pPr>
      <w:r>
        <w:t>Chapter 12 — The Pilot: A Protocol, Not Invented Participants</w:t>
      </w:r>
    </w:p>
    <w:p>
      <w:r>
        <w:rPr>
          <w:sz w:val="16"/>
        </w:rPr>
        <w:t>WEEK (TLP ROW) 12 — Field implementation / demonstration / awareness activity</w:t>
        <w:br/>
        <w:t>EVIDENCE  Implementation record (pending)</w:t>
        <w:br/>
        <w:t>FILES  scripts/cp11_week.py; evidence/cp11_week.txt</w:t>
        <w:br/>
        <w:t>COURSE OUTCOMES  CO4 (reference alignment only)</w:t>
      </w:r>
    </w:p>
    <w:p>
      <w:pPr>
        <w:pStyle w:val="Heading2"/>
      </w:pPr>
      <w:r>
        <w:t>12.1 Why This Week</w:t>
      </w:r>
    </w:p>
    <w:p>
      <w:r>
        <w:t>The reference book’s week 12 is field implementation or demonstration. In this companion it is deliberately a protocol, because no fieldwork has occurred. The included sample practice CSV was generated by browser automation. It must never be presented as a child’s session or a school pilot.</w:t>
      </w:r>
    </w:p>
    <w:p>
      <w:pPr>
        <w:pStyle w:val="Heading2"/>
      </w:pPr>
      <w:r>
        <w:t>12.2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read, result</w:t>
        <w:br/>
        <w:t>protocol = read('docs/FIELD_PROTOCOL.md')</w:t>
        <w:br/>
        <w:t>for term in ['PENDING', 'consent', 'assent', 'fatigue']:</w:t>
        <w:br/>
        <w:t xml:space="preserve">    assert term in protocol</w:t>
        <w:br/>
        <w:t>assert 'No schools' in protocol</w:t>
        <w:br/>
        <w:t>print('Field visits=0; interviews=0; learner trials=0')</w:t>
        <w:br/>
        <w:t>print('Evidence delivered=blank protocol and observation form')</w:t>
        <w:br/>
        <w:t>print('Next gate=school permission and educator content review')</w:t>
        <w:br/>
        <w:t>result(11, 'pilot protocol exists; no fabricated participants')</w:t>
      </w:r>
    </w:p>
    <w:p>
      <w:r>
        <w:br w:type="page"/>
      </w:r>
    </w:p>
    <w:p>
      <w:pPr>
        <w:pStyle w:val="Heading2"/>
      </w:pPr>
      <w:r>
        <w:t>12.3 Captured Run (Two-Pass Verified)</w:t>
      </w:r>
    </w:p>
    <w:p>
      <w:pPr>
        <w:spacing w:after="180"/>
      </w:pPr>
      <w:r>
        <w:rPr>
          <w:rFonts w:ascii="Consolas" w:hAnsi="Consolas"/>
          <w:sz w:val="16"/>
        </w:rPr>
        <w:t>$ python scripts/cp11_week.py</w:t>
        <w:br/>
        <w:t>Field visits=0; interviews=0; learner trials=0</w:t>
        <w:br/>
        <w:t>Evidence delivered=blank protocol and observation form</w:t>
        <w:br/>
        <w:t>Next gate=school permission and educator content review</w:t>
        <w:br/>
        <w:t>CP-11 RESULT: pilot protocol exists; no fabricated participants</w:t>
      </w:r>
    </w:p>
    <w:p>
      <w:pPr>
        <w:pStyle w:val="Heading2"/>
      </w:pPr>
      <w:r>
        <w:t>12.4 What the Capture Proves</w:t>
      </w:r>
    </w:p>
    <w:p>
      <w:r>
        <w:t>The program verifies that the protocol is marked PENDING and contains consent, assent and fatigue considerations. Delivered evidence consists of the protocol and blank observation fields, not attendance, photographs or school signatures. Secondary resources and automated tests can support a demonstration, but cannot substitute for community involvement.</w:t>
      </w:r>
    </w:p>
    <w:p>
      <w:r>
        <w:rPr>
          <w:b/>
        </w:rPr>
        <w:t>RESULT (THE PROGRAM’S OWN LINE)</w:t>
        <w:br/>
        <w:t>CP-11 RESULT: pilot protocol exists; no fabricated participants</w:t>
      </w:r>
    </w:p>
    <w:p>
      <w:pPr>
        <w:pStyle w:val="Heading2"/>
      </w:pPr>
      <w:r>
        <w:t>12.5 Checkpoint Questions</w:t>
      </w:r>
    </w:p>
    <w:p>
      <w:r>
        <w:t>Q1. Can the team fill the implementation record from the app screenshot?</w:t>
      </w:r>
    </w:p>
    <w:p>
      <w:r>
        <w:rPr>
          <w:sz w:val="16"/>
        </w:rPr>
        <w:t>Model answer. No. A screenshot proves a technical view existed. It does not establish participation, permission, acceptance or impact.</w:t>
      </w:r>
    </w:p>
    <w:p>
      <w:r>
        <w:t>Q2. What should stop a demonstration?</w:t>
      </w:r>
    </w:p>
    <w:p>
      <w:r>
        <w:rPr>
          <w:sz w:val="16"/>
        </w:rPr>
        <w:t>Model answer. Missing permission/assent, distress, fatigue, unsuitable content, unsupported access needs or unsafe data handling. The learner can stop without penalty.</w:t>
      </w:r>
    </w:p>
    <w:p>
      <w:pPr>
        <w:pStyle w:val="Heading2"/>
      </w:pPr>
      <w:r>
        <w:t>12.6 Field Extensions</w:t>
      </w:r>
    </w:p>
    <w:p>
      <w:r>
        <w:t>Obtain approval and agree on an untimed, educator-supported activity. Record only necessary non-identifying observations. Keep signed permissions outside the public Git repository and do not upload identifiable photos.</w:t>
      </w:r>
    </w:p>
    <w:p>
      <w:r>
        <w:br w:type="page"/>
      </w:r>
    </w:p>
    <w:p>
      <w:pPr>
        <w:pStyle w:val="Heading1"/>
      </w:pPr>
      <w:r>
        <w:t>Chapter 13 — Impact and the DPR: Numbers That Can Be Defended</w:t>
      </w:r>
    </w:p>
    <w:p>
      <w:r>
        <w:rPr>
          <w:sz w:val="16"/>
        </w:rPr>
        <w:t>WEEK (TLP ROW) 13 — Documentation of outcomes, feedback, and impact</w:t>
        <w:br/>
        <w:t>EVIDENCE  Draft report / impact limits</w:t>
        <w:br/>
        <w:t>FILES  scripts/cp12_week.py; evidence/cp12_week.txt</w:t>
        <w:br/>
        <w:t>COURSE OUTCOMES  CO3, CO4, CO6 (reference alignment only)</w:t>
      </w:r>
    </w:p>
    <w:p>
      <w:pPr>
        <w:pStyle w:val="Heading2"/>
      </w:pPr>
      <w:r>
        <w:t>13.1 Why This Week</w:t>
      </w:r>
    </w:p>
    <w:p>
      <w:r>
        <w:t>The detailed project report must distinguish an output from an outcome. A working app, content pack, sourced map, model, tests and deployment files are engineering outputs. Improved engagement, independence or learning would be social/educational outcomes requiring an approved evaluation. None has been measured here.</w:t>
      </w:r>
    </w:p>
    <w:p>
      <w:pPr>
        <w:pStyle w:val="Heading2"/>
      </w:pPr>
      <w:r>
        <w:t>13.2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load, result</w:t>
        <w:br/>
        <w:t>m = load('public/data/model-metrics.json')</w:t>
        <w:br/>
        <w:t>counts = len(load('public/data/lessons.json'))</w:t>
        <w:br/>
        <w:t>b = load('evidence/browser-results.json')</w:t>
        <w:br/>
        <w:t>print(f'Technical output={counts} bilingual cards')</w:t>
        <w:br/>
        <w:t>print(f"Automation checks={len(b['checks'])}")</w:t>
        <w:br/>
        <w:t>print(f"Repository errors={m['test_rows']-m['correct']}")</w:t>
        <w:br/>
        <w:t>print('Measured learner improvement=NOT MEASURED')</w:t>
        <w:br/>
        <w:t>print('Societal benefit=plausible aim, not validated impact')</w:t>
        <w:br/>
        <w:t>result(12, 'engineering outputs separated from social-outcome claims')</w:t>
      </w:r>
    </w:p>
    <w:p>
      <w:r>
        <w:br w:type="page"/>
      </w:r>
    </w:p>
    <w:p>
      <w:pPr>
        <w:pStyle w:val="Heading2"/>
      </w:pPr>
      <w:r>
        <w:t>13.3 Captured Run (Two-Pass Verified)</w:t>
      </w:r>
    </w:p>
    <w:p>
      <w:pPr>
        <w:spacing w:after="180"/>
      </w:pPr>
      <w:r>
        <w:rPr>
          <w:rFonts w:ascii="Consolas" w:hAnsi="Consolas"/>
          <w:sz w:val="16"/>
        </w:rPr>
        <w:t>$ python scripts/cp12_week.py</w:t>
        <w:br/>
        <w:t>Technical output=30 bilingual cards</w:t>
        <w:br/>
        <w:t>Automation checks=19</w:t>
        <w:br/>
        <w:t>Repository errors=39</w:t>
        <w:br/>
        <w:t>Measured learner improvement=NOT MEASURED</w:t>
        <w:br/>
        <w:t>Societal benefit=plausible aim, not validated impact</w:t>
        <w:br/>
        <w:t>CP-12 RESULT: engineering outputs separated from social-outcome claims</w:t>
      </w:r>
    </w:p>
    <w:p>
      <w:pPr>
        <w:pStyle w:val="Heading2"/>
      </w:pPr>
      <w:r>
        <w:t>13.4 What the Capture Proves</w:t>
      </w:r>
    </w:p>
    <w:p>
      <w:r>
        <w:t>The ledger recomputes pack size, automation count and repository model errors from saved artifacts. It explicitly leaves learner improvement unmeasured. Future comparisons must state denominators, assistance, missing sessions, task changes and sampling limitations. Repeated practice without a control or comparable baseline cannot establish a causal effect.</w:t>
      </w:r>
    </w:p>
    <w:p>
      <w:r>
        <w:rPr>
          <w:b/>
        </w:rPr>
        <w:t>RESULT (THE PROGRAM’S OWN LINE)</w:t>
        <w:br/>
        <w:t>CP-12 RESULT: engineering outputs separated from social-outcome claims</w:t>
      </w:r>
    </w:p>
    <w:p>
      <w:pPr>
        <w:pStyle w:val="Heading2"/>
      </w:pPr>
      <w:r>
        <w:t>13.5 Checkpoint Questions</w:t>
      </w:r>
    </w:p>
    <w:p>
      <w:r>
        <w:t>Q1. How is SDG 4 supported without an impact percentage?</w:t>
      </w:r>
    </w:p>
    <w:p>
      <w:r>
        <w:rPr>
          <w:sz w:val="16"/>
        </w:rPr>
        <w:t>Model answer. The design aims at inclusive educational access. This is an alignment argument, not evidence of a changed SDG indicator.</w:t>
      </w:r>
    </w:p>
    <w:p>
      <w:r>
        <w:t>Q2. What should a final report say if no pilot happens?</w:t>
      </w:r>
    </w:p>
    <w:p>
      <w:r>
        <w:rPr>
          <w:sz w:val="16"/>
        </w:rPr>
        <w:t>Model answer. Report the technical results fully, explain the unresolved fieldwork and avoid claiming school acceptance, learning gains or full rubric completion.</w:t>
      </w:r>
    </w:p>
    <w:p>
      <w:pPr>
        <w:pStyle w:val="Heading2"/>
      </w:pPr>
      <w:r>
        <w:t>13.6 Field Extensions</w:t>
      </w:r>
    </w:p>
    <w:p>
      <w:r>
        <w:t>If approved, agree on meaningful individual goals and descriptive measures with an educator before evaluation. Report limitations and negative observations alongside any benefit.</w:t>
      </w:r>
    </w:p>
    <w:p>
      <w:r>
        <w:br w:type="page"/>
      </w:r>
    </w:p>
    <w:p>
      <w:pPr>
        <w:pStyle w:val="Heading1"/>
      </w:pPr>
      <w:r>
        <w:t>Chapter 14 — The Evidence Check: Recompute Everything, Compare Bytes</w:t>
      </w:r>
    </w:p>
    <w:p>
      <w:r>
        <w:rPr>
          <w:sz w:val="16"/>
        </w:rPr>
        <w:t>WEEK (TLP ROW) 14 — Presentation preparation and viva practice</w:t>
        <w:br/>
        <w:t>EVIDENCE  Presentation outline / reproducibility receipts</w:t>
        <w:br/>
        <w:t>FILES  scripts/cp13_week.py; evidence/cp13_week.txt</w:t>
        <w:br/>
        <w:t>COURSE OUTCOMES  CO2, CO4 (reference alignment only)</w:t>
      </w:r>
    </w:p>
    <w:p>
      <w:pPr>
        <w:pStyle w:val="Heading2"/>
      </w:pPr>
      <w:r>
        <w:t>14.1 Why This Week</w:t>
      </w:r>
    </w:p>
    <w:p>
      <w:r>
        <w:t>Reproducibility is a discipline, not a decorative hash. The evidence manifest contains SHA256 fingerprints for bundled source/site artifacts. The verification script checks hashes, regenerates derived data and the service worker, then checks again. The collector separately runs each week program twice and rejects nonzero exits, stderr or unequal stdout.</w:t>
      </w:r>
    </w:p>
    <w:p>
      <w:pPr>
        <w:pStyle w:val="Heading2"/>
      </w:pPr>
      <w:r>
        <w:t>14.2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load, sha, result</w:t>
        <w:br/>
        <w:t>manifest = load('evidence/artifact-manifest.json')</w:t>
        <w:br/>
        <w:t>for filename, expected in manifest.items():</w:t>
        <w:br/>
        <w:t xml:space="preserve">    assert sha(filename) == expected, filename</w:t>
        <w:br/>
        <w:t>print(f'Verified source/site artifact hashes={len(manifest)}')</w:t>
        <w:br/>
        <w:t>print('Lesson pack SHA256=' + sha('public/data/lessons.json'))</w:t>
        <w:br/>
        <w:t>result(13, 'committed artifacts match their recorded fingerprints')</w:t>
      </w:r>
    </w:p>
    <w:p>
      <w:r>
        <w:br w:type="page"/>
      </w:r>
    </w:p>
    <w:p>
      <w:pPr>
        <w:pStyle w:val="Heading2"/>
      </w:pPr>
      <w:r>
        <w:t>14.3 Captured Run (Two-Pass Verified)</w:t>
      </w:r>
    </w:p>
    <w:p>
      <w:pPr>
        <w:spacing w:after="180"/>
      </w:pPr>
      <w:r>
        <w:rPr>
          <w:rFonts w:ascii="Consolas" w:hAnsi="Consolas"/>
          <w:sz w:val="16"/>
        </w:rPr>
        <w:t>$ python scripts/cp13_week.py</w:t>
        <w:br/>
        <w:t>Verified source/site artifact hashes=22</w:t>
        <w:br/>
        <w:t>Lesson pack SHA256=771e6fb7fbc39731930c5a11d1dc271fb6567af927b8059b27b1da6126517495</w:t>
        <w:br/>
        <w:t>CP-13 RESULT: committed artifacts match their recorded fingerprints</w:t>
      </w:r>
    </w:p>
    <w:p>
      <w:pPr>
        <w:pStyle w:val="Heading2"/>
      </w:pPr>
      <w:r>
        <w:t>14.4 What the Capture Proves</w:t>
      </w:r>
    </w:p>
    <w:p>
      <w:r>
        <w:t>The two-pass claim applies to the fifteen deterministic week transcripts. Browser screenshots, timing fields and test durations are not claimed byte-identical. The report quotes the actual program listings and captured transcripts. A source hash proves equality to the recorded bytes; provenance still depends on the source register, licence and original repository.</w:t>
      </w:r>
    </w:p>
    <w:p>
      <w:r>
        <w:rPr>
          <w:b/>
        </w:rPr>
        <w:t>RESULT (THE PROGRAM’S OWN LINE)</w:t>
        <w:br/>
        <w:t>CP-13 RESULT: committed artifacts match their recorded fingerprints</w:t>
      </w:r>
    </w:p>
    <w:p>
      <w:pPr>
        <w:pStyle w:val="Heading2"/>
      </w:pPr>
      <w:r>
        <w:t>14.5 Checkpoint Questions</w:t>
      </w:r>
    </w:p>
    <w:p>
      <w:r>
        <w:t>Q1. What happens after legitimate content changes?</w:t>
      </w:r>
    </w:p>
    <w:p>
      <w:r>
        <w:rPr>
          <w:sz w:val="16"/>
        </w:rPr>
        <w:t>Model answer. Review and test the change, rebuild, intentionally refresh the artifact manifest, recapture evidence and regenerate the report. Commit the reviewable difference.</w:t>
      </w:r>
    </w:p>
    <w:p>
      <w:r>
        <w:t>Q2. Which presentation structure is easiest to defend?</w:t>
      </w:r>
    </w:p>
    <w:p>
      <w:r>
        <w:rPr>
          <w:sz w:val="16"/>
        </w:rPr>
        <w:t>Model answer. Problem and limits; local context; sources; architecture; working demonstration; technical results; pending field validation; deployment and handover.</w:t>
      </w:r>
    </w:p>
    <w:p>
      <w:pPr>
        <w:pStyle w:val="Heading2"/>
      </w:pPr>
      <w:r>
        <w:t>14.6 Field Extensions</w:t>
      </w:r>
    </w:p>
    <w:p>
      <w:r>
        <w:t>Rehearse the demo from a clean browser and a cached offline copy. Be ready to open raw data, source metadata, code, tests and the field-status note rather than recite unsupported statistics.</w:t>
      </w:r>
    </w:p>
    <w:p>
      <w:r>
        <w:br w:type="page"/>
      </w:r>
    </w:p>
    <w:p>
      <w:pPr>
        <w:pStyle w:val="Heading1"/>
      </w:pPr>
      <w:r>
        <w:t>Chapter 15 — The Viva Ledger: Handover with Git and Render</w:t>
      </w:r>
    </w:p>
    <w:p>
      <w:r>
        <w:rPr>
          <w:sz w:val="16"/>
        </w:rPr>
        <w:t>WEEK (TLP ROW) 15 — Final presentation, submission, and reflection</w:t>
        <w:br/>
        <w:t>EVIDENCE  Final report, deployment handover, viva</w:t>
        <w:br/>
        <w:t>FILES  scripts/cp14_week.py; evidence/cp14_week.txt</w:t>
        <w:br/>
        <w:t>COURSE OUTCOMES  CO1, CO2, CO3, CO4, CO5, CO6 (reference alignment only)</w:t>
      </w:r>
    </w:p>
    <w:p>
      <w:pPr>
        <w:pStyle w:val="Heading2"/>
      </w:pPr>
      <w:r>
        <w:t>15.1 Why This Week</w:t>
      </w:r>
    </w:p>
    <w:p>
      <w:r>
        <w:t>Handover consists of a Git repository, documentation, artefacts and a realistic publication path. Local Git history has been created. The supplied Render Blueprint points to the static directory and needs no secret. Publishing a remote repository and creating the Render service require the owner’s accounts; those actions have not been performed.</w:t>
      </w:r>
    </w:p>
    <w:p>
      <w:pPr>
        <w:pStyle w:val="Heading2"/>
      </w:pPr>
      <w:r>
        <w:t>15.2 The Program (Code)</w:t>
      </w:r>
    </w:p>
    <w:p>
      <w:r>
        <w:rPr>
          <w:sz w:val="16"/>
        </w:rPr>
        <w:t>The listing below is the file executed for the captured run. Shared I/O helpers are reproduced in Appendix D.</w:t>
      </w:r>
    </w:p>
    <w:p>
      <w:pPr>
        <w:spacing w:after="180"/>
      </w:pPr>
      <w:r>
        <w:rPr>
          <w:rFonts w:ascii="Consolas" w:hAnsi="Consolas"/>
          <w:sz w:val="16"/>
        </w:rPr>
        <w:t>from evidence_common import read, load, result</w:t>
        <w:br/>
        <w:t>for filename in ['render.yaml', 'docs/DEPLOYMENT.md',</w:t>
        <w:br/>
        <w:t xml:space="preserve">                 '.github/workflows/ci.yml', 'LICENSE']:</w:t>
        <w:br/>
        <w:t xml:space="preserve">    assert read(filename).strip()</w:t>
        <w:br/>
        <w:t>m = load('public/data/model-metrics.json')</w:t>
        <w:br/>
        <w:t>print('Viva: model metric evaluates digits, never learner ability')</w:t>
        <w:br/>
        <w:t>print(f"Viva: original source test rows={m['test_rows']}")</w:t>
        <w:br/>
        <w:t>print('Handover=Git source + static Render Blueprint + guide')</w:t>
        <w:br/>
        <w:t>print('Remote Git push and Render account deployment=NOT PERFORMED')</w:t>
        <w:br/>
        <w:t>result(14, 'handover files verified; remote actions explicitly pending')</w:t>
      </w:r>
    </w:p>
    <w:p>
      <w:r>
        <w:br w:type="page"/>
      </w:r>
    </w:p>
    <w:p>
      <w:pPr>
        <w:pStyle w:val="Heading2"/>
      </w:pPr>
      <w:r>
        <w:t>15.3 Captured Run (Two-Pass Verified)</w:t>
      </w:r>
    </w:p>
    <w:p>
      <w:pPr>
        <w:spacing w:after="180"/>
      </w:pPr>
      <w:r>
        <w:rPr>
          <w:rFonts w:ascii="Consolas" w:hAnsi="Consolas"/>
          <w:sz w:val="16"/>
        </w:rPr>
        <w:t>$ python scripts/cp14_week.py</w:t>
        <w:br/>
        <w:t>Viva: model metric evaluates digits, never learner ability</w:t>
        <w:br/>
        <w:t>Viva: original source test rows=1797</w:t>
        <w:br/>
        <w:t>Handover=Git source + static Render Blueprint + guide</w:t>
        <w:br/>
        <w:t>Remote Git push and Render account deployment=NOT PERFORMED</w:t>
        <w:br/>
        <w:t>CP-14 RESULT: handover files verified; remote actions explicitly pending</w:t>
      </w:r>
    </w:p>
    <w:p>
      <w:pPr>
        <w:pStyle w:val="Heading2"/>
      </w:pPr>
      <w:r>
        <w:t>15.4 What the Capture Proves</w:t>
      </w:r>
    </w:p>
    <w:p>
      <w:r>
        <w:t>The program verifies required handover files and prints the pending remote status. The deployment guide separates local serving, Git publication, Render configuration, smoke testing and rollback. The Git bundle preserves delivered history without relying on a hosted remote. A new origin changes browser storage; progress is not a centrally backed-up record.</w:t>
      </w:r>
    </w:p>
    <w:p>
      <w:r>
        <w:rPr>
          <w:b/>
        </w:rPr>
        <w:t>RESULT (THE PROGRAM’S OWN LINE)</w:t>
        <w:br/>
        <w:t>CP-14 RESULT: handover files verified; remote actions explicitly pending</w:t>
      </w:r>
    </w:p>
    <w:p>
      <w:pPr>
        <w:pStyle w:val="Heading2"/>
      </w:pPr>
      <w:r>
        <w:t>15.5 Checkpoint Questions</w:t>
      </w:r>
    </w:p>
    <w:p>
      <w:r>
        <w:t>Q1. What is the final honest claim?</w:t>
      </w:r>
    </w:p>
    <w:p>
      <w:r>
        <w:rPr>
          <w:sz w:val="16"/>
        </w:rPr>
        <w:t>Model answer. A working, technically tested, sourced and deployable bilingual prototype with a continuation-style report. School approval, educator validation and public deployment are still pending.</w:t>
      </w:r>
    </w:p>
    <w:p>
      <w:r>
        <w:t>Q2. Who owns ongoing safety and maintenance?</w:t>
      </w:r>
    </w:p>
    <w:p>
      <w:r>
        <w:rPr>
          <w:sz w:val="16"/>
        </w:rPr>
        <w:t>Model answer. The adopting institution must name a maintainer and educator reviewer, control content changes, protect any local records and periodically recheck device and source assumptions.</w:t>
      </w:r>
    </w:p>
    <w:p>
      <w:pPr>
        <w:pStyle w:val="Heading2"/>
      </w:pPr>
      <w:r>
        <w:t>15.6 Field Extensions</w:t>
      </w:r>
    </w:p>
    <w:p>
      <w:r>
        <w:t>Publish using your own Git/Render account, test the final URL, obtain school review and record an actual handover date. Use Git tags for reviewed releases and keep credentials out of source control.</w:t>
      </w:r>
    </w:p>
    <w:p>
      <w:r>
        <w:br w:type="page"/>
      </w:r>
    </w:p>
    <w:p>
      <w:r>
        <w:rPr>
          <w:sz w:val="16"/>
        </w:rPr>
        <w:t>APPENDICES</w:t>
      </w:r>
    </w:p>
    <w:p>
      <w:pPr>
        <w:pStyle w:val="Heading1"/>
      </w:pPr>
      <w:r>
        <w:t>Appendix A — Quick Reference, Fingerprints &amp; Debug Log</w:t>
      </w:r>
    </w:p>
    <w:p>
      <w:pPr>
        <w:pStyle w:val="Heading2"/>
      </w:pPr>
      <w:r>
        <w:t>A.1 Pack, model and map</w:t>
      </w:r>
    </w:p>
    <w:p>
      <w:r>
        <w:rPr>
          <w:sz w:val="16"/>
        </w:rPr>
        <w:t>public/data/lessons.json</w:t>
      </w:r>
    </w:p>
    <w:p>
      <w:pPr>
        <w:spacing w:after="180"/>
      </w:pPr>
      <w:r>
        <w:rPr>
          <w:rFonts w:ascii="Consolas" w:hAnsi="Consolas"/>
          <w:sz w:val="16"/>
        </w:rPr>
        <w:t>771e6fb7fbc39731930c5a11d1dc271fb6567af927b8059b27b1da6126517495</w:t>
      </w:r>
    </w:p>
    <w:p>
      <w:r>
        <w:rPr>
          <w:sz w:val="16"/>
        </w:rPr>
        <w:t>public/data/dakshina-kannada.geojson</w:t>
      </w:r>
    </w:p>
    <w:p>
      <w:pPr>
        <w:spacing w:after="180"/>
      </w:pPr>
      <w:r>
        <w:rPr>
          <w:rFonts w:ascii="Consolas" w:hAnsi="Consolas"/>
          <w:sz w:val="16"/>
        </w:rPr>
        <w:t>7ff77212aa67e679169958d251cdda0a9a95e8e5f9a394d49d15185c60dfca3f</w:t>
      </w:r>
    </w:p>
    <w:p>
      <w:r>
        <w:rPr>
          <w:sz w:val="16"/>
        </w:rPr>
        <w:t>public/models/knn.json</w:t>
      </w:r>
    </w:p>
    <w:p>
      <w:pPr>
        <w:spacing w:after="180"/>
      </w:pPr>
      <w:r>
        <w:rPr>
          <w:rFonts w:ascii="Consolas" w:hAnsi="Consolas"/>
          <w:sz w:val="16"/>
        </w:rPr>
        <w:t>2c88d509d0c8f8f595a78911baf89084ceabbdfd384e17c6f2072367b3c6b05e</w:t>
      </w:r>
    </w:p>
    <w:p>
      <w:r>
        <w:t>All 22 source/site artifact hashes, including font and raw UCI files, are in evidence/artifact-manifest.json. The manifest excludes logs, screenshots and the report to avoid self-referential hashes. Refresh it intentionally only after review.</w:t>
      </w:r>
    </w:p>
    <w:p>
      <w:pPr>
        <w:pStyle w:val="Heading2"/>
      </w:pPr>
      <w:r>
        <w:t>A.2 Actual capture and verification receipts</w:t>
      </w:r>
    </w:p>
    <w:p>
      <w:pPr>
        <w:spacing w:after="180"/>
      </w:pPr>
      <w:r>
        <w:rPr>
          <w:rFonts w:ascii="Consolas" w:hAnsi="Consolas"/>
          <w:sz w:val="16"/>
        </w:rPr>
        <w:t>RESULT: 15 week programs passed; two captures each; byte-identical stdout</w:t>
      </w:r>
    </w:p>
    <w:p>
      <w:pPr>
        <w:spacing w:after="180"/>
      </w:pPr>
      <w:r>
        <w:rPr>
          <w:rFonts w:ascii="Consolas" w:hAnsi="Consolas"/>
          <w:sz w:val="16"/>
        </w:rPr>
        <w:t>UCI original split: train=3823, test=1797</w:t>
        <w:br/>
        <w:t>3-NN: 1758/1797 correct; accuracy=0.978297</w:t>
        <w:br/>
        <w:t>District: Dakshina Kannada; boundary year=2021; geometry=Polygon</w:t>
        <w:br/>
        <w:t>Bounds: 74.7603, 12.4612, 75.6850, 13.1844</w:t>
        <w:br/>
        <w:t>Content: 30 bilingual cards / 5 categories; Kannada review pending</w:t>
        <w:br/>
        <w:t>Build OK: 18 bundled files; offline cache sahaya-fb0bd8e4636c3daf</w:t>
        <w:br/>
        <w:t>RESULT: 22 artifact hashes verified before and after regeneration</w:t>
      </w:r>
    </w:p>
    <w:p>
      <w:pPr>
        <w:pStyle w:val="Heading2"/>
      </w:pPr>
      <w:r>
        <w:t>A.3 Debug and review notes</w:t>
      </w:r>
    </w:p>
    <w:p>
      <w:r>
        <w:t>During construction, the geoBoundaries download initially returned a Git-LFS pointer rather than geometry; the pinned media URL was used. An over-broad district-name filter matched unrelated “Dakshin” districts; the final filter requires exact “Dakshina Kannada”. A browser test initially read progress before hash navigation rendered; an explicit active-route wait corrected the test. These are development corrections, not field incidents.</w:t>
      </w:r>
    </w:p>
    <w:p>
      <w:r>
        <w:t>Map annotation placement was adjusted to avoid clipping. Kannada uses a bundled font. Learner controls and source filtering were exercised in Chromium; native Kannada language quality and individual assistive access remain unverified.</w:t>
      </w:r>
    </w:p>
    <w:p>
      <w:r>
        <w:br w:type="page"/>
      </w:r>
    </w:p>
    <w:p>
      <w:pPr>
        <w:pStyle w:val="Heading2"/>
      </w:pPr>
      <w:r>
        <w:t>A.4 Dataset and licence register</w:t>
      </w:r>
    </w:p>
    <w:p>
      <w:r>
        <w:t>[S1] UCI digits — E. Alpaydin and C. Kaynak, 1998</w:t>
      </w:r>
    </w:p>
    <w:p>
      <w:r>
        <w:rPr>
          <w:sz w:val="16"/>
        </w:rPr>
        <w:t>CC BY 4.0; original split, 8×8 counts. DOI: 10.24432/C50P49</w:t>
        <w:br/>
        <w:t>https://archive.ics.uci.edu/dataset/80/optical+recognition+of+handwritten+digits</w:t>
      </w:r>
    </w:p>
    <w:p>
      <w:r>
        <w:t>[S2] geoBoundaries India ADM2 — Pathways Data Pvt. Ltd., lgdirectory.gov.in</w:t>
      </w:r>
    </w:p>
    <w:p>
      <w:r>
        <w:rPr>
          <w:sz w:val="16"/>
        </w:rPr>
        <w:t>ODbL 1.0; 2021 vintage; commit 9469f09; one extracted feature</w:t>
        <w:br/>
        <w:t>https://www.geoboundaries.org/api/current/gbOpen/IND/ADM2/</w:t>
      </w:r>
    </w:p>
    <w:p>
      <w:r>
        <w:t>[S3] Dakshina Kannada District Administration</w:t>
      </w:r>
    </w:p>
    <w:p>
      <w:r>
        <w:rPr>
          <w:sz w:val="16"/>
        </w:rPr>
        <w:t>Official factual district context; no endorsement</w:t>
        <w:br/>
        <w:t>https://dk.nic.in/en/about-district/</w:t>
      </w:r>
    </w:p>
    <w:p>
      <w:r>
        <w:t>[S4] Twemoji v14.0.2 — Twitter and contributors</w:t>
      </w:r>
    </w:p>
    <w:p>
      <w:r>
        <w:rPr>
          <w:sz w:val="16"/>
        </w:rPr>
        <w:t>CC BY 4.0 graphics; 4 unmodified bundled SVGs</w:t>
        <w:br/>
        <w:t>https://github.com/twitter/twemoji/tree/v14.0.2</w:t>
      </w:r>
    </w:p>
    <w:p>
      <w:r>
        <w:t>[S5] scikit-learn 1.6.1 — KNeighborsClassifier</w:t>
      </w:r>
    </w:p>
    <w:p>
      <w:r>
        <w:rPr>
          <w:sz w:val="16"/>
        </w:rPr>
        <w:t>BSD-3-Clause; executed 3-NN reference implementation</w:t>
        <w:br/>
        <w:t>https://scikit-learn.org/stable/modules/generated/sklearn.neighbors.KNeighborsClassifier.html</w:t>
      </w:r>
    </w:p>
    <w:p>
      <w:r>
        <w:t>[S6] AI4Bharat IndicTrans2 En–Indic distilled 200M</w:t>
      </w:r>
    </w:p>
    <w:p>
      <w:r>
        <w:rPr>
          <w:sz w:val="16"/>
        </w:rPr>
        <w:t>Optional only; model card lists MIT and Kannada; not downloaded/executed</w:t>
        <w:br/>
        <w:t>https://huggingface.co/ai4bharat/indictrans2-en-indic-dist-200M</w:t>
      </w:r>
    </w:p>
    <w:p>
      <w:r>
        <w:t>[S7] Noto Sans Kannada — Google Fonts / Noto contributors</w:t>
      </w:r>
    </w:p>
    <w:p>
      <w:r>
        <w:rPr>
          <w:sz w:val="16"/>
        </w:rPr>
        <w:t>SIL OFL 1.1; licence and font bundled</w:t>
        <w:br/>
        <w:t>https://github.com/google/fonts/tree/main/ofl/notosanskannada</w:t>
      </w:r>
    </w:p>
    <w:p>
      <w:r>
        <w:t>[S8] Render Blueprint specification</w:t>
      </w:r>
    </w:p>
    <w:p>
      <w:r>
        <w:rPr>
          <w:sz w:val="16"/>
        </w:rPr>
        <w:t>Static service configuration reference; account/terms apply</w:t>
        <w:br/>
        <w:t>https://render.com/docs/blueprint-spec</w:t>
      </w:r>
    </w:p>
    <w:p>
      <w:r>
        <w:rPr>
          <w:sz w:val="16"/>
        </w:rPr>
        <w:t>Reviewed/retrieved 20 September 2026. Modification notices, full pinned download URL, attribution and finder links are in docs/SOURCES.md. The map derivative GeoJSON retains ODbL; the project MIT licence does not override data/asset licences.</w:t>
      </w:r>
    </w:p>
    <w:p>
      <w:r>
        <w:br w:type="page"/>
      </w:r>
    </w:p>
    <w:p>
      <w:pPr>
        <w:pStyle w:val="Heading2"/>
      </w:pPr>
      <w:r>
        <w:t>A.5 Data dictionary and model evaluation</w:t>
      </w:r>
    </w:p>
    <w:tbl>
      <w:tblPr>
        <w:tblStyle w:val="TableGrid"/>
        <w:tblW w:type="auto" w:w="0"/>
        <w:tblLook w:firstColumn="1" w:firstRow="1" w:lastColumn="0" w:lastRow="0" w:noHBand="0" w:noVBand="1" w:val="04A0"/>
      </w:tblPr>
      <w:tblGrid>
        <w:gridCol w:w="5018"/>
        <w:gridCol w:w="5018"/>
      </w:tblGrid>
      <w:tr>
        <w:tc>
          <w:tcPr>
            <w:tcW w:type="dxa" w:w="5018"/>
          </w:tcPr>
          <w:p>
            <w:r>
              <w:t>Artifact</w:t>
            </w:r>
          </w:p>
        </w:tc>
        <w:tc>
          <w:tcPr>
            <w:tcW w:type="dxa" w:w="5018"/>
          </w:tcPr>
          <w:p>
            <w:r>
              <w:t>Fields / semantics</w:t>
            </w:r>
          </w:p>
        </w:tc>
      </w:tr>
      <w:tr>
        <w:tc>
          <w:tcPr>
            <w:tcW w:type="dxa" w:w="5018"/>
          </w:tcPr>
          <w:p>
            <w:r>
              <w:t>optdigits.tra / .tes</w:t>
            </w:r>
          </w:p>
        </w:tc>
        <w:tc>
          <w:tcPr>
            <w:tcW w:type="dxa" w:w="5018"/>
          </w:tcPr>
          <w:p>
            <w:r>
              <w:t>64 integers 0..16; column 65 = digit class 0..9</w:t>
            </w:r>
          </w:p>
        </w:tc>
      </w:tr>
      <w:tr>
        <w:tc>
          <w:tcPr>
            <w:tcW w:type="dxa" w:w="5018"/>
          </w:tcPr>
          <w:p>
            <w:r>
              <w:t>lessons.json</w:t>
            </w:r>
          </w:p>
        </w:tc>
        <w:tc>
          <w:tcPr>
            <w:tcW w:type="dxa" w:w="5018"/>
          </w:tcPr>
          <w:p>
            <w:r>
              <w:t>id, category, bilingual prompt, visual kind/value, choices, answer, source</w:t>
            </w:r>
          </w:p>
        </w:tc>
      </w:tr>
      <w:tr>
        <w:tc>
          <w:tcPr>
            <w:tcW w:type="dxa" w:w="5018"/>
          </w:tcPr>
          <w:p>
            <w:r>
              <w:t>district GeoJSON</w:t>
            </w:r>
          </w:p>
        </w:tc>
        <w:tc>
          <w:tcPr>
            <w:tcW w:type="dxa" w:w="5018"/>
          </w:tcPr>
          <w:p>
            <w:r>
              <w:t>FeatureCollection; one feature; shapeName, shapeID, geometry coordinates</w:t>
            </w:r>
          </w:p>
        </w:tc>
      </w:tr>
      <w:tr>
        <w:tc>
          <w:tcPr>
            <w:tcW w:type="dxa" w:w="5018"/>
          </w:tcPr>
          <w:p>
            <w:r>
              <w:t>model JSON</w:t>
            </w:r>
          </w:p>
        </w:tc>
        <w:tc>
          <w:tcPr>
            <w:tcW w:type="dxa" w:w="5018"/>
          </w:tcPr>
          <w:p>
            <w:r>
              <w:t>k=3; x=training vectors; y=training labels</w:t>
            </w:r>
          </w:p>
        </w:tc>
      </w:tr>
      <w:tr>
        <w:tc>
          <w:tcPr>
            <w:tcW w:type="dxa" w:w="5018"/>
          </w:tcPr>
          <w:p>
            <w:r>
              <w:t>Practice CSV</w:t>
            </w:r>
          </w:p>
        </w:tc>
        <w:tc>
          <w:tcPr>
            <w:tcW w:type="dxa" w:w="5018"/>
          </w:tcPr>
          <w:p>
            <w:r>
              <w:t>date, session, category, card, attempts, firstCorrect; no names or diagnoses</w:t>
            </w:r>
          </w:p>
        </w:tc>
      </w:tr>
    </w:tbl>
    <w:p/>
    <w:p>
      <w:r>
        <w:rPr>
          <w:sz w:val="16"/>
        </w:rPr>
        <w:t>Confusion matrix: rows are true digit classes; columns are predicted classes. The following values are read from the saved full-split reference evaluation, not typed from a model description.</w:t>
      </w:r>
    </w:p>
    <w:tbl>
      <w:tblPr>
        <w:tblStyle w:val="TableGrid"/>
        <w:tblW w:type="auto" w:w="0"/>
        <w:tblLook w:firstColumn="1" w:firstRow="1" w:lastColumn="0" w:lastRow="0" w:noHBand="0" w:noVBand="1" w:val="04A0"/>
      </w:tblPr>
      <w:tblGrid>
        <w:gridCol w:w="912"/>
        <w:gridCol w:w="912"/>
        <w:gridCol w:w="912"/>
        <w:gridCol w:w="912"/>
        <w:gridCol w:w="912"/>
        <w:gridCol w:w="912"/>
        <w:gridCol w:w="912"/>
        <w:gridCol w:w="912"/>
        <w:gridCol w:w="912"/>
        <w:gridCol w:w="912"/>
        <w:gridCol w:w="912"/>
      </w:tblGrid>
      <w:tr>
        <w:tc>
          <w:tcPr>
            <w:tcW w:type="dxa" w:w="912"/>
          </w:tcPr>
          <w:p>
            <w:r>
              <w:t>True / Pred</w:t>
            </w:r>
          </w:p>
        </w:tc>
        <w:tc>
          <w:tcPr>
            <w:tcW w:type="dxa" w:w="912"/>
          </w:tcPr>
          <w:p>
            <w:r>
              <w:t>0</w:t>
            </w:r>
          </w:p>
        </w:tc>
        <w:tc>
          <w:tcPr>
            <w:tcW w:type="dxa" w:w="912"/>
          </w:tcPr>
          <w:p>
            <w:r>
              <w:t>1</w:t>
            </w:r>
          </w:p>
        </w:tc>
        <w:tc>
          <w:tcPr>
            <w:tcW w:type="dxa" w:w="912"/>
          </w:tcPr>
          <w:p>
            <w:r>
              <w:t>2</w:t>
            </w:r>
          </w:p>
        </w:tc>
        <w:tc>
          <w:tcPr>
            <w:tcW w:type="dxa" w:w="912"/>
          </w:tcPr>
          <w:p>
            <w:r>
              <w:t>3</w:t>
            </w:r>
          </w:p>
        </w:tc>
        <w:tc>
          <w:tcPr>
            <w:tcW w:type="dxa" w:w="912"/>
          </w:tcPr>
          <w:p>
            <w:r>
              <w:t>4</w:t>
            </w:r>
          </w:p>
        </w:tc>
        <w:tc>
          <w:tcPr>
            <w:tcW w:type="dxa" w:w="912"/>
          </w:tcPr>
          <w:p>
            <w:r>
              <w:t>5</w:t>
            </w:r>
          </w:p>
        </w:tc>
        <w:tc>
          <w:tcPr>
            <w:tcW w:type="dxa" w:w="912"/>
          </w:tcPr>
          <w:p>
            <w:r>
              <w:t>6</w:t>
            </w:r>
          </w:p>
        </w:tc>
        <w:tc>
          <w:tcPr>
            <w:tcW w:type="dxa" w:w="912"/>
          </w:tcPr>
          <w:p>
            <w:r>
              <w:t>7</w:t>
            </w:r>
          </w:p>
        </w:tc>
        <w:tc>
          <w:tcPr>
            <w:tcW w:type="dxa" w:w="912"/>
          </w:tcPr>
          <w:p>
            <w:r>
              <w:t>8</w:t>
            </w:r>
          </w:p>
        </w:tc>
        <w:tc>
          <w:tcPr>
            <w:tcW w:type="dxa" w:w="912"/>
          </w:tcPr>
          <w:p>
            <w:r>
              <w:t>9</w:t>
            </w:r>
          </w:p>
        </w:tc>
      </w:tr>
      <w:tr>
        <w:tc>
          <w:tcPr>
            <w:tcW w:type="dxa" w:w="912"/>
          </w:tcPr>
          <w:p>
            <w:r>
              <w:t>0</w:t>
            </w:r>
          </w:p>
        </w:tc>
        <w:tc>
          <w:tcPr>
            <w:tcW w:type="dxa" w:w="912"/>
          </w:tcPr>
          <w:p>
            <w:r>
              <w:t>178</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r>
      <w:tr>
        <w:tc>
          <w:tcPr>
            <w:tcW w:type="dxa" w:w="912"/>
          </w:tcPr>
          <w:p>
            <w:r>
              <w:t>1</w:t>
            </w:r>
          </w:p>
        </w:tc>
        <w:tc>
          <w:tcPr>
            <w:tcW w:type="dxa" w:w="912"/>
          </w:tcPr>
          <w:p>
            <w:r>
              <w:t>0</w:t>
            </w:r>
          </w:p>
        </w:tc>
        <w:tc>
          <w:tcPr>
            <w:tcW w:type="dxa" w:w="912"/>
          </w:tcPr>
          <w:p>
            <w:r>
              <w:t>180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1</w:t>
            </w:r>
          </w:p>
        </w:tc>
        <w:tc>
          <w:tcPr>
            <w:tcW w:type="dxa" w:w="912"/>
          </w:tcPr>
          <w:p>
            <w:r>
              <w:t>0</w:t>
            </w:r>
          </w:p>
        </w:tc>
        <w:tc>
          <w:tcPr>
            <w:tcW w:type="dxa" w:w="912"/>
          </w:tcPr>
          <w:p>
            <w:r>
              <w:t>1</w:t>
            </w:r>
          </w:p>
        </w:tc>
        <w:tc>
          <w:tcPr>
            <w:tcW w:type="dxa" w:w="912"/>
          </w:tcPr>
          <w:p>
            <w:r>
              <w:t>0</w:t>
            </w:r>
          </w:p>
        </w:tc>
      </w:tr>
      <w:tr>
        <w:tc>
          <w:tcPr>
            <w:tcW w:type="dxa" w:w="912"/>
          </w:tcPr>
          <w:p>
            <w:r>
              <w:t>2</w:t>
            </w:r>
          </w:p>
        </w:tc>
        <w:tc>
          <w:tcPr>
            <w:tcW w:type="dxa" w:w="912"/>
          </w:tcPr>
          <w:p>
            <w:r>
              <w:t>0</w:t>
            </w:r>
          </w:p>
        </w:tc>
        <w:tc>
          <w:tcPr>
            <w:tcW w:type="dxa" w:w="912"/>
          </w:tcPr>
          <w:p>
            <w:r>
              <w:t>4</w:t>
            </w:r>
          </w:p>
        </w:tc>
        <w:tc>
          <w:tcPr>
            <w:tcW w:type="dxa" w:w="912"/>
          </w:tcPr>
          <w:p>
            <w:r>
              <w:t>173</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r>
      <w:tr>
        <w:tc>
          <w:tcPr>
            <w:tcW w:type="dxa" w:w="912"/>
          </w:tcPr>
          <w:p>
            <w:r>
              <w:t>3</w:t>
            </w:r>
          </w:p>
        </w:tc>
        <w:tc>
          <w:tcPr>
            <w:tcW w:type="dxa" w:w="912"/>
          </w:tcPr>
          <w:p>
            <w:r>
              <w:t>0</w:t>
            </w:r>
          </w:p>
        </w:tc>
        <w:tc>
          <w:tcPr>
            <w:tcW w:type="dxa" w:w="912"/>
          </w:tcPr>
          <w:p>
            <w:r>
              <w:t>0</w:t>
            </w:r>
          </w:p>
        </w:tc>
        <w:tc>
          <w:tcPr>
            <w:tcW w:type="dxa" w:w="912"/>
          </w:tcPr>
          <w:p>
            <w:r>
              <w:t>0</w:t>
            </w:r>
          </w:p>
        </w:tc>
        <w:tc>
          <w:tcPr>
            <w:tcW w:type="dxa" w:w="912"/>
          </w:tcPr>
          <w:p>
            <w:r>
              <w:t>181</w:t>
            </w:r>
          </w:p>
        </w:tc>
        <w:tc>
          <w:tcPr>
            <w:tcW w:type="dxa" w:w="912"/>
          </w:tcPr>
          <w:p>
            <w:r>
              <w:t>0</w:t>
            </w:r>
          </w:p>
        </w:tc>
        <w:tc>
          <w:tcPr>
            <w:tcW w:type="dxa" w:w="912"/>
          </w:tcPr>
          <w:p>
            <w:r>
              <w:t>0</w:t>
            </w:r>
          </w:p>
        </w:tc>
        <w:tc>
          <w:tcPr>
            <w:tcW w:type="dxa" w:w="912"/>
          </w:tcPr>
          <w:p>
            <w:r>
              <w:t>0</w:t>
            </w:r>
          </w:p>
        </w:tc>
        <w:tc>
          <w:tcPr>
            <w:tcW w:type="dxa" w:w="912"/>
          </w:tcPr>
          <w:p>
            <w:r>
              <w:t>1</w:t>
            </w:r>
          </w:p>
        </w:tc>
        <w:tc>
          <w:tcPr>
            <w:tcW w:type="dxa" w:w="912"/>
          </w:tcPr>
          <w:p>
            <w:r>
              <w:t>1</w:t>
            </w:r>
          </w:p>
        </w:tc>
        <w:tc>
          <w:tcPr>
            <w:tcW w:type="dxa" w:w="912"/>
          </w:tcPr>
          <w:p>
            <w:r>
              <w:t>0</w:t>
            </w:r>
          </w:p>
        </w:tc>
      </w:tr>
      <w:tr>
        <w:tc>
          <w:tcPr>
            <w:tcW w:type="dxa" w:w="912"/>
          </w:tcPr>
          <w:p>
            <w:r>
              <w:t>4</w:t>
            </w:r>
          </w:p>
        </w:tc>
        <w:tc>
          <w:tcPr>
            <w:tcW w:type="dxa" w:w="912"/>
          </w:tcPr>
          <w:p>
            <w:r>
              <w:t>0</w:t>
            </w:r>
          </w:p>
        </w:tc>
        <w:tc>
          <w:tcPr>
            <w:tcW w:type="dxa" w:w="912"/>
          </w:tcPr>
          <w:p>
            <w:r>
              <w:t>2</w:t>
            </w:r>
          </w:p>
        </w:tc>
        <w:tc>
          <w:tcPr>
            <w:tcW w:type="dxa" w:w="912"/>
          </w:tcPr>
          <w:p>
            <w:r>
              <w:t>0</w:t>
            </w:r>
          </w:p>
        </w:tc>
        <w:tc>
          <w:tcPr>
            <w:tcW w:type="dxa" w:w="912"/>
          </w:tcPr>
          <w:p>
            <w:r>
              <w:t>0</w:t>
            </w:r>
          </w:p>
        </w:tc>
        <w:tc>
          <w:tcPr>
            <w:tcW w:type="dxa" w:w="912"/>
          </w:tcPr>
          <w:p>
            <w:r>
              <w:t>178</w:t>
            </w:r>
          </w:p>
        </w:tc>
        <w:tc>
          <w:tcPr>
            <w:tcW w:type="dxa" w:w="912"/>
          </w:tcPr>
          <w:p>
            <w:r>
              <w:t>0</w:t>
            </w:r>
          </w:p>
        </w:tc>
        <w:tc>
          <w:tcPr>
            <w:tcW w:type="dxa" w:w="912"/>
          </w:tcPr>
          <w:p>
            <w:r>
              <w:t>0</w:t>
            </w:r>
          </w:p>
        </w:tc>
        <w:tc>
          <w:tcPr>
            <w:tcW w:type="dxa" w:w="912"/>
          </w:tcPr>
          <w:p>
            <w:r>
              <w:t>0</w:t>
            </w:r>
          </w:p>
        </w:tc>
        <w:tc>
          <w:tcPr>
            <w:tcW w:type="dxa" w:w="912"/>
          </w:tcPr>
          <w:p>
            <w:r>
              <w:t>1</w:t>
            </w:r>
          </w:p>
        </w:tc>
        <w:tc>
          <w:tcPr>
            <w:tcW w:type="dxa" w:w="912"/>
          </w:tcPr>
          <w:p>
            <w:r>
              <w:t>0</w:t>
            </w:r>
          </w:p>
        </w:tc>
      </w:tr>
      <w:tr>
        <w:tc>
          <w:tcPr>
            <w:tcW w:type="dxa" w:w="912"/>
          </w:tcPr>
          <w:p>
            <w:r>
              <w:t>5</w:t>
            </w:r>
          </w:p>
        </w:tc>
        <w:tc>
          <w:tcPr>
            <w:tcW w:type="dxa" w:w="912"/>
          </w:tcPr>
          <w:p>
            <w:r>
              <w:t>0</w:t>
            </w:r>
          </w:p>
        </w:tc>
        <w:tc>
          <w:tcPr>
            <w:tcW w:type="dxa" w:w="912"/>
          </w:tcPr>
          <w:p>
            <w:r>
              <w:t>0</w:t>
            </w:r>
          </w:p>
        </w:tc>
        <w:tc>
          <w:tcPr>
            <w:tcW w:type="dxa" w:w="912"/>
          </w:tcPr>
          <w:p>
            <w:r>
              <w:t>0</w:t>
            </w:r>
          </w:p>
        </w:tc>
        <w:tc>
          <w:tcPr>
            <w:tcW w:type="dxa" w:w="912"/>
          </w:tcPr>
          <w:p>
            <w:r>
              <w:t>1</w:t>
            </w:r>
          </w:p>
        </w:tc>
        <w:tc>
          <w:tcPr>
            <w:tcW w:type="dxa" w:w="912"/>
          </w:tcPr>
          <w:p>
            <w:r>
              <w:t>1</w:t>
            </w:r>
          </w:p>
        </w:tc>
        <w:tc>
          <w:tcPr>
            <w:tcW w:type="dxa" w:w="912"/>
          </w:tcPr>
          <w:p>
            <w:r>
              <w:t>179</w:t>
            </w:r>
          </w:p>
        </w:tc>
        <w:tc>
          <w:tcPr>
            <w:tcW w:type="dxa" w:w="912"/>
          </w:tcPr>
          <w:p>
            <w:r>
              <w:t>0</w:t>
            </w:r>
          </w:p>
        </w:tc>
        <w:tc>
          <w:tcPr>
            <w:tcW w:type="dxa" w:w="912"/>
          </w:tcPr>
          <w:p>
            <w:r>
              <w:t>0</w:t>
            </w:r>
          </w:p>
        </w:tc>
        <w:tc>
          <w:tcPr>
            <w:tcW w:type="dxa" w:w="912"/>
          </w:tcPr>
          <w:p>
            <w:r>
              <w:t>0</w:t>
            </w:r>
          </w:p>
        </w:tc>
        <w:tc>
          <w:tcPr>
            <w:tcW w:type="dxa" w:w="912"/>
          </w:tcPr>
          <w:p>
            <w:r>
              <w:t>1</w:t>
            </w:r>
          </w:p>
        </w:tc>
      </w:tr>
      <w:tr>
        <w:tc>
          <w:tcPr>
            <w:tcW w:type="dxa" w:w="912"/>
          </w:tcPr>
          <w:p>
            <w:r>
              <w:t>6</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181</w:t>
            </w:r>
          </w:p>
        </w:tc>
        <w:tc>
          <w:tcPr>
            <w:tcW w:type="dxa" w:w="912"/>
          </w:tcPr>
          <w:p>
            <w:r>
              <w:t>0</w:t>
            </w:r>
          </w:p>
        </w:tc>
        <w:tc>
          <w:tcPr>
            <w:tcW w:type="dxa" w:w="912"/>
          </w:tcPr>
          <w:p>
            <w:r>
              <w:t>0</w:t>
            </w:r>
          </w:p>
        </w:tc>
        <w:tc>
          <w:tcPr>
            <w:tcW w:type="dxa" w:w="912"/>
          </w:tcPr>
          <w:p>
            <w:r>
              <w:t>0</w:t>
            </w:r>
          </w:p>
        </w:tc>
      </w:tr>
      <w:tr>
        <w:tc>
          <w:tcPr>
            <w:tcW w:type="dxa" w:w="912"/>
          </w:tcPr>
          <w:p>
            <w:r>
              <w:t>7</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172</w:t>
            </w:r>
          </w:p>
        </w:tc>
        <w:tc>
          <w:tcPr>
            <w:tcW w:type="dxa" w:w="912"/>
          </w:tcPr>
          <w:p>
            <w:r>
              <w:t>1</w:t>
            </w:r>
          </w:p>
        </w:tc>
        <w:tc>
          <w:tcPr>
            <w:tcW w:type="dxa" w:w="912"/>
          </w:tcPr>
          <w:p>
            <w:r>
              <w:t>6</w:t>
            </w:r>
          </w:p>
        </w:tc>
      </w:tr>
      <w:tr>
        <w:tc>
          <w:tcPr>
            <w:tcW w:type="dxa" w:w="912"/>
          </w:tcPr>
          <w:p>
            <w:r>
              <w:t>8</w:t>
            </w:r>
          </w:p>
        </w:tc>
        <w:tc>
          <w:tcPr>
            <w:tcW w:type="dxa" w:w="912"/>
          </w:tcPr>
          <w:p>
            <w:r>
              <w:t>0</w:t>
            </w:r>
          </w:p>
        </w:tc>
        <w:tc>
          <w:tcPr>
            <w:tcW w:type="dxa" w:w="912"/>
          </w:tcPr>
          <w:p>
            <w:r>
              <w:t>9</w:t>
            </w:r>
          </w:p>
        </w:tc>
        <w:tc>
          <w:tcPr>
            <w:tcW w:type="dxa" w:w="912"/>
          </w:tcPr>
          <w:p>
            <w:r>
              <w:t>0</w:t>
            </w:r>
          </w:p>
        </w:tc>
        <w:tc>
          <w:tcPr>
            <w:tcW w:type="dxa" w:w="912"/>
          </w:tcPr>
          <w:p>
            <w:r>
              <w:t>1</w:t>
            </w:r>
          </w:p>
        </w:tc>
        <w:tc>
          <w:tcPr>
            <w:tcW w:type="dxa" w:w="912"/>
          </w:tcPr>
          <w:p>
            <w:r>
              <w:t>0</w:t>
            </w:r>
          </w:p>
        </w:tc>
        <w:tc>
          <w:tcPr>
            <w:tcW w:type="dxa" w:w="912"/>
          </w:tcPr>
          <w:p>
            <w:r>
              <w:t>0</w:t>
            </w:r>
          </w:p>
        </w:tc>
        <w:tc>
          <w:tcPr>
            <w:tcW w:type="dxa" w:w="912"/>
          </w:tcPr>
          <w:p>
            <w:r>
              <w:t>0</w:t>
            </w:r>
          </w:p>
        </w:tc>
        <w:tc>
          <w:tcPr>
            <w:tcW w:type="dxa" w:w="912"/>
          </w:tcPr>
          <w:p>
            <w:r>
              <w:t>0</w:t>
            </w:r>
          </w:p>
        </w:tc>
        <w:tc>
          <w:tcPr>
            <w:tcW w:type="dxa" w:w="912"/>
          </w:tcPr>
          <w:p>
            <w:r>
              <w:t>162</w:t>
            </w:r>
          </w:p>
        </w:tc>
        <w:tc>
          <w:tcPr>
            <w:tcW w:type="dxa" w:w="912"/>
          </w:tcPr>
          <w:p>
            <w:r>
              <w:t>2</w:t>
            </w:r>
          </w:p>
        </w:tc>
      </w:tr>
      <w:tr>
        <w:tc>
          <w:tcPr>
            <w:tcW w:type="dxa" w:w="912"/>
          </w:tcPr>
          <w:p>
            <w:r>
              <w:t>9</w:t>
            </w:r>
          </w:p>
        </w:tc>
        <w:tc>
          <w:tcPr>
            <w:tcW w:type="dxa" w:w="912"/>
          </w:tcPr>
          <w:p>
            <w:r>
              <w:t>0</w:t>
            </w:r>
          </w:p>
        </w:tc>
        <w:tc>
          <w:tcPr>
            <w:tcW w:type="dxa" w:w="912"/>
          </w:tcPr>
          <w:p>
            <w:r>
              <w:t>0</w:t>
            </w:r>
          </w:p>
        </w:tc>
        <w:tc>
          <w:tcPr>
            <w:tcW w:type="dxa" w:w="912"/>
          </w:tcPr>
          <w:p>
            <w:r>
              <w:t>0</w:t>
            </w:r>
          </w:p>
        </w:tc>
        <w:tc>
          <w:tcPr>
            <w:tcW w:type="dxa" w:w="912"/>
          </w:tcPr>
          <w:p>
            <w:r>
              <w:t>4</w:t>
            </w:r>
          </w:p>
        </w:tc>
        <w:tc>
          <w:tcPr>
            <w:tcW w:type="dxa" w:w="912"/>
          </w:tcPr>
          <w:p>
            <w:r>
              <w:t>0</w:t>
            </w:r>
          </w:p>
        </w:tc>
        <w:tc>
          <w:tcPr>
            <w:tcW w:type="dxa" w:w="912"/>
          </w:tcPr>
          <w:p>
            <w:r>
              <w:t>1</w:t>
            </w:r>
          </w:p>
        </w:tc>
        <w:tc>
          <w:tcPr>
            <w:tcW w:type="dxa" w:w="912"/>
          </w:tcPr>
          <w:p>
            <w:r>
              <w:t>0</w:t>
            </w:r>
          </w:p>
        </w:tc>
        <w:tc>
          <w:tcPr>
            <w:tcW w:type="dxa" w:w="912"/>
          </w:tcPr>
          <w:p>
            <w:r>
              <w:t>0</w:t>
            </w:r>
          </w:p>
        </w:tc>
        <w:tc>
          <w:tcPr>
            <w:tcW w:type="dxa" w:w="912"/>
          </w:tcPr>
          <w:p>
            <w:r>
              <w:t>1</w:t>
            </w:r>
          </w:p>
        </w:tc>
        <w:tc>
          <w:tcPr>
            <w:tcW w:type="dxa" w:w="912"/>
          </w:tcPr>
          <w:p>
            <w:r>
              <w:t>174</w:t>
            </w:r>
          </w:p>
        </w:tc>
      </w:tr>
    </w:tbl>
    <w:p/>
    <w:p>
      <w:r>
        <w:t>Accuracy = diagonal sum / total = 1758 / 1797 = 0.978297162. Errors = 39. No learner outcome is measured. Browser parity is checked on 20 demonstrative examples only; neighbour ties may differ across implementations.</w:t>
      </w:r>
    </w:p>
    <w:p>
      <w:r>
        <w:br w:type="page"/>
      </w:r>
    </w:p>
    <w:p>
      <w:pPr>
        <w:pStyle w:val="Heading1"/>
      </w:pPr>
      <w:r>
        <w:t>Appendix B — Report Format, Rubrics &amp; Submission</w:t>
      </w:r>
    </w:p>
    <w:p>
      <w:pPr>
        <w:pStyle w:val="Heading2"/>
      </w:pPr>
      <w:r>
        <w:t>B.1 The report the rubric reads</w:t>
      </w:r>
    </w:p>
    <w:p>
      <w:r>
        <w:t>Problem relevance: Chapters 1–3 establish the prescribed topic, context and the honest secondary/primary distinction.</w:t>
      </w:r>
    </w:p>
    <w:p>
      <w:r>
        <w:t>Engineering and feasibility: Chapters 4–8 define requirements, design choices, workload and unconfirmed resource assumptions.</w:t>
      </w:r>
    </w:p>
    <w:p>
      <w:r>
        <w:t>Stakeholder interaction: Chapters 3 and 12 supply a protocol but no executed school engagement. This rubric dimension cannot be treated as fully evidenced.</w:t>
      </w:r>
    </w:p>
    <w:p>
      <w:r>
        <w:t>Documentation and problem-solving: Source register, real code, tests, artefacts and reproducible captures support the engineering claims.</w:t>
      </w:r>
    </w:p>
    <w:p>
      <w:r>
        <w:t>Communication and viva: Chapters 14–15 and Appendix C provide a defensible demonstration outline.</w:t>
      </w:r>
    </w:p>
    <w:p>
      <w:r>
        <w:t>Societal contribution: Intended inclusive-education benefit is explained; actual impact and sustainability arrangements remain to be validated.</w:t>
      </w:r>
    </w:p>
    <w:p>
      <w:pPr>
        <w:pStyle w:val="Heading2"/>
      </w:pPr>
      <w:r>
        <w:t>B.2 Submission checklist</w:t>
      </w:r>
    </w:p>
    <w:tbl>
      <w:tblPr>
        <w:tblStyle w:val="TableGrid"/>
        <w:tblW w:type="auto" w:w="0"/>
        <w:tblLook w:firstColumn="1" w:firstRow="1" w:lastColumn="0" w:lastRow="0" w:noHBand="0" w:noVBand="1" w:val="04A0"/>
      </w:tblPr>
      <w:tblGrid>
        <w:gridCol w:w="5018"/>
        <w:gridCol w:w="5018"/>
      </w:tblGrid>
      <w:tr>
        <w:tc>
          <w:tcPr>
            <w:tcW w:type="dxa" w:w="5018"/>
          </w:tcPr>
          <w:p>
            <w:r>
              <w:t>Item</w:t>
            </w:r>
          </w:p>
        </w:tc>
        <w:tc>
          <w:tcPr>
            <w:tcW w:type="dxa" w:w="5018"/>
          </w:tcPr>
          <w:p>
            <w:r>
              <w:t>Status</w:t>
            </w:r>
          </w:p>
        </w:tc>
      </w:tr>
      <w:tr>
        <w:tc>
          <w:tcPr>
            <w:tcW w:type="dxa" w:w="5018"/>
          </w:tcPr>
          <w:p>
            <w:r>
              <w:t>PDF / editable DOCX companion</w:t>
            </w:r>
          </w:p>
        </w:tc>
        <w:tc>
          <w:tcPr>
            <w:tcW w:type="dxa" w:w="5018"/>
          </w:tcPr>
          <w:p>
            <w:r>
              <w:t>Included</w:t>
            </w:r>
          </w:p>
        </w:tc>
      </w:tr>
      <w:tr>
        <w:tc>
          <w:tcPr>
            <w:tcW w:type="dxa" w:w="5018"/>
          </w:tcPr>
          <w:p>
            <w:r>
              <w:t>Source, raw data, map and model artifacts</w:t>
            </w:r>
          </w:p>
        </w:tc>
        <w:tc>
          <w:tcPr>
            <w:tcW w:type="dxa" w:w="5018"/>
          </w:tcPr>
          <w:p>
            <w:r>
              <w:t>Included with licences and hashes</w:t>
            </w:r>
          </w:p>
        </w:tc>
      </w:tr>
      <w:tr>
        <w:tc>
          <w:tcPr>
            <w:tcW w:type="dxa" w:w="5018"/>
          </w:tcPr>
          <w:p>
            <w:r>
              <w:t>Fifteen two-pass week captures</w:t>
            </w:r>
          </w:p>
        </w:tc>
        <w:tc>
          <w:tcPr>
            <w:tcW w:type="dxa" w:w="5018"/>
          </w:tcPr>
          <w:p>
            <w:r>
              <w:t>Included</w:t>
            </w:r>
          </w:p>
        </w:tc>
      </w:tr>
      <w:tr>
        <w:tc>
          <w:tcPr>
            <w:tcW w:type="dxa" w:w="5018"/>
          </w:tcPr>
          <w:p>
            <w:r>
              <w:t>Node/Chromium/axe receipts</w:t>
            </w:r>
          </w:p>
        </w:tc>
        <w:tc>
          <w:tcPr>
            <w:tcW w:type="dxa" w:w="5018"/>
          </w:tcPr>
          <w:p>
            <w:r>
              <w:t>Included; automation only</w:t>
            </w:r>
          </w:p>
        </w:tc>
      </w:tr>
      <w:tr>
        <w:tc>
          <w:tcPr>
            <w:tcW w:type="dxa" w:w="5018"/>
          </w:tcPr>
          <w:p>
            <w:r>
              <w:t>Git history / Render Blueprint / CI</w:t>
            </w:r>
          </w:p>
        </w:tc>
        <w:tc>
          <w:tcPr>
            <w:tcW w:type="dxa" w:w="5018"/>
          </w:tcPr>
          <w:p>
            <w:r>
              <w:t>Included; accounts not connected</w:t>
            </w:r>
          </w:p>
        </w:tc>
      </w:tr>
      <w:tr>
        <w:tc>
          <w:tcPr>
            <w:tcW w:type="dxa" w:w="5018"/>
          </w:tcPr>
          <w:p>
            <w:r>
              <w:t>School permission / requirement sign-off</w:t>
            </w:r>
          </w:p>
        </w:tc>
        <w:tc>
          <w:tcPr>
            <w:tcW w:type="dxa" w:w="5018"/>
          </w:tcPr>
          <w:p>
            <w:r>
              <w:t>Pending</w:t>
            </w:r>
          </w:p>
        </w:tc>
      </w:tr>
      <w:tr>
        <w:tc>
          <w:tcPr>
            <w:tcW w:type="dxa" w:w="5018"/>
          </w:tcPr>
          <w:p>
            <w:r>
              <w:t>Kannada educator review / access validation</w:t>
            </w:r>
          </w:p>
        </w:tc>
        <w:tc>
          <w:tcPr>
            <w:tcW w:type="dxa" w:w="5018"/>
          </w:tcPr>
          <w:p>
            <w:r>
              <w:t>Pending</w:t>
            </w:r>
          </w:p>
        </w:tc>
      </w:tr>
      <w:tr>
        <w:tc>
          <w:tcPr>
            <w:tcW w:type="dxa" w:w="5018"/>
          </w:tcPr>
          <w:p>
            <w:r>
              <w:t>Field attendance / feedback / impact evidence</w:t>
            </w:r>
          </w:p>
        </w:tc>
        <w:tc>
          <w:tcPr>
            <w:tcW w:type="dxa" w:w="5018"/>
          </w:tcPr>
          <w:p>
            <w:r>
              <w:t>Not collected; do not fabricate</w:t>
            </w:r>
          </w:p>
        </w:tc>
      </w:tr>
      <w:tr>
        <w:tc>
          <w:tcPr>
            <w:tcW w:type="dxa" w:w="5018"/>
          </w:tcPr>
          <w:p>
            <w:r>
              <w:t>Team details and guide approval</w:t>
            </w:r>
          </w:p>
        </w:tc>
        <w:tc>
          <w:tcPr>
            <w:tcW w:type="dxa" w:w="5018"/>
          </w:tcPr>
          <w:p>
            <w:r>
              <w:t>To be supplied</w:t>
            </w:r>
          </w:p>
        </w:tc>
      </w:tr>
    </w:tbl>
    <w:p/>
    <w:p>
      <w:r>
        <w:rPr>
          <w:b/>
        </w:rPr>
        <w:t>The requested table row appears in the front matter and docs/REQUIREMENTS.md. Do not assign yourself full rubric marks based only on a working prototype. Assessment remains with the authorized committee.</w:t>
      </w:r>
    </w:p>
    <w:p>
      <w:r>
        <w:br w:type="page"/>
      </w:r>
    </w:p>
    <w:p>
      <w:pPr>
        <w:pStyle w:val="Heading2"/>
      </w:pPr>
      <w:r>
        <w:t>B.3 Implementation record — blank for authorized use</w:t>
      </w:r>
    </w:p>
    <w:tbl>
      <w:tblPr>
        <w:tblStyle w:val="TableGrid"/>
        <w:tblW w:type="auto" w:w="0"/>
        <w:tblLook w:firstColumn="1" w:firstRow="1" w:lastColumn="0" w:lastRow="0" w:noHBand="0" w:noVBand="1" w:val="04A0"/>
      </w:tblPr>
      <w:tblGrid>
        <w:gridCol w:w="5018"/>
        <w:gridCol w:w="5018"/>
      </w:tblGrid>
      <w:tr>
        <w:tc>
          <w:tcPr>
            <w:tcW w:type="dxa" w:w="5018"/>
          </w:tcPr>
          <w:p>
            <w:r>
              <w:t>Field</w:t>
            </w:r>
          </w:p>
        </w:tc>
        <w:tc>
          <w:tcPr>
            <w:tcW w:type="dxa" w:w="5018"/>
          </w:tcPr>
          <w:p>
            <w:r>
              <w:t>Entry</w:t>
            </w:r>
          </w:p>
        </w:tc>
      </w:tr>
      <w:tr>
        <w:tc>
          <w:tcPr>
            <w:tcW w:type="dxa" w:w="5018"/>
          </w:tcPr>
          <w:p>
            <w:r>
              <w:t>School / permission reference (keep private)</w:t>
            </w:r>
          </w:p>
        </w:tc>
        <w:tc>
          <w:tcPr>
            <w:tcW w:type="dxa" w:w="5018"/>
          </w:tcPr>
          <w:p>
            <w:r>
              <w:t>Pending</w:t>
            </w:r>
          </w:p>
        </w:tc>
      </w:tr>
      <w:tr>
        <w:tc>
          <w:tcPr>
            <w:tcW w:type="dxa" w:w="5018"/>
          </w:tcPr>
          <w:p>
            <w:r>
              <w:t>Educator reviewer / date</w:t>
            </w:r>
          </w:p>
        </w:tc>
        <w:tc>
          <w:tcPr>
            <w:tcW w:type="dxa" w:w="5018"/>
          </w:tcPr>
          <w:p>
            <w:r>
              <w:t>Pending</w:t>
            </w:r>
          </w:p>
        </w:tc>
      </w:tr>
      <w:tr>
        <w:tc>
          <w:tcPr>
            <w:tcW w:type="dxa" w:w="5018"/>
          </w:tcPr>
          <w:p>
            <w:r>
              <w:t>Device / browser / access adaptations</w:t>
            </w:r>
          </w:p>
        </w:tc>
        <w:tc>
          <w:tcPr>
            <w:tcW w:type="dxa" w:w="5018"/>
          </w:tcPr>
          <w:p>
            <w:r>
              <w:t>Pending</w:t>
            </w:r>
          </w:p>
        </w:tc>
      </w:tr>
      <w:tr>
        <w:tc>
          <w:tcPr>
            <w:tcW w:type="dxa" w:w="5018"/>
          </w:tcPr>
          <w:p>
            <w:r>
              <w:t>Chosen task / language / agreed goal</w:t>
            </w:r>
          </w:p>
        </w:tc>
        <w:tc>
          <w:tcPr>
            <w:tcW w:type="dxa" w:w="5018"/>
          </w:tcPr>
          <w:p>
            <w:r>
              <w:t>Pending</w:t>
            </w:r>
          </w:p>
        </w:tc>
      </w:tr>
      <w:tr>
        <w:tc>
          <w:tcPr>
            <w:tcW w:type="dxa" w:w="5018"/>
          </w:tcPr>
          <w:p>
            <w:r>
              <w:t>Consent and assent checked</w:t>
            </w:r>
          </w:p>
        </w:tc>
        <w:tc>
          <w:tcPr>
            <w:tcW w:type="dxa" w:w="5018"/>
          </w:tcPr>
          <w:p>
            <w:r>
              <w:t>Pending</w:t>
            </w:r>
          </w:p>
        </w:tc>
      </w:tr>
      <w:tr>
        <w:tc>
          <w:tcPr>
            <w:tcW w:type="dxa" w:w="5018"/>
          </w:tcPr>
          <w:p>
            <w:r>
              <w:t>Observation / assistance / fatigue</w:t>
            </w:r>
          </w:p>
        </w:tc>
        <w:tc>
          <w:tcPr>
            <w:tcW w:type="dxa" w:w="5018"/>
          </w:tcPr>
          <w:p>
            <w:r>
              <w:t>Pending</w:t>
            </w:r>
          </w:p>
        </w:tc>
      </w:tr>
      <w:tr>
        <w:tc>
          <w:tcPr>
            <w:tcW w:type="dxa" w:w="5018"/>
          </w:tcPr>
          <w:p>
            <w:r>
              <w:t>Defects / refinements / review decision</w:t>
            </w:r>
          </w:p>
        </w:tc>
        <w:tc>
          <w:tcPr>
            <w:tcW w:type="dxa" w:w="5018"/>
          </w:tcPr>
          <w:p>
            <w:r>
              <w:t>Pending</w:t>
            </w:r>
          </w:p>
        </w:tc>
      </w:tr>
      <w:tr>
        <w:tc>
          <w:tcPr>
            <w:tcW w:type="dxa" w:w="5018"/>
          </w:tcPr>
          <w:p>
            <w:r>
              <w:t>Handover / maintainer / next review</w:t>
            </w:r>
          </w:p>
        </w:tc>
        <w:tc>
          <w:tcPr>
            <w:tcW w:type="dxa" w:w="5018"/>
          </w:tcPr>
          <w:p>
            <w:r>
              <w:t>Pending</w:t>
            </w:r>
          </w:p>
        </w:tc>
      </w:tr>
    </w:tbl>
    <w:p/>
    <w:p>
      <w:r>
        <w:t>Keep signed forms and any identifying records out of the public source repository. The sample CSV in evidence/ was produced by automation and is not a participant record. Clear shared-browser progress according to the school’s agreed practice.</w:t>
      </w:r>
    </w:p>
    <w:p>
      <w:pPr>
        <w:pStyle w:val="Heading2"/>
      </w:pPr>
      <w:r>
        <w:t>B.4 Outcome reporting template</w:t>
      </w:r>
    </w:p>
    <w:p>
      <w:r>
        <w:t>Report who was invited and who participated only after approval; disclose missing observations and assistance. Use comparable tasks and denominators. Explain why any apparent change could reflect practice, prompting, selection or task differences. Without approved fieldwork, write “not measured” for learner improvement and “pending” for acceptance.</w:t>
      </w:r>
    </w:p>
    <w:p>
      <w:r>
        <w:br w:type="page"/>
      </w:r>
    </w:p>
    <w:p>
      <w:pPr>
        <w:pStyle w:val="Heading1"/>
      </w:pPr>
      <w:r>
        <w:t>Appendix C — Viva Voce Bank</w:t>
      </w:r>
    </w:p>
    <w:p>
      <w:r>
        <w:t>Q1. What was actually built?</w:t>
      </w:r>
    </w:p>
    <w:p>
      <w:r>
        <w:rPr>
          <w:sz w:val="16"/>
        </w:rPr>
        <w:t>Ans. A static bilingual learning tool with 30 cards, local practice records, sourced district context and an optional educator digit-model demonstration.</w:t>
      </w:r>
    </w:p>
    <w:p>
      <w:r>
        <w:t>Q2. Which dataset really enters the app?</w:t>
      </w:r>
    </w:p>
    <w:p>
      <w:r>
        <w:rPr>
          <w:sz w:val="16"/>
        </w:rPr>
        <w:t>Ans. UCI digit examples become ten handwriting cards and the model demo. The geoBoundaries feature becomes the district map. Authored everyday cards are not mislabelled as secondary survey data.</w:t>
      </w:r>
    </w:p>
    <w:p>
      <w:r>
        <w:t>Q3. How is 97.83% computed?</w:t>
      </w:r>
    </w:p>
    <w:p>
      <w:r>
        <w:rPr>
          <w:sz w:val="16"/>
        </w:rPr>
        <w:t>Ans. 1,758 correct classifications divided by 1,797 original UCI test rows. It is a repository classification metric, never a learning gain.</w:t>
      </w:r>
    </w:p>
    <w:p>
      <w:r>
        <w:t>Q4. What makes it an open-source model implementation?</w:t>
      </w:r>
    </w:p>
    <w:p>
      <w:r>
        <w:rPr>
          <w:sz w:val="16"/>
        </w:rPr>
        <w:t>Ans. The reference uses scikit-learn KNeighborsClassifier under BSD-3-Clause; the original local browser equivalent is supplied as MIT code. UCI vectors retain CC BY attribution.</w:t>
      </w:r>
    </w:p>
    <w:p>
      <w:r>
        <w:t>Q5. Why not call IndicTrans2 during each lesson?</w:t>
      </w:r>
    </w:p>
    <w:p>
      <w:r>
        <w:rPr>
          <w:sz w:val="16"/>
        </w:rPr>
        <w:t>Ans. It is not needed for fixed reviewed content. A static reviewed pack avoids remote inference, runtime variability and extra hosting; IndicTrans2 is an optional future candidate only.</w:t>
      </w:r>
    </w:p>
    <w:p>
      <w:r>
        <w:t>Q6. Does progress belong to an identified learner?</w:t>
      </w:r>
    </w:p>
    <w:p>
      <w:r>
        <w:rPr>
          <w:sz w:val="16"/>
        </w:rPr>
        <w:t>Ans. No. It is anonymous device-level practice, memory-only by default. Opt-in storage can mix multiple users and is not a secure student database.</w:t>
      </w:r>
    </w:p>
    <w:p>
      <w:r>
        <w:t>Q7. How do I publish it?</w:t>
      </w:r>
    </w:p>
    <w:p>
      <w:r>
        <w:rPr>
          <w:sz w:val="16"/>
        </w:rPr>
        <w:t>Ans. Push the supplied repository through your account, connect it to Render, apply render.yaml, and verify the HTTPS site. Those remote account actions remain pending.</w:t>
      </w:r>
    </w:p>
    <w:p>
      <w:r>
        <w:t>Q8. What is still missing for community acceptance?</w:t>
      </w:r>
    </w:p>
    <w:p>
      <w:r>
        <w:rPr>
          <w:sz w:val="16"/>
        </w:rPr>
        <w:t>Ans. Real school requirements, language/access review, permission, learner assent/consent procedures, a supervised trial and feedback. Secondary data cannot replace these.</w:t>
      </w:r>
    </w:p>
    <w:p>
      <w:pPr>
        <w:pStyle w:val="Heading2"/>
      </w:pPr>
      <w:r>
        <w:t>C.2 Presentation sequence</w:t>
      </w:r>
    </w:p>
    <w:p>
      <w:r>
        <w:t>1. Prescribed topic and unmet validation gate. 2. Dakshina Kannada map and school-context questions. 3. Secondary-source provenance and licences. 4. Bilingual app walkthrough. 5. Local progress and privacy controls. 6. Model metric and limits. 7. Technical tests and reproducibility. 8. School review, Git/Render handover and next actions. This is an outline, not a fabricated record of a delivered presentation.</w:t>
      </w:r>
    </w:p>
    <w:p>
      <w:r>
        <w:br w:type="page"/>
      </w:r>
    </w:p>
    <w:p>
      <w:pPr>
        <w:pStyle w:val="Heading1"/>
      </w:pPr>
      <w:r>
        <w:t>Appendix D — Reproducing This Edition, Git &amp; Render</w:t>
      </w:r>
    </w:p>
    <w:p>
      <w:pPr>
        <w:pStyle w:val="Heading2"/>
      </w:pPr>
      <w:r>
        <w:t>D.1 Reproduction procedure</w:t>
      </w:r>
    </w:p>
    <w:p>
      <w:pPr>
        <w:spacing w:after="180"/>
      </w:pPr>
      <w:r>
        <w:rPr>
          <w:rFonts w:ascii="Consolas" w:hAnsi="Consolas"/>
          <w:sz w:val="16"/>
        </w:rPr>
        <w:t># From the repository root; Python 3.13 / Node 20+ recommended</w:t>
        <w:br/>
        <w:t>pip install -r requirements.txt</w:t>
        <w:br/>
        <w:t>python scripts/prepare_data.py</w:t>
        <w:br/>
        <w:t>python scripts/make_lessons.py</w:t>
        <w:br/>
        <w:t>node scripts/build.mjs</w:t>
        <w:br/>
        <w:t>python scripts/verify_artifacts.py</w:t>
        <w:br/>
        <w:t>npm ci</w:t>
        <w:br/>
        <w:t>npm test</w:t>
        <w:br/>
        <w:t>npx playwright install --with-deps chromium</w:t>
        <w:br/>
        <w:t># Start in another terminal: node server.mjs</w:t>
        <w:br/>
        <w:t>npm run test:browser</w:t>
        <w:br/>
        <w:t>python scripts/collect.py</w:t>
        <w:br/>
        <w:t># PDF/DOCX generation also needs requirements-report.txt</w:t>
        <w:br/>
        <w:t>pip install -r requirements-report.txt</w:t>
        <w:br/>
        <w:t>python scripts/make_report.py</w:t>
      </w:r>
    </w:p>
    <w:p>
      <w:r>
        <w:rPr>
          <w:sz w:val="16"/>
        </w:rPr>
        <w:t>Initial package installation needs internet; data regeneration does not after dependencies and the bundled raw data are present. Browser checks need a running local server at port 3000. DOCX/PDF generation uses local DejaVu fonts on Linux; install fonts-dejavu-core or adjust font paths on another operating system.</w:t>
      </w:r>
    </w:p>
    <w:p>
      <w:pPr>
        <w:pStyle w:val="Heading2"/>
      </w:pPr>
      <w:r>
        <w:t>D.2 Shared evidence helper — exact listing</w:t>
      </w:r>
    </w:p>
    <w:p>
      <w:pPr>
        <w:spacing w:after="180"/>
      </w:pPr>
      <w:r>
        <w:rPr>
          <w:rFonts w:ascii="Consolas" w:hAnsi="Consolas"/>
          <w:sz w:val="16"/>
        </w:rPr>
        <w:t>"""Shared deterministic I/O for the fifteen week-led checks."""</w:t>
        <w:br/>
        <w:t>import hashlib,json,pathlib</w:t>
        <w:br/>
        <w:t>ROOT=pathlib.Path(__file__).resolve().parents[1]</w:t>
        <w:br/>
        <w:t>def read(path): return (ROOT/path).read_text()</w:t>
        <w:br/>
        <w:t>def load(path): return json.loads(read(path))</w:t>
        <w:br/>
        <w:t>def sha(path): return hashlib.sha256((ROOT/path).read_bytes()).hexdigest()</w:t>
        <w:br/>
        <w:t>def result(week,text): print(f'CP-{week:02d} RESULT: {text}')</w:t>
      </w:r>
    </w:p>
    <w:p>
      <w:pPr>
        <w:pStyle w:val="Heading2"/>
      </w:pPr>
      <w:r>
        <w:t>D.3 Artifact updates</w:t>
      </w:r>
    </w:p>
    <w:p>
      <w:r>
        <w:t>After approved edits, rebuild and rerun tests. Regenerate evidence/artifact-manifest.json with sorted paths and SHA256 bytes for every file under public/ and data/raw/. Review the changes, rerun verify_artifacts.py and collect.py, regenerate this report, and commit all related artifacts together. Do not refresh hashes just to hide a failed integrity check.</w:t>
      </w:r>
    </w:p>
    <w:p>
      <w:r>
        <w:br w:type="page"/>
      </w:r>
    </w:p>
    <w:p>
      <w:pPr>
        <w:pStyle w:val="Heading2"/>
      </w:pPr>
      <w:r>
        <w:t>D.4 The collector — exact listing</w:t>
      </w:r>
    </w:p>
    <w:p>
      <w:pPr>
        <w:spacing w:after="180"/>
      </w:pPr>
      <w:r>
        <w:rPr>
          <w:rFonts w:ascii="Consolas" w:hAnsi="Consolas"/>
          <w:sz w:val="16"/>
        </w:rPr>
        <w:t>"""Run all week checks twice; persist only byte-identical, stderr-free receipts."""</w:t>
        <w:br/>
        <w:t>import os,pathlib,subprocess,sys</w:t>
        <w:br/>
        <w:t>R=pathlib.Path(__file__).resolve().parents[1]</w:t>
        <w:br/>
        <w:t>files=sorted((R/'scripts').glob('cp??_week.py'))</w:t>
        <w:br/>
        <w:t>assert len(files)==15</w:t>
        <w:br/>
        <w:t>for f in files:</w:t>
        <w:br/>
        <w:t xml:space="preserve">    runs=[]</w:t>
        <w:br/>
        <w:t xml:space="preserve">    for _ in range(2):</w:t>
        <w:br/>
        <w:t xml:space="preserve">        p=subprocess.run([sys.executable,str(f)],cwd=R,capture_output=True,</w:t>
        <w:br/>
        <w:t xml:space="preserve">                         env={**os.environ,'PYTHONHASHSEED':'0'})</w:t>
        <w:br/>
        <w:t xml:space="preserve">        assert p.returncode==0 and not p.stderr, (f.name,p.stderr.decode())</w:t>
        <w:br/>
        <w:t xml:space="preserve">        runs.append(p.stdout)</w:t>
        <w:br/>
        <w:t xml:space="preserve">    assert runs[0]==runs[1], f.name+' is nondeterministic'</w:t>
        <w:br/>
        <w:t xml:space="preserve">    target=R/'evidence'/f'{f.stem}.txt'</w:t>
        <w:br/>
        <w:t xml:space="preserve">    target.write_bytes(f'$ python scripts/{f.name}\n'.encode()+runs[0])</w:t>
        <w:br/>
        <w:t>print('RESULT: 15 week programs passed; two captures each; byte-identical stdout')</w:t>
        <w:br/>
        <w:t>(R/'evidence/capture-summary.txt').write_text('RESULT: 15 week programs passed; two captures each; byte-identical stdout\n')</w:t>
      </w:r>
    </w:p>
    <w:p>
      <w:pPr>
        <w:pStyle w:val="Heading2"/>
      </w:pPr>
      <w:r>
        <w:t>D.5 Render Blueprint — exact listing</w:t>
      </w:r>
    </w:p>
    <w:p>
      <w:pPr>
        <w:spacing w:after="180"/>
      </w:pPr>
      <w:r>
        <w:rPr>
          <w:rFonts w:ascii="Consolas" w:hAnsi="Consolas"/>
          <w:sz w:val="16"/>
        </w:rPr>
        <w:t>services:</w:t>
        <w:br/>
        <w:t xml:space="preserve">  - type: web</w:t>
        <w:br/>
        <w:t xml:space="preserve">    name: sahaya-learning</w:t>
        <w:br/>
        <w:t xml:space="preserve">    runtime: static</w:t>
        <w:br/>
        <w:t xml:space="preserve">    buildCommand: node scripts/build.mjs</w:t>
        <w:br/>
        <w:t xml:space="preserve">    staticPublishPath: ./public</w:t>
        <w:br/>
        <w:t xml:space="preserve">    autoDeployTrigger: commit</w:t>
        <w:br/>
        <w:t xml:space="preserve">    headers:</w:t>
        <w:br/>
        <w:t xml:space="preserve">      - path: /*</w:t>
        <w:br/>
        <w:t xml:space="preserve">        name: X-Content-Type-Options</w:t>
        <w:br/>
        <w:t xml:space="preserve">        value: nosniff</w:t>
        <w:br/>
        <w:t xml:space="preserve">      - path: /*</w:t>
        <w:br/>
        <w:t xml:space="preserve">        name: Referrer-Policy</w:t>
        <w:br/>
        <w:t xml:space="preserve">        value: no-referrer</w:t>
        <w:br/>
        <w:t xml:space="preserve">      - path: /sw.js</w:t>
        <w:br/>
        <w:t xml:space="preserve">        name: Cache-Control</w:t>
        <w:br/>
        <w:t xml:space="preserve">        value: no-cache</w:t>
      </w:r>
    </w:p>
    <w:p>
      <w:r>
        <w:rPr>
          <w:sz w:val="16"/>
        </w:rPr>
        <w:t>Render publishes public/ as a static site. Python packages and the local Node server are not runtime hosting dependencies. No environment secret is required. Check current provider quotas, pricing and terms before creating a service.</w:t>
      </w:r>
    </w:p>
    <w:p>
      <w:r>
        <w:br w:type="page"/>
      </w:r>
    </w:p>
    <w:p>
      <w:pPr>
        <w:pStyle w:val="Heading2"/>
      </w:pPr>
      <w:r>
        <w:t>D.6 Git publication and Render handover</w:t>
      </w:r>
    </w:p>
    <w:p>
      <w:pPr>
        <w:spacing w:after="180"/>
      </w:pPr>
      <w:r>
        <w:rPr>
          <w:rFonts w:ascii="Consolas" w:hAnsi="Consolas"/>
          <w:sz w:val="16"/>
        </w:rPr>
        <w:t># The delivered project already has local commits.</w:t>
        <w:br/>
        <w:t>git status</w:t>
        <w:br/>
        <w:t>git log --oneline</w:t>
        <w:br/>
        <w:t># Replace the placeholder with your own empty remote repository:</w:t>
        <w:br/>
        <w:t>git remote add origin https://github.com/YOUR_ACCOUNT/sahaya-learning.git</w:t>
        <w:br/>
        <w:t>git push -u origin main</w:t>
        <w:br/>
        <w:br/>
        <w:t># To restore preserved history from the standalone bundle:</w:t>
        <w:br/>
        <w:t>git clone sahaya-history.bundle sahaya-learning</w:t>
      </w:r>
    </w:p>
    <w:p>
      <w:r>
        <w:t>In Render choose New → Blueprint, connect your repository and review render.yaml. Alternatively create a Static Site with build command node scripts/build.mjs and publish directory public. The hash-based routes do not need a rewrite. Do not configure a database, gunicorn or an application start command.</w:t>
      </w:r>
    </w:p>
    <w:p>
      <w:pPr>
        <w:pStyle w:val="Heading2"/>
      </w:pPr>
      <w:r>
        <w:t>D.7 Acceptance and rollback</w:t>
      </w:r>
    </w:p>
    <w:p>
      <w:r>
        <w:t>Open the assigned HTTPS URL and complete a session in both languages. Check reset and CSV export; inspect local model and district map; allow the service worker to cache, reopen, and test offline. Review Kannada and actual device access with an educator before classroom use. For updates, close old tabs and reopen to allow a waiting worker to activate.</w:t>
      </w:r>
    </w:p>
    <w:p>
      <w:r>
        <w:rPr>
          <w:b/>
        </w:rPr>
        <w:t>Use Git tags and Render deployment history for rollback. Reverting a faulty commit and rebuilding changes the content-derived cache key. Browser progress is origin-local, can be cleared and is not a cloud backup. No Git remote or Render service was created by this delivery.</w:t>
      </w:r>
    </w:p>
    <w:p>
      <w:pPr>
        <w:pStyle w:val="Heading2"/>
      </w:pPr>
      <w:r>
        <w:t>D.8 Final reflection</w:t>
      </w:r>
    </w:p>
    <w:p>
      <w:r>
        <w:t>The engineering aim has been converted into an inspectable prototype, not a claim of community impact. The next meaningful step is not a larger model: it is an authorized conversation with the special school, careful language/access review, and a small supported trial whose outcomes are honestly recorded.</w:t>
      </w:r>
    </w:p>
    <w:sectPr w:rsidR="00FC693F" w:rsidRPr="0006063C" w:rsidSect="00034616">
      <w:headerReference w:type="default" r:id="rId9"/>
      <w:footerReference w:type="default" r:id="rId10"/>
      <w:pgSz w:w="11909" w:h="16834"/>
      <w:pgMar w:top="1080"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Community Project · 1BCP308 · Week-Led Notes with the Tool It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Georgia" w:hAnsi="Georgia"/>
      <w:color w:val="151D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51D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51D3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51D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