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F5496" w:sz="12" w:space="10"/>
        </w:pBdr>
        <w:spacing w:after="200" w:before="1600"/>
        <w:jc w:val="center"/>
      </w:pPr>
      <w:r>
        <w:rPr>
          <w:rFonts w:ascii="Calibri" w:cs="Calibri" w:eastAsia="Calibri" w:hAnsi="Calibri"/>
          <w:b/>
          <w:bCs/>
          <w:color w:val="2F5496"/>
          <w:spacing w:val="60"/>
          <w:sz w:val="22"/>
          <w:szCs w:val="22"/>
        </w:rPr>
        <w:t xml:space="preserve">INTERNSHIP PROJECT SUBMISSION</w:t>
      </w:r>
    </w:p>
    <w:p>
      <w:pPr>
        <w:spacing w:after="0" w:before="900"/>
        <w:jc w:val="center"/>
      </w:pPr>
      <w:r>
        <w:rPr>
          <w:rFonts w:ascii="Calibri" w:cs="Calibri" w:eastAsia="Calibri" w:hAnsi="Calibri"/>
          <w:b/>
          <w:bCs/>
          <w:color w:val="1F3864"/>
          <w:sz w:val="60"/>
          <w:szCs w:val="60"/>
        </w:rPr>
        <w:t xml:space="preserve">Analytics Report &amp; Insights</w:t>
      </w:r>
    </w:p>
    <w:p>
      <w:pPr>
        <w:spacing w:after="240"/>
        <w:jc w:val="center"/>
      </w:pPr>
      <w:r>
        <w:rPr>
          <w:rFonts w:ascii="Calibri" w:cs="Calibri" w:eastAsia="Calibri" w:hAnsi="Calibri"/>
          <w:b/>
          <w:bCs/>
          <w:color w:val="1F3864"/>
          <w:sz w:val="56"/>
          <w:szCs w:val="56"/>
        </w:rPr>
        <w:t xml:space="preserve">Documentation – Final Report</w:t>
      </w:r>
    </w:p>
    <w:p>
      <w:pPr>
        <w:pBdr>
          <w:bottom w:val="single" w:color="BFBFBF" w:sz="6" w:space="14"/>
        </w:pBdr>
        <w:spacing w:after="300"/>
        <w:jc w:val="center"/>
      </w:pPr>
      <w:r>
        <w:rPr>
          <w:rFonts w:ascii="Calibri" w:cs="Calibri" w:eastAsia="Calibri" w:hAnsi="Calibri"/>
          <w:color w:val="595959"/>
          <w:sz w:val="20"/>
          <w:szCs w:val="20"/>
        </w:rPr>
        <w:t xml:space="preserve">Python  ·  Pandas  ·  NumPy  ·  Matplotlib  ·  Seaborn  ·  KPIs  ·  Business Insights</w:t>
      </w:r>
    </w:p>
    <w:p>
      <w:pPr>
        <w:spacing w:after="40"/>
        <w:jc w:val="center"/>
      </w:pPr>
      <w:r>
        <w:rPr>
          <w:rFonts w:ascii="Calibri" w:cs="Calibri" w:eastAsia="Calibri" w:hAnsi="Calibri"/>
          <w:color w:val="595959"/>
          <w:sz w:val="20"/>
          <w:szCs w:val="20"/>
        </w:rPr>
        <w:t xml:space="preserve">Technology-Stock Performance Review, 1990 – 2022</w:t>
      </w:r>
    </w:p>
    <w:p>
      <w:pPr>
        <w:spacing w:after="1100"/>
        <w:jc w:val="center"/>
      </w:pPr>
      <w:r>
        <w:rPr>
          <w:rFonts w:ascii="Calibri" w:cs="Calibri" w:eastAsia="Calibri" w:hAnsi="Calibri"/>
          <w:color w:val="595959"/>
          <w:sz w:val="20"/>
          <w:szCs w:val="20"/>
        </w:rPr>
        <w:t xml:space="preserve">Includes: Executive Summary, Business Insights Register and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none" w:color="FFFFFF" w:sz="0"/>
              <w:left w:val="none" w:color="FFFFFF" w:sz="0"/>
              <w:bottom w:val="none" w:color="FFFFFF" w:sz="0"/>
              <w:right w:val="none" w:color="FFFFFF" w:sz="0"/>
            </w:tcBorders>
            <w:tcMar>
              <w:top w:type="dxa" w:w="90"/>
              <w:left w:type="dxa" w:w="200"/>
              <w:bottom w:type="dxa" w:w="90"/>
              <w:right w:type="dxa" w:w="100"/>
            </w:tcMar>
          </w:tcPr>
          <w:p>
            <w:r>
              <w:rPr>
                <w:rFonts w:ascii="Calibri" w:cs="Calibri" w:eastAsia="Calibri" w:hAnsi="Calibri"/>
                <w:b/>
                <w:bCs/>
                <w:color w:val="2F5496"/>
                <w:sz w:val="22"/>
                <w:szCs w:val="22"/>
              </w:rPr>
              <w:t xml:space="preserve">Name:</w:t>
            </w:r>
          </w:p>
        </w:tc>
        <w:tc>
          <w:tcPr>
            <w:tcW w:type="dxa" w:w="6026"/>
            <w:tcBorders>
              <w:top w:val="none" w:color="FFFFFF" w:sz="0"/>
              <w:left w:val="none" w:color="FFFFFF" w:sz="0"/>
              <w:bottom w:val="none" w:color="FFFFFF" w:sz="0"/>
              <w:right w:val="none" w:color="FFFFFF" w:sz="0"/>
            </w:tcBorders>
            <w:tcMar>
              <w:top w:type="dxa" w:w="90"/>
              <w:left w:type="dxa" w:w="100"/>
              <w:bottom w:type="dxa" w:w="90"/>
              <w:right w:type="dxa" w:w="100"/>
            </w:tcMar>
          </w:tcPr>
          <w:p>
            <w:r>
              <w:rPr>
                <w:rFonts w:ascii="Calibri" w:cs="Calibri" w:eastAsia="Calibri" w:hAnsi="Calibri"/>
                <w:b/>
                <w:bCs/>
                <w:sz w:val="22"/>
                <w:szCs w:val="22"/>
              </w:rPr>
              <w:t xml:space="preserve">Lokesh Patwal</w:t>
            </w:r>
          </w:p>
        </w:tc>
      </w:tr>
      <w:tr>
        <w:tc>
          <w:tcPr>
            <w:tcW w:type="dxa" w:w="3000"/>
            <w:tcBorders>
              <w:top w:val="none" w:color="FFFFFF" w:sz="0"/>
              <w:left w:val="none" w:color="FFFFFF" w:sz="0"/>
              <w:bottom w:val="none" w:color="FFFFFF" w:sz="0"/>
              <w:right w:val="none" w:color="FFFFFF" w:sz="0"/>
            </w:tcBorders>
            <w:tcMar>
              <w:top w:type="dxa" w:w="90"/>
              <w:left w:type="dxa" w:w="200"/>
              <w:bottom w:type="dxa" w:w="90"/>
              <w:right w:type="dxa" w:w="100"/>
            </w:tcMar>
          </w:tcPr>
          <w:p>
            <w:r>
              <w:rPr>
                <w:rFonts w:ascii="Calibri" w:cs="Calibri" w:eastAsia="Calibri" w:hAnsi="Calibri"/>
                <w:b/>
                <w:bCs/>
                <w:color w:val="2F5496"/>
                <w:sz w:val="22"/>
                <w:szCs w:val="22"/>
              </w:rPr>
              <w:t xml:space="preserve">Internship/Program:</w:t>
            </w:r>
          </w:p>
        </w:tc>
        <w:tc>
          <w:tcPr>
            <w:tcW w:type="dxa" w:w="6026"/>
            <w:tcBorders>
              <w:top w:val="none" w:color="FFFFFF" w:sz="0"/>
              <w:left w:val="none" w:color="FFFFFF" w:sz="0"/>
              <w:bottom w:val="none" w:color="FFFFFF" w:sz="0"/>
              <w:right w:val="none" w:color="FFFFFF" w:sz="0"/>
            </w:tcBorders>
            <w:tcMar>
              <w:top w:type="dxa" w:w="90"/>
              <w:left w:type="dxa" w:w="100"/>
              <w:bottom w:type="dxa" w:w="90"/>
              <w:right w:type="dxa" w:w="100"/>
            </w:tcMar>
          </w:tcPr>
          <w:p>
            <w:r>
              <w:rPr>
                <w:rFonts w:ascii="Calibri" w:cs="Calibri" w:eastAsia="Calibri" w:hAnsi="Calibri"/>
                <w:b/>
                <w:bCs/>
                <w:sz w:val="22"/>
                <w:szCs w:val="22"/>
              </w:rPr>
              <w:t xml:space="preserve">Data Analyst Intern</w:t>
            </w:r>
          </w:p>
        </w:tc>
      </w:tr>
      <w:tr>
        <w:tc>
          <w:tcPr>
            <w:tcW w:type="dxa" w:w="3000"/>
            <w:tcBorders>
              <w:top w:val="none" w:color="FFFFFF" w:sz="0"/>
              <w:left w:val="none" w:color="FFFFFF" w:sz="0"/>
              <w:bottom w:val="none" w:color="FFFFFF" w:sz="0"/>
              <w:right w:val="none" w:color="FFFFFF" w:sz="0"/>
            </w:tcBorders>
            <w:tcMar>
              <w:top w:type="dxa" w:w="90"/>
              <w:left w:type="dxa" w:w="200"/>
              <w:bottom w:type="dxa" w:w="90"/>
              <w:right w:type="dxa" w:w="100"/>
            </w:tcMar>
          </w:tcPr>
          <w:p>
            <w:r>
              <w:rPr>
                <w:rFonts w:ascii="Calibri" w:cs="Calibri" w:eastAsia="Calibri" w:hAnsi="Calibri"/>
                <w:b/>
                <w:bCs/>
                <w:color w:val="2F5496"/>
                <w:sz w:val="22"/>
                <w:szCs w:val="22"/>
              </w:rPr>
              <w:t xml:space="preserve">Organization:</w:t>
            </w:r>
          </w:p>
        </w:tc>
        <w:tc>
          <w:tcPr>
            <w:tcW w:type="dxa" w:w="6026"/>
            <w:tcBorders>
              <w:top w:val="none" w:color="FFFFFF" w:sz="0"/>
              <w:left w:val="none" w:color="FFFFFF" w:sz="0"/>
              <w:bottom w:val="none" w:color="FFFFFF" w:sz="0"/>
              <w:right w:val="none" w:color="FFFFFF" w:sz="0"/>
            </w:tcBorders>
            <w:tcMar>
              <w:top w:type="dxa" w:w="90"/>
              <w:left w:type="dxa" w:w="100"/>
              <w:bottom w:type="dxa" w:w="90"/>
              <w:right w:type="dxa" w:w="100"/>
            </w:tcMar>
          </w:tcPr>
          <w:p>
            <w:r>
              <w:rPr>
                <w:rFonts w:ascii="Calibri" w:cs="Calibri" w:eastAsia="Calibri" w:hAnsi="Calibri"/>
                <w:b/>
                <w:bCs/>
                <w:sz w:val="22"/>
                <w:szCs w:val="22"/>
              </w:rPr>
              <w:t xml:space="preserve">Yuva Intern</w:t>
            </w:r>
          </w:p>
        </w:tc>
      </w:tr>
      <w:tr>
        <w:tc>
          <w:tcPr>
            <w:tcW w:type="dxa" w:w="3000"/>
            <w:tcBorders>
              <w:top w:val="none" w:color="FFFFFF" w:sz="0"/>
              <w:left w:val="none" w:color="FFFFFF" w:sz="0"/>
              <w:bottom w:val="none" w:color="FFFFFF" w:sz="0"/>
              <w:right w:val="none" w:color="FFFFFF" w:sz="0"/>
            </w:tcBorders>
            <w:tcMar>
              <w:top w:type="dxa" w:w="90"/>
              <w:left w:type="dxa" w:w="200"/>
              <w:bottom w:type="dxa" w:w="90"/>
              <w:right w:type="dxa" w:w="100"/>
            </w:tcMar>
          </w:tcPr>
          <w:p>
            <w:r>
              <w:rPr>
                <w:rFonts w:ascii="Calibri" w:cs="Calibri" w:eastAsia="Calibri" w:hAnsi="Calibri"/>
                <w:b/>
                <w:bCs/>
                <w:color w:val="2F5496"/>
                <w:sz w:val="22"/>
                <w:szCs w:val="22"/>
              </w:rPr>
              <w:t xml:space="preserve">Internship Period:</w:t>
            </w:r>
          </w:p>
        </w:tc>
        <w:tc>
          <w:tcPr>
            <w:tcW w:type="dxa" w:w="6026"/>
            <w:tcBorders>
              <w:top w:val="none" w:color="FFFFFF" w:sz="0"/>
              <w:left w:val="none" w:color="FFFFFF" w:sz="0"/>
              <w:bottom w:val="none" w:color="FFFFFF" w:sz="0"/>
              <w:right w:val="none" w:color="FFFFFF" w:sz="0"/>
            </w:tcBorders>
            <w:tcMar>
              <w:top w:type="dxa" w:w="90"/>
              <w:left w:type="dxa" w:w="100"/>
              <w:bottom w:type="dxa" w:w="90"/>
              <w:right w:type="dxa" w:w="100"/>
            </w:tcMar>
          </w:tcPr>
          <w:p>
            <w:r>
              <w:rPr>
                <w:rFonts w:ascii="Calibri" w:cs="Calibri" w:eastAsia="Calibri" w:hAnsi="Calibri"/>
                <w:b/>
                <w:bCs/>
                <w:sz w:val="22"/>
                <w:szCs w:val="22"/>
              </w:rPr>
              <w:t xml:space="preserve">01 October 2026 – 26 November 2026</w:t>
            </w:r>
          </w:p>
        </w:tc>
      </w:tr>
      <w:tr>
        <w:tc>
          <w:tcPr>
            <w:tcW w:type="dxa" w:w="3000"/>
            <w:tcBorders>
              <w:top w:val="none" w:color="FFFFFF" w:sz="0"/>
              <w:left w:val="none" w:color="FFFFFF" w:sz="0"/>
              <w:bottom w:val="none" w:color="FFFFFF" w:sz="0"/>
              <w:right w:val="none" w:color="FFFFFF" w:sz="0"/>
            </w:tcBorders>
            <w:tcMar>
              <w:top w:type="dxa" w:w="90"/>
              <w:left w:type="dxa" w:w="200"/>
              <w:bottom w:type="dxa" w:w="90"/>
              <w:right w:type="dxa" w:w="100"/>
            </w:tcMar>
          </w:tcPr>
          <w:p>
            <w:r>
              <w:rPr>
                <w:rFonts w:ascii="Calibri" w:cs="Calibri" w:eastAsia="Calibri" w:hAnsi="Calibri"/>
                <w:b/>
                <w:bCs/>
                <w:color w:val="2F5496"/>
                <w:sz w:val="22"/>
                <w:szCs w:val="22"/>
              </w:rPr>
              <w:t xml:space="preserve">Date:</w:t>
            </w:r>
          </w:p>
        </w:tc>
        <w:tc>
          <w:tcPr>
            <w:tcW w:type="dxa" w:w="6026"/>
            <w:tcBorders>
              <w:top w:val="none" w:color="FFFFFF" w:sz="0"/>
              <w:left w:val="none" w:color="FFFFFF" w:sz="0"/>
              <w:bottom w:val="none" w:color="FFFFFF" w:sz="0"/>
              <w:right w:val="none" w:color="FFFFFF" w:sz="0"/>
            </w:tcBorders>
            <w:tcMar>
              <w:top w:type="dxa" w:w="90"/>
              <w:left w:type="dxa" w:w="100"/>
              <w:bottom w:type="dxa" w:w="90"/>
              <w:right w:type="dxa" w:w="100"/>
            </w:tcMar>
          </w:tcPr>
          <w:p>
            <w:r>
              <w:rPr>
                <w:rFonts w:ascii="Calibri" w:cs="Calibri" w:eastAsia="Calibri" w:hAnsi="Calibri"/>
                <w:b/>
                <w:bCs/>
                <w:sz w:val="22"/>
                <w:szCs w:val="22"/>
              </w:rPr>
              <w:t xml:space="preserve">28 October 2026</w:t>
            </w:r>
          </w:p>
        </w:tc>
      </w:tr>
    </w:tbl>
    <w:p>
      <w:pPr>
        <w:sectPr>
          <w:pgSz w:w="11906" w:h="16838" w:orient="portrait"/>
          <w:pgMar w:top="1440" w:right="1440" w:bottom="1300" w:left="1440" w:header="708" w:footer="708" w:gutter="0"/>
          <w:pgNumType/>
          <w:docGrid w:linePitch="360"/>
        </w:sectPr>
      </w:pPr>
    </w:p>
    <w:p>
      <w:pPr>
        <w:pBdr>
          <w:bottom w:val="single" w:color="2F5496" w:sz="8" w:space="6"/>
        </w:pBdr>
        <w:spacing w:after="200"/>
      </w:pPr>
      <w:r>
        <w:rPr>
          <w:rFonts w:ascii="Calibri" w:cs="Calibri" w:eastAsia="Calibri" w:hAnsi="Calibri"/>
          <w:b/>
          <w:bCs/>
          <w:color w:val="1F3864"/>
          <w:sz w:val="34"/>
          <w:szCs w:val="34"/>
        </w:rPr>
        <w:t xml:space="preserve">Table of Contents</w:t>
      </w:r>
    </w:p>
    <w:p>
      <w:pPr>
        <w:spacing w:after="30" w:before="100"/>
        <w:ind w:left="0"/>
      </w:pPr>
      <w:hyperlink w:history="1" w:anchor="sec1">
        <w:r>
          <w:rPr>
            <w:rFonts w:ascii="Calibri" w:cs="Calibri" w:eastAsia="Calibri" w:hAnsi="Calibri"/>
            <w:b/>
            <w:bCs/>
            <w:color w:val="000000"/>
            <w:sz w:val="21"/>
            <w:szCs w:val="21"/>
          </w:rPr>
          <w:t xml:space="preserve">Student and Project Details</w:t>
        </w:r>
      </w:hyperlink>
    </w:p>
    <w:p>
      <w:pPr>
        <w:spacing w:after="30" w:before="100"/>
        <w:ind w:left="0"/>
      </w:pPr>
      <w:hyperlink w:history="1" w:anchor="sec2">
        <w:r>
          <w:rPr>
            <w:rFonts w:ascii="Calibri" w:cs="Calibri" w:eastAsia="Calibri" w:hAnsi="Calibri"/>
            <w:b/>
            <w:bCs/>
            <w:color w:val="000000"/>
            <w:sz w:val="21"/>
            <w:szCs w:val="21"/>
          </w:rPr>
          <w:t xml:space="preserve">1. Executive summary</w:t>
        </w:r>
      </w:hyperlink>
    </w:p>
    <w:p>
      <w:pPr>
        <w:spacing w:after="30" w:before="100"/>
        <w:ind w:left="0"/>
      </w:pPr>
      <w:hyperlink w:history="1" w:anchor="sec3">
        <w:r>
          <w:rPr>
            <w:rFonts w:ascii="Calibri" w:cs="Calibri" w:eastAsia="Calibri" w:hAnsi="Calibri"/>
            <w:b/>
            <w:bCs/>
            <w:color w:val="000000"/>
            <w:sz w:val="21"/>
            <w:szCs w:val="21"/>
          </w:rPr>
          <w:t xml:space="preserve">2. Business background and problem statement</w:t>
        </w:r>
      </w:hyperlink>
    </w:p>
    <w:p>
      <w:pPr>
        <w:spacing w:after="20" w:before="0"/>
        <w:ind w:left="360"/>
      </w:pPr>
      <w:hyperlink w:history="1" w:anchor="sec4">
        <w:r>
          <w:rPr>
            <w:rFonts w:ascii="Calibri" w:cs="Calibri" w:eastAsia="Calibri" w:hAnsi="Calibri"/>
            <w:b w:val="false"/>
            <w:bCs w:val="false"/>
            <w:color w:val="333333"/>
            <w:sz w:val="20"/>
            <w:szCs w:val="20"/>
          </w:rPr>
          <w:t xml:space="preserve">2.1 Business background</w:t>
        </w:r>
      </w:hyperlink>
    </w:p>
    <w:p>
      <w:pPr>
        <w:spacing w:after="20" w:before="0"/>
        <w:ind w:left="360"/>
      </w:pPr>
      <w:hyperlink w:history="1" w:anchor="sec5">
        <w:r>
          <w:rPr>
            <w:rFonts w:ascii="Calibri" w:cs="Calibri" w:eastAsia="Calibri" w:hAnsi="Calibri"/>
            <w:b w:val="false"/>
            <w:bCs w:val="false"/>
            <w:color w:val="333333"/>
            <w:sz w:val="20"/>
            <w:szCs w:val="20"/>
          </w:rPr>
          <w:t xml:space="preserve">2.2 Problem statement</w:t>
        </w:r>
      </w:hyperlink>
    </w:p>
    <w:p>
      <w:pPr>
        <w:spacing w:after="30" w:before="100"/>
        <w:ind w:left="0"/>
      </w:pPr>
      <w:hyperlink w:history="1" w:anchor="sec6">
        <w:r>
          <w:rPr>
            <w:rFonts w:ascii="Calibri" w:cs="Calibri" w:eastAsia="Calibri" w:hAnsi="Calibri"/>
            <w:b/>
            <w:bCs/>
            <w:color w:val="000000"/>
            <w:sz w:val="21"/>
            <w:szCs w:val="21"/>
          </w:rPr>
          <w:t xml:space="preserve">3. Business objectives and analytical questions</w:t>
        </w:r>
      </w:hyperlink>
    </w:p>
    <w:p>
      <w:pPr>
        <w:spacing w:after="20" w:before="0"/>
        <w:ind w:left="360"/>
      </w:pPr>
      <w:hyperlink w:history="1" w:anchor="sec7">
        <w:r>
          <w:rPr>
            <w:rFonts w:ascii="Calibri" w:cs="Calibri" w:eastAsia="Calibri" w:hAnsi="Calibri"/>
            <w:b w:val="false"/>
            <w:bCs w:val="false"/>
            <w:color w:val="333333"/>
            <w:sz w:val="20"/>
            <w:szCs w:val="20"/>
          </w:rPr>
          <w:t xml:space="preserve">3.1 Business objectives</w:t>
        </w:r>
      </w:hyperlink>
    </w:p>
    <w:p>
      <w:pPr>
        <w:spacing w:after="20" w:before="0"/>
        <w:ind w:left="360"/>
      </w:pPr>
      <w:hyperlink w:history="1" w:anchor="sec8">
        <w:r>
          <w:rPr>
            <w:rFonts w:ascii="Calibri" w:cs="Calibri" w:eastAsia="Calibri" w:hAnsi="Calibri"/>
            <w:b w:val="false"/>
            <w:bCs w:val="false"/>
            <w:color w:val="333333"/>
            <w:sz w:val="20"/>
            <w:szCs w:val="20"/>
          </w:rPr>
          <w:t xml:space="preserve">3.2 Stakeholders (assumed, for this exercise)</w:t>
        </w:r>
      </w:hyperlink>
    </w:p>
    <w:p>
      <w:pPr>
        <w:spacing w:after="20" w:before="0"/>
        <w:ind w:left="360"/>
      </w:pPr>
      <w:hyperlink w:history="1" w:anchor="sec9">
        <w:r>
          <w:rPr>
            <w:rFonts w:ascii="Calibri" w:cs="Calibri" w:eastAsia="Calibri" w:hAnsi="Calibri"/>
            <w:b w:val="false"/>
            <w:bCs w:val="false"/>
            <w:color w:val="333333"/>
            <w:sz w:val="20"/>
            <w:szCs w:val="20"/>
          </w:rPr>
          <w:t xml:space="preserve">3.3 Key business questions</w:t>
        </w:r>
      </w:hyperlink>
    </w:p>
    <w:p>
      <w:pPr>
        <w:spacing w:after="20" w:before="0"/>
        <w:ind w:left="360"/>
      </w:pPr>
      <w:hyperlink w:history="1" w:anchor="sec10">
        <w:r>
          <w:rPr>
            <w:rFonts w:ascii="Calibri" w:cs="Calibri" w:eastAsia="Calibri" w:hAnsi="Calibri"/>
            <w:b w:val="false"/>
            <w:bCs w:val="false"/>
            <w:color w:val="333333"/>
            <w:sz w:val="20"/>
            <w:szCs w:val="20"/>
          </w:rPr>
          <w:t xml:space="preserve">3.4 Reporting requirements: question → metric → visual → decision</w:t>
        </w:r>
      </w:hyperlink>
    </w:p>
    <w:p>
      <w:pPr>
        <w:spacing w:after="30" w:before="100"/>
        <w:ind w:left="0"/>
      </w:pPr>
      <w:hyperlink w:history="1" w:anchor="sec11">
        <w:r>
          <w:rPr>
            <w:rFonts w:ascii="Calibri" w:cs="Calibri" w:eastAsia="Calibri" w:hAnsi="Calibri"/>
            <w:b/>
            <w:bCs/>
            <w:color w:val="000000"/>
            <w:sz w:val="21"/>
            <w:szCs w:val="21"/>
          </w:rPr>
          <w:t xml:space="preserve">4. Dataset source and description</w:t>
        </w:r>
      </w:hyperlink>
    </w:p>
    <w:p>
      <w:pPr>
        <w:spacing w:after="30" w:before="100"/>
        <w:ind w:left="0"/>
      </w:pPr>
      <w:hyperlink w:history="1" w:anchor="sec12">
        <w:r>
          <w:rPr>
            <w:rFonts w:ascii="Calibri" w:cs="Calibri" w:eastAsia="Calibri" w:hAnsi="Calibri"/>
            <w:b/>
            <w:bCs/>
            <w:color w:val="000000"/>
            <w:sz w:val="21"/>
            <w:szCs w:val="21"/>
          </w:rPr>
          <w:t xml:space="preserve">5. Methodology and tools</w:t>
        </w:r>
      </w:hyperlink>
    </w:p>
    <w:p>
      <w:pPr>
        <w:spacing w:after="30" w:before="100"/>
        <w:ind w:left="0"/>
      </w:pPr>
      <w:hyperlink w:history="1" w:anchor="sec13">
        <w:r>
          <w:rPr>
            <w:rFonts w:ascii="Calibri" w:cs="Calibri" w:eastAsia="Calibri" w:hAnsi="Calibri"/>
            <w:b/>
            <w:bCs/>
            <w:color w:val="000000"/>
            <w:sz w:val="21"/>
            <w:szCs w:val="21"/>
          </w:rPr>
          <w:t xml:space="preserve">6. Data-quality assessment</w:t>
        </w:r>
      </w:hyperlink>
    </w:p>
    <w:p>
      <w:pPr>
        <w:spacing w:after="30" w:before="100"/>
        <w:ind w:left="0"/>
      </w:pPr>
      <w:hyperlink w:history="1" w:anchor="sec14">
        <w:r>
          <w:rPr>
            <w:rFonts w:ascii="Calibri" w:cs="Calibri" w:eastAsia="Calibri" w:hAnsi="Calibri"/>
            <w:b/>
            <w:bCs/>
            <w:color w:val="000000"/>
            <w:sz w:val="21"/>
            <w:szCs w:val="21"/>
          </w:rPr>
          <w:t xml:space="preserve">7. Data cleaning and preprocessing</w:t>
        </w:r>
      </w:hyperlink>
    </w:p>
    <w:p>
      <w:pPr>
        <w:spacing w:after="30" w:before="100"/>
        <w:ind w:left="0"/>
      </w:pPr>
      <w:hyperlink w:history="1" w:anchor="sec15">
        <w:r>
          <w:rPr>
            <w:rFonts w:ascii="Calibri" w:cs="Calibri" w:eastAsia="Calibri" w:hAnsi="Calibri"/>
            <w:b/>
            <w:bCs/>
            <w:color w:val="000000"/>
            <w:sz w:val="21"/>
            <w:szCs w:val="21"/>
          </w:rPr>
          <w:t xml:space="preserve">8. KPI definitions and results</w:t>
        </w:r>
      </w:hyperlink>
    </w:p>
    <w:p>
      <w:pPr>
        <w:spacing w:after="20" w:before="0"/>
        <w:ind w:left="360"/>
      </w:pPr>
      <w:hyperlink w:history="1" w:anchor="sec16">
        <w:r>
          <w:rPr>
            <w:rFonts w:ascii="Calibri" w:cs="Calibri" w:eastAsia="Calibri" w:hAnsi="Calibri"/>
            <w:b w:val="false"/>
            <w:bCs w:val="false"/>
            <w:color w:val="333333"/>
            <w:sz w:val="20"/>
            <w:szCs w:val="20"/>
          </w:rPr>
          <w:t xml:space="preserve">8.1 KPI results: common window (September 2004 – June 2022, same months for every series)</w:t>
        </w:r>
      </w:hyperlink>
    </w:p>
    <w:p>
      <w:pPr>
        <w:spacing w:after="20" w:before="0"/>
        <w:ind w:left="360"/>
      </w:pPr>
      <w:hyperlink w:history="1" w:anchor="sec17">
        <w:r>
          <w:rPr>
            <w:rFonts w:ascii="Calibri" w:cs="Calibri" w:eastAsia="Calibri" w:hAnsi="Calibri"/>
            <w:b w:val="false"/>
            <w:bCs w:val="false"/>
            <w:color w:val="333333"/>
            <w:sz w:val="20"/>
            <w:szCs w:val="20"/>
          </w:rPr>
          <w:t xml:space="preserve">8.2 KPI results: each series over its own full history</w:t>
        </w:r>
      </w:hyperlink>
    </w:p>
    <w:p>
      <w:pPr>
        <w:spacing w:after="30" w:before="100"/>
        <w:ind w:left="0"/>
      </w:pPr>
      <w:hyperlink w:history="1" w:anchor="sec18">
        <w:r>
          <w:rPr>
            <w:rFonts w:ascii="Calibri" w:cs="Calibri" w:eastAsia="Calibri" w:hAnsi="Calibri"/>
            <w:b/>
            <w:bCs/>
            <w:color w:val="000000"/>
            <w:sz w:val="21"/>
            <w:szCs w:val="21"/>
          </w:rPr>
          <w:t xml:space="preserve">9. Detailed analysis and visualisations</w:t>
        </w:r>
      </w:hyperlink>
    </w:p>
    <w:p>
      <w:pPr>
        <w:spacing w:after="20" w:before="0"/>
        <w:ind w:left="360"/>
      </w:pPr>
      <w:hyperlink w:history="1" w:anchor="sec19">
        <w:r>
          <w:rPr>
            <w:rFonts w:ascii="Calibri" w:cs="Calibri" w:eastAsia="Calibri" w:hAnsi="Calibri"/>
            <w:b w:val="false"/>
            <w:bCs w:val="false"/>
            <w:color w:val="333333"/>
            <w:sz w:val="20"/>
            <w:szCs w:val="20"/>
          </w:rPr>
          <w:t xml:space="preserve">9.1 Q1. Which holdings created the most value compared with the market?</w:t>
        </w:r>
      </w:hyperlink>
    </w:p>
    <w:p>
      <w:pPr>
        <w:spacing w:after="20" w:before="0"/>
        <w:ind w:left="360"/>
      </w:pPr>
      <w:hyperlink w:history="1" w:anchor="sec20">
        <w:r>
          <w:rPr>
            <w:rFonts w:ascii="Calibri" w:cs="Calibri" w:eastAsia="Calibri" w:hAnsi="Calibri"/>
            <w:b w:val="false"/>
            <w:bCs w:val="false"/>
            <w:color w:val="333333"/>
            <w:sz w:val="20"/>
            <w:szCs w:val="20"/>
          </w:rPr>
          <w:t xml:space="preserve">9.2 Q2. How risky was each holding?</w:t>
        </w:r>
      </w:hyperlink>
    </w:p>
    <w:p>
      <w:pPr>
        <w:spacing w:after="20" w:before="0"/>
        <w:ind w:left="360"/>
      </w:pPr>
      <w:hyperlink w:history="1" w:anchor="sec21">
        <w:r>
          <w:rPr>
            <w:rFonts w:ascii="Calibri" w:cs="Calibri" w:eastAsia="Calibri" w:hAnsi="Calibri"/>
            <w:b w:val="false"/>
            <w:bCs w:val="false"/>
            <w:color w:val="333333"/>
            <w:sz w:val="20"/>
            <w:szCs w:val="20"/>
          </w:rPr>
          <w:t xml:space="preserve">9.3 Q3. Which holdings delivered the most growth for the risk taken?</w:t>
        </w:r>
      </w:hyperlink>
    </w:p>
    <w:p>
      <w:pPr>
        <w:spacing w:after="20" w:before="0"/>
        <w:ind w:left="360"/>
      </w:pPr>
      <w:hyperlink w:history="1" w:anchor="sec22">
        <w:r>
          <w:rPr>
            <w:rFonts w:ascii="Calibri" w:cs="Calibri" w:eastAsia="Calibri" w:hAnsi="Calibri"/>
            <w:b w:val="false"/>
            <w:bCs w:val="false"/>
            <w:color w:val="333333"/>
            <w:sz w:val="20"/>
            <w:szCs w:val="20"/>
          </w:rPr>
          <w:t xml:space="preserve">9.4 Q4. How strongly does each holding follow the market?</w:t>
        </w:r>
      </w:hyperlink>
    </w:p>
    <w:p>
      <w:pPr>
        <w:spacing w:after="20" w:before="0"/>
        <w:ind w:left="360"/>
      </w:pPr>
      <w:hyperlink w:history="1" w:anchor="sec23">
        <w:r>
          <w:rPr>
            <w:rFonts w:ascii="Calibri" w:cs="Calibri" w:eastAsia="Calibri" w:hAnsi="Calibri"/>
            <w:b w:val="false"/>
            <w:bCs w:val="false"/>
            <w:color w:val="333333"/>
            <w:sz w:val="20"/>
            <w:szCs w:val="20"/>
          </w:rPr>
          <w:t xml:space="preserve">9.5 Q5. How did the holdings behave in past market-stress periods?</w:t>
        </w:r>
      </w:hyperlink>
    </w:p>
    <w:p>
      <w:pPr>
        <w:spacing w:after="20" w:before="0"/>
        <w:ind w:left="360"/>
      </w:pPr>
      <w:hyperlink w:history="1" w:anchor="sec24">
        <w:r>
          <w:rPr>
            <w:rFonts w:ascii="Calibri" w:cs="Calibri" w:eastAsia="Calibri" w:hAnsi="Calibri"/>
            <w:b w:val="false"/>
            <w:bCs w:val="false"/>
            <w:color w:val="333333"/>
            <w:sz w:val="20"/>
            <w:szCs w:val="20"/>
          </w:rPr>
          <w:t xml:space="preserve">9.6 Q6. Does holding all seven together reduce risk?</w:t>
        </w:r>
      </w:hyperlink>
    </w:p>
    <w:p>
      <w:pPr>
        <w:spacing w:after="20" w:before="0"/>
        <w:ind w:left="360"/>
      </w:pPr>
      <w:hyperlink w:history="1" w:anchor="sec25">
        <w:r>
          <w:rPr>
            <w:rFonts w:ascii="Calibri" w:cs="Calibri" w:eastAsia="Calibri" w:hAnsi="Calibri"/>
            <w:b w:val="false"/>
            <w:bCs w:val="false"/>
            <w:color w:val="333333"/>
            <w:sz w:val="20"/>
            <w:szCs w:val="20"/>
          </w:rPr>
          <w:t xml:space="preserve">9.7 Q7. How consistent were returns from year to year?</w:t>
        </w:r>
      </w:hyperlink>
    </w:p>
    <w:p>
      <w:pPr>
        <w:spacing w:after="20" w:before="0"/>
        <w:ind w:left="360"/>
      </w:pPr>
      <w:hyperlink w:history="1" w:anchor="sec26">
        <w:r>
          <w:rPr>
            <w:rFonts w:ascii="Calibri" w:cs="Calibri" w:eastAsia="Calibri" w:hAnsi="Calibri"/>
            <w:b w:val="false"/>
            <w:bCs w:val="false"/>
            <w:color w:val="333333"/>
            <w:sz w:val="20"/>
            <w:szCs w:val="20"/>
          </w:rPr>
          <w:t xml:space="preserve">9.8 Q8. Which months were unusual, and when?</w:t>
        </w:r>
      </w:hyperlink>
    </w:p>
    <w:p>
      <w:pPr>
        <w:spacing w:after="30" w:before="100"/>
        <w:ind w:left="0"/>
      </w:pPr>
      <w:hyperlink w:history="1" w:anchor="sec27">
        <w:r>
          <w:rPr>
            <w:rFonts w:ascii="Calibri" w:cs="Calibri" w:eastAsia="Calibri" w:hAnsi="Calibri"/>
            <w:b/>
            <w:bCs/>
            <w:color w:val="000000"/>
            <w:sz w:val="21"/>
            <w:szCs w:val="21"/>
          </w:rPr>
          <w:t xml:space="preserve">10. Key findings</w:t>
        </w:r>
      </w:hyperlink>
    </w:p>
    <w:p>
      <w:pPr>
        <w:spacing w:after="30" w:before="100"/>
        <w:ind w:left="0"/>
      </w:pPr>
      <w:hyperlink w:history="1" w:anchor="sec28">
        <w:r>
          <w:rPr>
            <w:rFonts w:ascii="Calibri" w:cs="Calibri" w:eastAsia="Calibri" w:hAnsi="Calibri"/>
            <w:b/>
            <w:bCs/>
            <w:color w:val="000000"/>
            <w:sz w:val="21"/>
            <w:szCs w:val="21"/>
          </w:rPr>
          <w:t xml:space="preserve">11. Business insights and potential impact</w:t>
        </w:r>
      </w:hyperlink>
    </w:p>
    <w:p>
      <w:pPr>
        <w:spacing w:after="30" w:before="100"/>
        <w:ind w:left="0"/>
      </w:pPr>
      <w:hyperlink w:history="1" w:anchor="sec29">
        <w:r>
          <w:rPr>
            <w:rFonts w:ascii="Calibri" w:cs="Calibri" w:eastAsia="Calibri" w:hAnsi="Calibri"/>
            <w:b/>
            <w:bCs/>
            <w:color w:val="000000"/>
            <w:sz w:val="21"/>
            <w:szCs w:val="21"/>
          </w:rPr>
          <w:t xml:space="preserve">12. Actionable recommendations</w:t>
        </w:r>
      </w:hyperlink>
    </w:p>
    <w:p>
      <w:pPr>
        <w:spacing w:after="30" w:before="100"/>
        <w:ind w:left="0"/>
      </w:pPr>
      <w:hyperlink w:history="1" w:anchor="sec30">
        <w:r>
          <w:rPr>
            <w:rFonts w:ascii="Calibri" w:cs="Calibri" w:eastAsia="Calibri" w:hAnsi="Calibri"/>
            <w:b/>
            <w:bCs/>
            <w:color w:val="000000"/>
            <w:sz w:val="21"/>
            <w:szCs w:val="21"/>
          </w:rPr>
          <w:t xml:space="preserve">13. Conclusions</w:t>
        </w:r>
      </w:hyperlink>
    </w:p>
    <w:p>
      <w:pPr>
        <w:spacing w:after="30" w:before="100"/>
        <w:ind w:left="0"/>
      </w:pPr>
      <w:hyperlink w:history="1" w:anchor="sec31">
        <w:r>
          <w:rPr>
            <w:rFonts w:ascii="Calibri" w:cs="Calibri" w:eastAsia="Calibri" w:hAnsi="Calibri"/>
            <w:b/>
            <w:bCs/>
            <w:color w:val="000000"/>
            <w:sz w:val="21"/>
            <w:szCs w:val="21"/>
          </w:rPr>
          <w:t xml:space="preserve">14. Limitations and future work</w:t>
        </w:r>
      </w:hyperlink>
    </w:p>
    <w:p>
      <w:pPr>
        <w:spacing w:after="30" w:before="100"/>
        <w:ind w:left="0"/>
      </w:pPr>
      <w:hyperlink w:history="1" w:anchor="sec32">
        <w:r>
          <w:rPr>
            <w:rFonts w:ascii="Calibri" w:cs="Calibri" w:eastAsia="Calibri" w:hAnsi="Calibri"/>
            <w:b/>
            <w:bCs/>
            <w:color w:val="000000"/>
            <w:sz w:val="21"/>
            <w:szCs w:val="21"/>
          </w:rPr>
          <w:t xml:space="preserve">15. References</w:t>
        </w:r>
      </w:hyperlink>
    </w:p>
    <w:p>
      <w:pPr>
        <w:spacing w:after="30" w:before="100"/>
        <w:ind w:left="0"/>
      </w:pPr>
      <w:hyperlink w:history="1" w:anchor="sec33">
        <w:r>
          <w:rPr>
            <w:rFonts w:ascii="Calibri" w:cs="Calibri" w:eastAsia="Calibri" w:hAnsi="Calibri"/>
            <w:b/>
            <w:bCs/>
            <w:color w:val="000000"/>
            <w:sz w:val="21"/>
            <w:szCs w:val="21"/>
          </w:rPr>
          <w:t xml:space="preserve">Appendix A. Objective-to-evidence matrix</w:t>
        </w:r>
      </w:hyperlink>
    </w:p>
    <w:p>
      <w:r>
        <w:br w:type="page"/>
      </w:r>
    </w:p>
    <w:p>
      <w:pPr>
        <w:pStyle w:val="Heading1"/>
        <w:keepNext/>
        <w:spacing w:after="120" w:before="320"/>
      </w:pPr>
      <w:bookmarkStart w:name="sec1" w:id="1"/>
      <w:r>
        <w:rPr>
          <w:rFonts w:ascii="Calibri" w:cs="Calibri" w:eastAsia="Calibri" w:hAnsi="Calibri"/>
          <w:b/>
          <w:bCs/>
          <w:color w:val="1F3864"/>
          <w:sz w:val="30"/>
          <w:szCs w:val="30"/>
        </w:rPr>
        <w:t xml:space="preserve">Student and Project Details</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84"/>
        <w:gridCol w:w="5542"/>
      </w:tblGrid>
      <w:tr>
        <w:trPr>
          <w:cantSplit/>
        </w:trPr>
        <w:tc>
          <w:tcPr>
            <w:tcW w:type="dxa" w:w="3484"/>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20"/>
                <w:szCs w:val="20"/>
              </w:rPr>
              <w:t xml:space="preserve">Roll / enrolment number</w:t>
            </w:r>
          </w:p>
        </w:tc>
        <w:tc>
          <w:tcPr>
            <w:tcW w:type="dxa" w:w="554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highlight w:val="yellow"/>
              </w:rPr>
              <w:t xml:space="preserve">[YOUR ENROLMENT NUMBER]</w:t>
            </w:r>
          </w:p>
        </w:tc>
      </w:tr>
      <w:tr>
        <w:trPr>
          <w:cantSplit/>
        </w:trPr>
        <w:tc>
          <w:tcPr>
            <w:tcW w:type="dxa" w:w="3484"/>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20"/>
                <w:szCs w:val="20"/>
              </w:rPr>
              <w:t xml:space="preserve">Institution and branch</w:t>
            </w:r>
          </w:p>
        </w:tc>
        <w:tc>
          <w:tcPr>
            <w:tcW w:type="dxa" w:w="554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highlight w:val="yellow"/>
              </w:rPr>
              <w:t xml:space="preserve">[YOUR COLLEGE, B.Tech BRANCH]</w:t>
            </w:r>
          </w:p>
        </w:tc>
      </w:tr>
      <w:tr>
        <w:trPr>
          <w:cantSplit/>
        </w:trPr>
        <w:tc>
          <w:tcPr>
            <w:tcW w:type="dxa" w:w="3484"/>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20"/>
                <w:szCs w:val="20"/>
              </w:rPr>
              <w:t xml:space="preserve">Mentor</w:t>
            </w:r>
          </w:p>
        </w:tc>
        <w:tc>
          <w:tcPr>
            <w:tcW w:type="dxa" w:w="554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highlight w:val="yellow"/>
              </w:rPr>
              <w:t xml:space="preserve">[MENTOR NAME]</w:t>
            </w:r>
          </w:p>
        </w:tc>
      </w:tr>
      <w:tr>
        <w:trPr>
          <w:cantSplit/>
        </w:trPr>
        <w:tc>
          <w:tcPr>
            <w:tcW w:type="dxa" w:w="3484"/>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20"/>
                <w:szCs w:val="20"/>
              </w:rPr>
              <w:t xml:space="preserve">Repository</w:t>
            </w:r>
          </w:p>
        </w:tc>
        <w:tc>
          <w:tcPr>
            <w:tcW w:type="dxa" w:w="554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highlight w:val="yellow"/>
              </w:rPr>
              <w:t xml:space="preserve">[GITHUB URL after you upload it]</w:t>
            </w:r>
          </w:p>
        </w:tc>
      </w:tr>
    </w:tbl>
    <w:p>
      <w:pPr>
        <w:spacing w:after="120" w:before="120"/>
      </w:pPr>
      <w:r>
        <w:rPr>
          <w:rFonts w:ascii="Calibri" w:cs="Calibri" w:eastAsia="Calibri" w:hAnsi="Calibri"/>
          <w:i/>
          <w:iCs/>
          <w:sz w:val="20"/>
          <w:szCs w:val="20"/>
        </w:rPr>
        <w:t xml:space="preserve">Placeholders in square brackets must be filled in by the student. No mentor approval or certificate is stated or implied by this document.</w:t>
      </w:r>
    </w:p>
    <w:p>
      <w:pPr>
        <w:pBdr>
          <w:left w:val="single" w:color="2F5496" w:sz="18" w:space="8"/>
        </w:pBdr>
        <w:shd w:fill="EEF3FA" w:color="auto" w:val="clear"/>
        <w:spacing w:after="160" w:before="60" w:line="264"/>
        <w:ind w:left="240" w:right="120"/>
      </w:pPr>
      <w:r>
        <w:rPr>
          <w:rFonts w:ascii="Calibri" w:cs="Calibri" w:eastAsia="Calibri" w:hAnsi="Calibri"/>
          <w:b/>
          <w:bCs/>
          <w:sz w:val="20"/>
          <w:szCs w:val="20"/>
        </w:rPr>
        <w:t xml:space="preserve">Educational notice.</w:t>
      </w:r>
      <w:r>
        <w:rPr>
          <w:rFonts w:ascii="Calibri" w:cs="Calibri" w:eastAsia="Calibri" w:hAnsi="Calibri"/>
          <w:sz w:val="20"/>
          <w:szCs w:val="20"/>
        </w:rPr>
        <w:t xml:space="preserve"> This is a data-analysis exercise on historical prices. It is not investment advice. The investment club and its stakeholders are </w:t>
      </w:r>
      <w:r>
        <w:rPr>
          <w:rFonts w:ascii="Calibri" w:cs="Calibri" w:eastAsia="Calibri" w:hAnsi="Calibri"/>
          <w:i/>
          <w:iCs/>
          <w:sz w:val="20"/>
          <w:szCs w:val="20"/>
        </w:rPr>
        <w:t xml:space="preserve">assumed</w:t>
      </w:r>
      <w:r>
        <w:rPr>
          <w:rFonts w:ascii="Calibri" w:cs="Calibri" w:eastAsia="Calibri" w:hAnsi="Calibri"/>
          <w:sz w:val="20"/>
          <w:szCs w:val="20"/>
        </w:rPr>
        <w:t xml:space="preserve"> for the exercise.</w:t>
      </w:r>
    </w:p>
    <w:p>
      <w:pPr>
        <w:pStyle w:val="Heading1"/>
        <w:keepNext/>
        <w:spacing w:after="120" w:before="320"/>
      </w:pPr>
      <w:bookmarkStart w:name="sec2" w:id="2"/>
      <w:r>
        <w:rPr>
          <w:rFonts w:ascii="Calibri" w:cs="Calibri" w:eastAsia="Calibri" w:hAnsi="Calibri"/>
          <w:b/>
          <w:bCs/>
          <w:color w:val="1F3864"/>
          <w:sz w:val="30"/>
          <w:szCs w:val="30"/>
        </w:rPr>
        <w:t xml:space="preserve">1. Executive summary</w:t>
      </w:r>
      <w:bookmarkEnd w:id="2"/>
    </w:p>
    <w:p>
      <w:pPr>
        <w:spacing w:after="120" w:line="276"/>
        <w:jc w:val="both"/>
      </w:pPr>
      <w:r>
        <w:rPr>
          <w:rFonts w:ascii="Calibri" w:cs="Calibri" w:eastAsia="Calibri" w:hAnsi="Calibri"/>
          <w:b/>
          <w:bCs/>
        </w:rPr>
        <w:t xml:space="preserve">Business problem.</w:t>
      </w:r>
      <w:r>
        <w:rPr>
          <w:rFonts w:ascii="Calibri" w:cs="Calibri" w:eastAsia="Calibri" w:hAnsi="Calibri"/>
        </w:rPr>
        <w:t xml:space="preserve"> An (assumed) technology-focused investment club asked which of its seven long-held technology shares created value, at what risk, and whether holding them together reduces risk.</w:t>
      </w:r>
    </w:p>
    <w:p>
      <w:pPr>
        <w:spacing w:after="120" w:line="276"/>
        <w:jc w:val="both"/>
      </w:pPr>
      <w:r>
        <w:rPr>
          <w:rFonts w:ascii="Calibri" w:cs="Calibri" w:eastAsia="Calibri" w:hAnsi="Calibri"/>
          <w:b/>
          <w:bCs/>
        </w:rPr>
        <w:t xml:space="preserve">Data.</w:t>
      </w:r>
      <w:r>
        <w:rPr>
          <w:rFonts w:ascii="Calibri" w:cs="Calibri" w:eastAsia="Calibri" w:hAnsi="Calibri"/>
        </w:rPr>
        <w:t xml:space="preserve"> Real monthly Yahoo Finance prices from January 1990 to June 2022 (390 months after cleaning) for IBM, Apple, Microsoft, Xerox, Amazon, Alphabet and Adobe, plus the S&amp;P 500 and NASDAQ Composite. Dell is in the file but has only 70 months of history. Comparisons use a common window of 17.75 years (September 2004 – June 2022).</w:t>
      </w:r>
    </w:p>
    <w:p>
      <w:pPr>
        <w:spacing w:after="120" w:line="276"/>
        <w:jc w:val="both"/>
      </w:pPr>
      <w:r>
        <w:rPr>
          <w:rFonts w:ascii="Calibri" w:cs="Calibri" w:eastAsia="Calibri" w:hAnsi="Calibri"/>
          <w:b/>
          <w:bCs/>
        </w:rPr>
        <w:t xml:space="preserve">Key metrics (common window).</w:t>
      </w:r>
      <w:r>
        <w:rPr>
          <w:rFonts w:ascii="Calibri" w:cs="Calibri" w:eastAsia="Calibri" w:hAnsi="Calibri"/>
        </w:rPr>
        <w:t xml:space="preserve"> Apple CAGR 35.9 %, Amazon 25.0 %, Alphabet 22.1 %, Adobe 16.4 %, Microsoft 16.3 %, IBM 6.1 %, Xerox −2.5 %, against 7.2 % (S&amp;P 500) and 10.5 % (NASDAQ). Annual volatility ranged from 20.9 % to 36.3 % for the holdings, against 14.7 % for the S&amp;P 500.</w:t>
      </w:r>
    </w:p>
    <w:p>
      <w:pPr>
        <w:spacing w:after="120" w:line="276"/>
        <w:jc w:val="both"/>
      </w:pPr>
      <w:r>
        <w:rPr>
          <w:rFonts w:ascii="Calibri" w:cs="Calibri" w:eastAsia="Calibri" w:hAnsi="Calibri"/>
          <w:b/>
          <w:bCs/>
        </w:rPr>
        <w:t xml:space="preserve">Major findings.</w:t>
      </w:r>
    </w:p>
    <w:p>
      <w:pPr>
        <w:pStyle w:val="ListParagraph"/>
        <w:numPr>
          <w:ilvl w:val="0"/>
          <w:numId w:val="2"/>
        </w:numPr>
        <w:spacing w:after="80"/>
      </w:pPr>
      <w:r>
        <w:rPr>
          <w:rFonts w:ascii="Calibri" w:cs="Calibri" w:eastAsia="Calibri" w:hAnsi="Calibri"/>
        </w:rPr>
        <w:t xml:space="preserve">Growth was concentrated in Apple, Amazon and Alphabet; IBM and Xerox did not beat the market.</w:t>
      </w:r>
    </w:p>
    <w:p>
      <w:pPr>
        <w:pStyle w:val="ListParagraph"/>
        <w:numPr>
          <w:ilvl w:val="0"/>
          <w:numId w:val="2"/>
        </w:numPr>
        <w:spacing w:after="80"/>
      </w:pPr>
      <w:r>
        <w:rPr>
          <w:rFonts w:ascii="Calibri" w:cs="Calibri" w:eastAsia="Calibri" w:hAnsi="Calibri"/>
        </w:rPr>
        <w:t xml:space="preserve">Growth came with risk: six of seven holdings fell further than the S&amp;P 500 at their worst point (Xerox −75.5 %, Adobe −65.1 %).</w:t>
      </w:r>
    </w:p>
    <w:p>
      <w:pPr>
        <w:pStyle w:val="ListParagraph"/>
        <w:numPr>
          <w:ilvl w:val="0"/>
          <w:numId w:val="2"/>
        </w:numPr>
        <w:spacing w:after="80"/>
      </w:pPr>
      <w:r>
        <w:rPr>
          <w:rFonts w:ascii="Calibri" w:cs="Calibri" w:eastAsia="Calibri" w:hAnsi="Calibri"/>
        </w:rPr>
        <w:t xml:space="preserve">Every holding fell in every market-stress window tested; no holding was a safe haven.</w:t>
      </w:r>
    </w:p>
    <w:p>
      <w:pPr>
        <w:pStyle w:val="ListParagraph"/>
        <w:numPr>
          <w:ilvl w:val="0"/>
          <w:numId w:val="2"/>
        </w:numPr>
        <w:spacing w:after="80"/>
      </w:pPr>
      <w:r>
        <w:rPr>
          <w:rFonts w:ascii="Calibri" w:cs="Calibri" w:eastAsia="Calibri" w:hAnsi="Calibri"/>
        </w:rPr>
        <w:t xml:space="preserve">Market movements explain only 24 %–46 % of each holding's monthly changes, so company-specific risk is large.</w:t>
      </w:r>
    </w:p>
    <w:p>
      <w:pPr>
        <w:pStyle w:val="ListParagraph"/>
        <w:numPr>
          <w:ilvl w:val="0"/>
          <w:numId w:val="2"/>
        </w:numPr>
        <w:spacing w:after="80"/>
      </w:pPr>
      <w:r>
        <w:rPr>
          <w:rFonts w:ascii="Calibri" w:cs="Calibri" w:eastAsia="Calibri" w:hAnsi="Calibri"/>
        </w:rPr>
        <w:t xml:space="preserve">An equal-weight basket had about 31 % lower volatility than the average single stock, but still fell 48.7 % at its worst.</w:t>
      </w:r>
    </w:p>
    <w:p>
      <w:pPr>
        <w:spacing w:after="120" w:line="276"/>
        <w:jc w:val="both"/>
      </w:pPr>
      <w:r>
        <w:rPr>
          <w:rFonts w:ascii="Calibri" w:cs="Calibri" w:eastAsia="Calibri" w:hAnsi="Calibri"/>
          <w:b/>
          <w:bCs/>
        </w:rPr>
        <w:t xml:space="preserve">Overall conclusion.</w:t>
      </w:r>
      <w:r>
        <w:rPr>
          <w:rFonts w:ascii="Calibri" w:cs="Calibri" w:eastAsia="Calibri" w:hAnsi="Calibri"/>
        </w:rPr>
        <w:t xml:space="preserve"> Holding all seven reduced risk without lowering growth below the single-stock average, but position sizes, stress testing and a review of the weakest holdings (Xerox, IBM) are the main decisions the data point to.</w:t>
      </w:r>
    </w:p>
    <w:p>
      <w:pPr>
        <w:spacing w:after="120" w:line="276"/>
        <w:jc w:val="both"/>
      </w:pPr>
      <w:r>
        <w:rPr>
          <w:rFonts w:ascii="Calibri" w:cs="Calibri" w:eastAsia="Calibri" w:hAnsi="Calibri"/>
          <w:b/>
          <w:bCs/>
        </w:rPr>
        <w:t xml:space="preserve">Important limitations.</w:t>
      </w:r>
      <w:r>
        <w:rPr>
          <w:rFonts w:ascii="Calibri" w:cs="Calibri" w:eastAsia="Calibri" w:hAnsi="Calibri"/>
        </w:rPr>
        <w:t xml:space="preserve"> Prices only (no financials); survivorship bias; unclear price adjustments; monthly data; a partial final month; findings describe the past and do not prove causes or predict the future.</w:t>
      </w:r>
    </w:p>
    <w:p>
      <w:pPr>
        <w:pStyle w:val="Heading1"/>
        <w:keepNext/>
        <w:spacing w:after="120" w:before="320"/>
      </w:pPr>
      <w:bookmarkStart w:name="sec3" w:id="3"/>
      <w:r>
        <w:rPr>
          <w:rFonts w:ascii="Calibri" w:cs="Calibri" w:eastAsia="Calibri" w:hAnsi="Calibri"/>
          <w:b/>
          <w:bCs/>
          <w:color w:val="1F3864"/>
          <w:sz w:val="30"/>
          <w:szCs w:val="30"/>
        </w:rPr>
        <w:t xml:space="preserve">2. Business background and problem statement</w:t>
      </w:r>
      <w:bookmarkEnd w:id="3"/>
    </w:p>
    <w:p>
      <w:pPr>
        <w:pStyle w:val="Heading2"/>
        <w:keepNext/>
        <w:spacing w:after="80" w:before="220"/>
      </w:pPr>
      <w:bookmarkStart w:name="sec4" w:id="4"/>
      <w:r>
        <w:rPr>
          <w:rFonts w:ascii="Calibri" w:cs="Calibri" w:eastAsia="Calibri" w:hAnsi="Calibri"/>
          <w:b/>
          <w:bCs/>
          <w:color w:val="2F5496"/>
          <w:sz w:val="25"/>
          <w:szCs w:val="25"/>
        </w:rPr>
        <w:t xml:space="preserve">2.1 Business background</w:t>
      </w:r>
      <w:bookmarkEnd w:id="4"/>
    </w:p>
    <w:p>
      <w:pPr>
        <w:spacing w:after="120" w:line="276"/>
        <w:jc w:val="both"/>
      </w:pPr>
      <w:r>
        <w:rPr>
          <w:rFonts w:ascii="Calibri" w:cs="Calibri" w:eastAsia="Calibri" w:hAnsi="Calibri"/>
        </w:rPr>
        <w:t xml:space="preserve">A small technology-focused investment club (an </w:t>
      </w:r>
      <w:r>
        <w:rPr>
          <w:rFonts w:ascii="Calibri" w:cs="Calibri" w:eastAsia="Calibri" w:hAnsi="Calibri"/>
          <w:i/>
          <w:iCs/>
        </w:rPr>
        <w:t xml:space="preserve">assumed</w:t>
      </w:r>
      <w:r>
        <w:rPr>
          <w:rFonts w:ascii="Calibri" w:cs="Calibri" w:eastAsia="Calibri" w:hAnsi="Calibri"/>
        </w:rPr>
        <w:t xml:space="preserve"> organisation used for this exercise) holds shares in seven long-established technology companies: </w:t>
      </w:r>
      <w:r>
        <w:rPr>
          <w:rFonts w:ascii="Calibri" w:cs="Calibri" w:eastAsia="Calibri" w:hAnsi="Calibri"/>
          <w:b/>
          <w:bCs/>
        </w:rPr>
        <w:t xml:space="preserve">IBM, Apple, Microsoft, Xerox, Amazon, Alphabet (Google) and Adobe</w:t>
      </w:r>
      <w:r>
        <w:rPr>
          <w:rFonts w:ascii="Calibri" w:cs="Calibri" w:eastAsia="Calibri" w:hAnsi="Calibri"/>
        </w:rPr>
        <w:t xml:space="preserve">. Once a year its investment committee reviews how each holding has performed and how risky it has been, compared with the broad market (the </w:t>
      </w:r>
      <w:r>
        <w:rPr>
          <w:rFonts w:ascii="Calibri" w:cs="Calibri" w:eastAsia="Calibri" w:hAnsi="Calibri"/>
          <w:b/>
          <w:bCs/>
        </w:rPr>
        <w:t xml:space="preserve">S&amp;P 500</w:t>
      </w:r>
      <w:r>
        <w:rPr>
          <w:rFonts w:ascii="Calibri" w:cs="Calibri" w:eastAsia="Calibri" w:hAnsi="Calibri"/>
        </w:rPr>
        <w:t xml:space="preserve"> index) and the technology-heavy </w:t>
      </w:r>
      <w:r>
        <w:rPr>
          <w:rFonts w:ascii="Calibri" w:cs="Calibri" w:eastAsia="Calibri" w:hAnsi="Calibri"/>
          <w:b/>
          <w:bCs/>
        </w:rPr>
        <w:t xml:space="preserve">NASDAQ Composite</w:t>
      </w:r>
      <w:r>
        <w:rPr>
          <w:rFonts w:ascii="Calibri" w:cs="Calibri" w:eastAsia="Calibri" w:hAnsi="Calibri"/>
        </w:rPr>
        <w:t xml:space="preserve"> index. Dell is also in the dataset but has only a short price history.</w:t>
      </w:r>
    </w:p>
    <w:p>
      <w:pPr>
        <w:pStyle w:val="Heading2"/>
        <w:keepNext/>
        <w:spacing w:after="80" w:before="220"/>
      </w:pPr>
      <w:bookmarkStart w:name="sec5" w:id="5"/>
      <w:r>
        <w:rPr>
          <w:rFonts w:ascii="Calibri" w:cs="Calibri" w:eastAsia="Calibri" w:hAnsi="Calibri"/>
          <w:b/>
          <w:bCs/>
          <w:color w:val="2F5496"/>
          <w:sz w:val="25"/>
          <w:szCs w:val="25"/>
        </w:rPr>
        <w:t xml:space="preserve">2.2 Problem statement</w:t>
      </w:r>
      <w:bookmarkEnd w:id="5"/>
    </w:p>
    <w:p>
      <w:pPr>
        <w:spacing w:after="120" w:line="276"/>
        <w:jc w:val="both"/>
      </w:pPr>
      <w:r>
        <w:rPr>
          <w:rFonts w:ascii="Calibri" w:cs="Calibri" w:eastAsia="Calibri" w:hAnsi="Calibri"/>
        </w:rPr>
        <w:t xml:space="preserve">The committee has price histories but no consolidated analysis. It needs to know </w:t>
      </w:r>
      <w:r>
        <w:rPr>
          <w:rFonts w:ascii="Calibri" w:cs="Calibri" w:eastAsia="Calibri" w:hAnsi="Calibri"/>
          <w:b/>
          <w:bCs/>
        </w:rPr>
        <w:t xml:space="preserve">which holdings created value, how much risk was taken to get it, how the holdings behave when markets fall, and whether holding all seven together reduces risk</w:t>
      </w:r>
      <w:r>
        <w:rPr>
          <w:rFonts w:ascii="Calibri" w:cs="Calibri" w:eastAsia="Calibri" w:hAnsi="Calibri"/>
        </w:rPr>
        <w:t xml:space="preserve">, so it can decide where to keep, review or limit its positions.</w:t>
      </w:r>
    </w:p>
    <w:p>
      <w:pPr>
        <w:pStyle w:val="Heading1"/>
        <w:keepNext/>
        <w:spacing w:after="120" w:before="320"/>
      </w:pPr>
      <w:bookmarkStart w:name="sec6" w:id="6"/>
      <w:r>
        <w:rPr>
          <w:rFonts w:ascii="Calibri" w:cs="Calibri" w:eastAsia="Calibri" w:hAnsi="Calibri"/>
          <w:b/>
          <w:bCs/>
          <w:color w:val="1F3864"/>
          <w:sz w:val="30"/>
          <w:szCs w:val="30"/>
        </w:rPr>
        <w:t xml:space="preserve">3. Business objectives and analytical questions</w:t>
      </w:r>
      <w:bookmarkEnd w:id="6"/>
    </w:p>
    <w:p>
      <w:pPr>
        <w:pStyle w:val="Heading2"/>
        <w:keepNext/>
        <w:spacing w:after="80" w:before="220"/>
      </w:pPr>
      <w:bookmarkStart w:name="sec7" w:id="7"/>
      <w:r>
        <w:rPr>
          <w:rFonts w:ascii="Calibri" w:cs="Calibri" w:eastAsia="Calibri" w:hAnsi="Calibri"/>
          <w:b/>
          <w:bCs/>
          <w:color w:val="2F5496"/>
          <w:sz w:val="25"/>
          <w:szCs w:val="25"/>
        </w:rPr>
        <w:t xml:space="preserve">3.1 Business objectives</w:t>
      </w:r>
      <w:bookmarkEnd w:id="7"/>
    </w:p>
    <w:p>
      <w:pPr>
        <w:pStyle w:val="ListParagraph"/>
        <w:numPr>
          <w:ilvl w:val="0"/>
          <w:numId w:val="3"/>
        </w:numPr>
        <w:spacing w:after="80"/>
      </w:pPr>
      <w:r>
        <w:rPr>
          <w:rFonts w:ascii="Calibri" w:cs="Calibri" w:eastAsia="Calibri" w:hAnsi="Calibri"/>
        </w:rPr>
        <w:t xml:space="preserve">Measure the growth and risk of each holding on a fair, comparable basis.</w:t>
      </w:r>
    </w:p>
    <w:p>
      <w:pPr>
        <w:pStyle w:val="ListParagraph"/>
        <w:numPr>
          <w:ilvl w:val="0"/>
          <w:numId w:val="3"/>
        </w:numPr>
        <w:spacing w:after="80"/>
      </w:pPr>
      <w:r>
        <w:rPr>
          <w:rFonts w:ascii="Calibri" w:cs="Calibri" w:eastAsia="Calibri" w:hAnsi="Calibri"/>
        </w:rPr>
        <w:t xml:space="preserve">Understand how closely each holding follows the market and how it behaved in past market downturns.</w:t>
      </w:r>
    </w:p>
    <w:p>
      <w:pPr>
        <w:pStyle w:val="ListParagraph"/>
        <w:numPr>
          <w:ilvl w:val="0"/>
          <w:numId w:val="3"/>
        </w:numPr>
        <w:spacing w:after="80"/>
      </w:pPr>
      <w:r>
        <w:rPr>
          <w:rFonts w:ascii="Calibri" w:cs="Calibri" w:eastAsia="Calibri" w:hAnsi="Calibri"/>
        </w:rPr>
        <w:t xml:space="preserve">Check whether combining the holdings lowers risk.</w:t>
      </w:r>
    </w:p>
    <w:p>
      <w:pPr>
        <w:pStyle w:val="ListParagraph"/>
        <w:numPr>
          <w:ilvl w:val="0"/>
          <w:numId w:val="3"/>
        </w:numPr>
        <w:spacing w:after="80"/>
      </w:pPr>
      <w:r>
        <w:rPr>
          <w:rFonts w:ascii="Calibri" w:cs="Calibri" w:eastAsia="Calibri" w:hAnsi="Calibri"/>
        </w:rPr>
        <w:t xml:space="preserve">Identify unusual months that deserve investigation.</w:t>
      </w:r>
    </w:p>
    <w:p>
      <w:pPr>
        <w:pStyle w:val="ListParagraph"/>
        <w:numPr>
          <w:ilvl w:val="0"/>
          <w:numId w:val="3"/>
        </w:numPr>
        <w:spacing w:after="80"/>
      </w:pPr>
      <w:r>
        <w:rPr>
          <w:rFonts w:ascii="Calibri" w:cs="Calibri" w:eastAsia="Calibri" w:hAnsi="Calibri"/>
        </w:rPr>
        <w:t xml:space="preserve">Turn the evidence into prioritised, testable recommendations.</w:t>
      </w:r>
    </w:p>
    <w:p>
      <w:pPr>
        <w:pStyle w:val="Heading2"/>
        <w:keepNext/>
        <w:spacing w:after="80" w:before="220"/>
      </w:pPr>
      <w:bookmarkStart w:name="sec8" w:id="8"/>
      <w:r>
        <w:rPr>
          <w:rFonts w:ascii="Calibri" w:cs="Calibri" w:eastAsia="Calibri" w:hAnsi="Calibri"/>
          <w:b/>
          <w:bCs/>
          <w:color w:val="2F5496"/>
          <w:sz w:val="25"/>
          <w:szCs w:val="25"/>
        </w:rPr>
        <w:t xml:space="preserve">3.2 Stakeholders (assumed, for this exercise)</w:t>
      </w:r>
      <w:bookmarkEnd w:id="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70"/>
        <w:gridCol w:w="5956"/>
      </w:tblGrid>
      <w:tr>
        <w:trPr>
          <w:cantSplit/>
        </w:trPr>
        <w:tc>
          <w:tcPr>
            <w:tcW w:type="dxa" w:w="3070"/>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20"/>
                <w:szCs w:val="20"/>
              </w:rPr>
              <w:t xml:space="preserve">Stakeholder</w:t>
            </w:r>
          </w:p>
        </w:tc>
        <w:tc>
          <w:tcPr>
            <w:tcW w:type="dxa" w:w="5956"/>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20"/>
                <w:szCs w:val="20"/>
              </w:rPr>
              <w:t xml:space="preserve">What they need from the report</w:t>
            </w:r>
          </w:p>
        </w:tc>
      </w:tr>
      <w:tr>
        <w:trPr>
          <w:cantSplit/>
        </w:trPr>
        <w:tc>
          <w:tcPr>
            <w:tcW w:type="dxa" w:w="307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Investment committee chair</w:t>
            </w:r>
          </w:p>
        </w:tc>
        <w:tc>
          <w:tcPr>
            <w:tcW w:type="dxa" w:w="595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A one-page summary and clear recommendations</w:t>
            </w:r>
          </w:p>
        </w:tc>
      </w:tr>
      <w:tr>
        <w:trPr>
          <w:cantSplit/>
        </w:trPr>
        <w:tc>
          <w:tcPr>
            <w:tcW w:type="dxa" w:w="307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Portfolio manager</w:t>
            </w:r>
          </w:p>
        </w:tc>
        <w:tc>
          <w:tcPr>
            <w:tcW w:type="dxa" w:w="595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Return, risk and ranking of each holding</w:t>
            </w:r>
          </w:p>
        </w:tc>
      </w:tr>
      <w:tr>
        <w:trPr>
          <w:cantSplit/>
        </w:trPr>
        <w:tc>
          <w:tcPr>
            <w:tcW w:type="dxa" w:w="307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Risk manager</w:t>
            </w:r>
          </w:p>
        </w:tc>
        <w:tc>
          <w:tcPr>
            <w:tcW w:type="dxa" w:w="595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Drawdowns, stress behaviour, extreme months</w:t>
            </w:r>
          </w:p>
        </w:tc>
      </w:tr>
    </w:tbl>
    <w:p>
      <w:pPr>
        <w:spacing w:after="120"/>
      </w:pPr>
    </w:p>
    <w:p>
      <w:pPr>
        <w:pStyle w:val="Heading2"/>
        <w:keepNext/>
        <w:spacing w:after="80" w:before="220"/>
      </w:pPr>
      <w:bookmarkStart w:name="sec9" w:id="9"/>
      <w:r>
        <w:rPr>
          <w:rFonts w:ascii="Calibri" w:cs="Calibri" w:eastAsia="Calibri" w:hAnsi="Calibri"/>
          <w:b/>
          <w:bCs/>
          <w:color w:val="2F5496"/>
          <w:sz w:val="25"/>
          <w:szCs w:val="25"/>
        </w:rPr>
        <w:t xml:space="preserve">3.3 Key business questions</w:t>
      </w:r>
      <w:bookmarkEnd w:id="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19"/>
        <w:gridCol w:w="7807"/>
      </w:tblGrid>
      <w:tr>
        <w:trPr>
          <w:cantSplit/>
        </w:trPr>
        <w:tc>
          <w:tcPr>
            <w:tcW w:type="dxa" w:w="1219"/>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20"/>
                <w:szCs w:val="20"/>
              </w:rPr>
              <w:t xml:space="preserve">ID</w:t>
            </w:r>
          </w:p>
        </w:tc>
        <w:tc>
          <w:tcPr>
            <w:tcW w:type="dxa" w:w="7807"/>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20"/>
                <w:szCs w:val="20"/>
              </w:rPr>
              <w:t xml:space="preserve">Business question</w:t>
            </w:r>
          </w:p>
        </w:tc>
      </w:tr>
      <w:tr>
        <w:trPr>
          <w:cantSplit/>
        </w:trPr>
        <w:tc>
          <w:tcPr>
            <w:tcW w:type="dxa" w:w="121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Q1</w:t>
            </w:r>
          </w:p>
        </w:tc>
        <w:tc>
          <w:tcPr>
            <w:tcW w:type="dxa" w:w="780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Which holdings created the most value, and how does that compare with the market indices?</w:t>
            </w:r>
          </w:p>
        </w:tc>
      </w:tr>
      <w:tr>
        <w:trPr>
          <w:cantSplit/>
        </w:trPr>
        <w:tc>
          <w:tcPr>
            <w:tcW w:type="dxa" w:w="121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Q2</w:t>
            </w:r>
          </w:p>
        </w:tc>
        <w:tc>
          <w:tcPr>
            <w:tcW w:type="dxa" w:w="780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How risky was each holding (volatility, largest falls, spread of monthly returns)?</w:t>
            </w:r>
          </w:p>
        </w:tc>
      </w:tr>
      <w:tr>
        <w:trPr>
          <w:cantSplit/>
        </w:trPr>
        <w:tc>
          <w:tcPr>
            <w:tcW w:type="dxa" w:w="121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Q3</w:t>
            </w:r>
          </w:p>
        </w:tc>
        <w:tc>
          <w:tcPr>
            <w:tcW w:type="dxa" w:w="780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Which holdings delivered the most growth for the risk taken?</w:t>
            </w:r>
          </w:p>
        </w:tc>
      </w:tr>
      <w:tr>
        <w:trPr>
          <w:cantSplit/>
        </w:trPr>
        <w:tc>
          <w:tcPr>
            <w:tcW w:type="dxa" w:w="121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Q4</w:t>
            </w:r>
          </w:p>
        </w:tc>
        <w:tc>
          <w:tcPr>
            <w:tcW w:type="dxa" w:w="780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How strongly does each holding follow the market (beta, correlation)?</w:t>
            </w:r>
          </w:p>
        </w:tc>
      </w:tr>
      <w:tr>
        <w:trPr>
          <w:cantSplit/>
        </w:trPr>
        <w:tc>
          <w:tcPr>
            <w:tcW w:type="dxa" w:w="121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Q5</w:t>
            </w:r>
          </w:p>
        </w:tc>
        <w:tc>
          <w:tcPr>
            <w:tcW w:type="dxa" w:w="780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How did the holdings behave in past market-stress periods?</w:t>
            </w:r>
          </w:p>
        </w:tc>
      </w:tr>
      <w:tr>
        <w:trPr>
          <w:cantSplit/>
        </w:trPr>
        <w:tc>
          <w:tcPr>
            <w:tcW w:type="dxa" w:w="121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Q6</w:t>
            </w:r>
          </w:p>
        </w:tc>
        <w:tc>
          <w:tcPr>
            <w:tcW w:type="dxa" w:w="780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Does holding all seven together reduce risk?</w:t>
            </w:r>
          </w:p>
        </w:tc>
      </w:tr>
      <w:tr>
        <w:trPr>
          <w:cantSplit/>
        </w:trPr>
        <w:tc>
          <w:tcPr>
            <w:tcW w:type="dxa" w:w="121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Q7</w:t>
            </w:r>
          </w:p>
        </w:tc>
        <w:tc>
          <w:tcPr>
            <w:tcW w:type="dxa" w:w="780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How consistent were returns from year to year?</w:t>
            </w:r>
          </w:p>
        </w:tc>
      </w:tr>
      <w:tr>
        <w:trPr>
          <w:cantSplit/>
        </w:trPr>
        <w:tc>
          <w:tcPr>
            <w:tcW w:type="dxa" w:w="121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Q8</w:t>
            </w:r>
          </w:p>
        </w:tc>
        <w:tc>
          <w:tcPr>
            <w:tcW w:type="dxa" w:w="780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Which months were unusual, and when did they happen?</w:t>
            </w:r>
          </w:p>
        </w:tc>
      </w:tr>
    </w:tbl>
    <w:p>
      <w:pPr>
        <w:spacing w:after="120"/>
      </w:pPr>
    </w:p>
    <w:p>
      <w:pPr>
        <w:pStyle w:val="Heading2"/>
        <w:keepNext/>
        <w:spacing w:after="80" w:before="220"/>
      </w:pPr>
      <w:bookmarkStart w:name="sec10" w:id="10"/>
      <w:r>
        <w:rPr>
          <w:rFonts w:ascii="Calibri" w:cs="Calibri" w:eastAsia="Calibri" w:hAnsi="Calibri"/>
          <w:b/>
          <w:bCs/>
          <w:color w:val="2F5496"/>
          <w:sz w:val="25"/>
          <w:szCs w:val="25"/>
        </w:rPr>
        <w:t xml:space="preserve">3.4 Reporting requirements: question → metric → visual → decision</w:t>
      </w:r>
      <w:bookmarkEnd w:id="1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35"/>
        <w:gridCol w:w="3303"/>
        <w:gridCol w:w="1284"/>
        <w:gridCol w:w="3304"/>
      </w:tblGrid>
      <w:tr>
        <w:trPr>
          <w:cantSplit/>
        </w:trPr>
        <w:tc>
          <w:tcPr>
            <w:tcW w:type="dxa" w:w="1135"/>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Question</w:t>
            </w:r>
          </w:p>
        </w:tc>
        <w:tc>
          <w:tcPr>
            <w:tcW w:type="dxa" w:w="3303"/>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Metrics needed</w:t>
            </w:r>
          </w:p>
        </w:tc>
        <w:tc>
          <w:tcPr>
            <w:tcW w:type="dxa" w:w="1284"/>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Visual / table</w:t>
            </w:r>
          </w:p>
        </w:tc>
        <w:tc>
          <w:tcPr>
            <w:tcW w:type="dxa" w:w="3304"/>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Decision it supports</w:t>
            </w:r>
          </w:p>
        </w:tc>
      </w:tr>
      <w:tr>
        <w:trPr>
          <w:cantSplit/>
        </w:trPr>
        <w:tc>
          <w:tcPr>
            <w:tcW w:type="dxa" w:w="113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Q1</w:t>
            </w:r>
          </w:p>
        </w:tc>
        <w:tc>
          <w:tcPr>
            <w:tcW w:type="dxa" w:w="330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Total return, CAGR</w:t>
            </w:r>
          </w:p>
        </w:tc>
        <w:tc>
          <w:tcPr>
            <w:tcW w:type="dxa" w:w="128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Fig 1, Fig 2, KPI tables</w:t>
            </w:r>
          </w:p>
        </w:tc>
        <w:tc>
          <w:tcPr>
            <w:tcW w:type="dxa" w:w="330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Which holdings stay as core positions</w:t>
            </w:r>
          </w:p>
        </w:tc>
      </w:tr>
      <w:tr>
        <w:trPr>
          <w:cantSplit/>
        </w:trPr>
        <w:tc>
          <w:tcPr>
            <w:tcW w:type="dxa" w:w="113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Q2</w:t>
            </w:r>
          </w:p>
        </w:tc>
        <w:tc>
          <w:tcPr>
            <w:tcW w:type="dxa" w:w="330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Annualised volatility, maximum drawdown, monthly-return spread</w:t>
            </w:r>
          </w:p>
        </w:tc>
        <w:tc>
          <w:tcPr>
            <w:tcW w:type="dxa" w:w="128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Fig 4, Fig 5, Fig 6</w:t>
            </w:r>
          </w:p>
        </w:tc>
        <w:tc>
          <w:tcPr>
            <w:tcW w:type="dxa" w:w="330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How large each position should be</w:t>
            </w:r>
          </w:p>
        </w:tc>
      </w:tr>
      <w:tr>
        <w:trPr>
          <w:cantSplit/>
        </w:trPr>
        <w:tc>
          <w:tcPr>
            <w:tcW w:type="dxa" w:w="113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Q3</w:t>
            </w:r>
          </w:p>
        </w:tc>
        <w:tc>
          <w:tcPr>
            <w:tcW w:type="dxa" w:w="330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Return-to-risk ratio</w:t>
            </w:r>
          </w:p>
        </w:tc>
        <w:tc>
          <w:tcPr>
            <w:tcW w:type="dxa" w:w="128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Fig 3</w:t>
            </w:r>
          </w:p>
        </w:tc>
        <w:tc>
          <w:tcPr>
            <w:tcW w:type="dxa" w:w="330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How to rank holdings for allocation</w:t>
            </w:r>
          </w:p>
        </w:tc>
      </w:tr>
      <w:tr>
        <w:trPr>
          <w:cantSplit/>
        </w:trPr>
        <w:tc>
          <w:tcPr>
            <w:tcW w:type="dxa" w:w="113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Q4</w:t>
            </w:r>
          </w:p>
        </w:tc>
        <w:tc>
          <w:tcPr>
            <w:tcW w:type="dxa" w:w="330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Beta, correlation with S&amp;P 500</w:t>
            </w:r>
          </w:p>
        </w:tc>
        <w:tc>
          <w:tcPr>
            <w:tcW w:type="dxa" w:w="128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Fig 7, Fig 8</w:t>
            </w:r>
          </w:p>
        </w:tc>
        <w:tc>
          <w:tcPr>
            <w:tcW w:type="dxa" w:w="330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How much market exposure the club carries</w:t>
            </w:r>
          </w:p>
        </w:tc>
      </w:tr>
      <w:tr>
        <w:trPr>
          <w:cantSplit/>
        </w:trPr>
        <w:tc>
          <w:tcPr>
            <w:tcW w:type="dxa" w:w="113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Q5</w:t>
            </w:r>
          </w:p>
        </w:tc>
        <w:tc>
          <w:tcPr>
            <w:tcW w:type="dxa" w:w="330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Largest fall inside defined stress windows</w:t>
            </w:r>
          </w:p>
        </w:tc>
        <w:tc>
          <w:tcPr>
            <w:tcW w:type="dxa" w:w="128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Fig 9</w:t>
            </w:r>
          </w:p>
        </w:tc>
        <w:tc>
          <w:tcPr>
            <w:tcW w:type="dxa" w:w="330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Whether risk limits and stress tests are needed</w:t>
            </w:r>
          </w:p>
        </w:tc>
      </w:tr>
      <w:tr>
        <w:trPr>
          <w:cantSplit/>
        </w:trPr>
        <w:tc>
          <w:tcPr>
            <w:tcW w:type="dxa" w:w="113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Q6</w:t>
            </w:r>
          </w:p>
        </w:tc>
        <w:tc>
          <w:tcPr>
            <w:tcW w:type="dxa" w:w="330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Average pairwise correlation, equal-weight basket volatility and drawdown</w:t>
            </w:r>
          </w:p>
        </w:tc>
        <w:tc>
          <w:tcPr>
            <w:tcW w:type="dxa" w:w="128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Fig 10, Fig 12</w:t>
            </w:r>
          </w:p>
        </w:tc>
        <w:tc>
          <w:tcPr>
            <w:tcW w:type="dxa" w:w="330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Whether to keep a diversified basket</w:t>
            </w:r>
          </w:p>
        </w:tc>
      </w:tr>
      <w:tr>
        <w:trPr>
          <w:cantSplit/>
        </w:trPr>
        <w:tc>
          <w:tcPr>
            <w:tcW w:type="dxa" w:w="113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Q7</w:t>
            </w:r>
          </w:p>
        </w:tc>
        <w:tc>
          <w:tcPr>
            <w:tcW w:type="dxa" w:w="330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Calendar-year returns, share of positive years</w:t>
            </w:r>
          </w:p>
        </w:tc>
        <w:tc>
          <w:tcPr>
            <w:tcW w:type="dxa" w:w="128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Fig 11</w:t>
            </w:r>
          </w:p>
        </w:tc>
        <w:tc>
          <w:tcPr>
            <w:tcW w:type="dxa" w:w="330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What return consistency to expect</w:t>
            </w:r>
          </w:p>
        </w:tc>
      </w:tr>
      <w:tr>
        <w:trPr>
          <w:cantSplit/>
        </w:trPr>
        <w:tc>
          <w:tcPr>
            <w:tcW w:type="dxa" w:w="113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Q8</w:t>
            </w:r>
          </w:p>
        </w:tc>
        <w:tc>
          <w:tcPr>
            <w:tcW w:type="dxa" w:w="330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Months more than 3 standard deviations from a stock's own average</w:t>
            </w:r>
          </w:p>
        </w:tc>
        <w:tc>
          <w:tcPr>
            <w:tcW w:type="dxa" w:w="128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Outlier table</w:t>
            </w:r>
          </w:p>
        </w:tc>
        <w:tc>
          <w:tcPr>
            <w:tcW w:type="dxa" w:w="330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Which events to investigate</w:t>
            </w:r>
          </w:p>
        </w:tc>
      </w:tr>
    </w:tbl>
    <w:p>
      <w:pPr>
        <w:spacing w:after="120"/>
      </w:pPr>
    </w:p>
    <w:p>
      <w:pPr>
        <w:pStyle w:val="Heading1"/>
        <w:keepNext/>
        <w:spacing w:after="120" w:before="320"/>
      </w:pPr>
      <w:bookmarkStart w:name="sec11" w:id="11"/>
      <w:r>
        <w:rPr>
          <w:rFonts w:ascii="Calibri" w:cs="Calibri" w:eastAsia="Calibri" w:hAnsi="Calibri"/>
          <w:b/>
          <w:bCs/>
          <w:color w:val="1F3864"/>
          <w:sz w:val="30"/>
          <w:szCs w:val="30"/>
        </w:rPr>
        <w:t xml:space="preserve">4. Dataset source and description</w:t>
      </w:r>
      <w:bookmarkEnd w:id="1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78"/>
        <w:gridCol w:w="7048"/>
      </w:tblGrid>
      <w:tr>
        <w:trPr>
          <w:cantSplit/>
        </w:trPr>
        <w:tc>
          <w:tcPr>
            <w:tcW w:type="dxa" w:w="1978"/>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20"/>
                <w:szCs w:val="20"/>
              </w:rPr>
              <w:t xml:space="preserve">Item</w:t>
            </w:r>
          </w:p>
        </w:tc>
        <w:tc>
          <w:tcPr>
            <w:tcW w:type="dxa" w:w="7048"/>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20"/>
                <w:szCs w:val="20"/>
              </w:rPr>
              <w:t xml:space="preserve">Detail</w:t>
            </w:r>
          </w:p>
        </w:tc>
      </w:tr>
      <w:tr>
        <w:trPr>
          <w:cantSplit/>
        </w:trPr>
        <w:tc>
          <w:tcPr>
            <w:tcW w:type="dxa" w:w="197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bCs/>
                <w:sz w:val="20"/>
                <w:szCs w:val="20"/>
              </w:rPr>
              <w:t xml:space="preserve">Name</w:t>
            </w:r>
          </w:p>
        </w:tc>
        <w:tc>
          <w:tcPr>
            <w:tcW w:type="dxa" w:w="704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onsolas" w:cs="Consolas" w:eastAsia="Consolas" w:hAnsi="Consolas"/>
                <w:b w:val="false"/>
                <w:bCs w:val="false"/>
                <w:sz w:val="18"/>
                <w:szCs w:val="18"/>
              </w:rPr>
              <w:t xml:space="preserve">Stocks.csv</w:t>
            </w:r>
            <w:r>
              <w:rPr>
                <w:rFonts w:ascii="Calibri" w:cs="Calibri" w:eastAsia="Calibri" w:hAnsi="Calibri"/>
                <w:b w:val="false"/>
                <w:bCs w:val="false"/>
                <w:sz w:val="20"/>
                <w:szCs w:val="20"/>
              </w:rPr>
              <w:t xml:space="preserve"> – monthly stock prices</w:t>
            </w:r>
          </w:p>
        </w:tc>
      </w:tr>
      <w:tr>
        <w:trPr>
          <w:cantSplit/>
        </w:trPr>
        <w:tc>
          <w:tcPr>
            <w:tcW w:type="dxa" w:w="197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bCs/>
                <w:sz w:val="20"/>
                <w:szCs w:val="20"/>
              </w:rPr>
              <w:t xml:space="preserve">Original source</w:t>
            </w:r>
          </w:p>
        </w:tc>
        <w:tc>
          <w:tcPr>
            <w:tcW w:type="dxa" w:w="704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Yahoo Finance, https://finance.yahoo.com (stated in the first line of the file)</w:t>
            </w:r>
          </w:p>
        </w:tc>
      </w:tr>
      <w:tr>
        <w:trPr>
          <w:cantSplit/>
        </w:trPr>
        <w:tc>
          <w:tcPr>
            <w:tcW w:type="dxa" w:w="197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bCs/>
                <w:sz w:val="20"/>
                <w:szCs w:val="20"/>
              </w:rPr>
              <w:t xml:space="preserve">How it is accessed</w:t>
            </w:r>
          </w:p>
        </w:tc>
        <w:tc>
          <w:tcPr>
            <w:tcW w:type="dxa" w:w="704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The file is part of Matplotlib's </w:t>
            </w:r>
            <w:r>
              <w:rPr>
                <w:rFonts w:ascii="Consolas" w:cs="Consolas" w:eastAsia="Consolas" w:hAnsi="Consolas"/>
                <w:b w:val="false"/>
                <w:bCs w:val="false"/>
                <w:sz w:val="18"/>
                <w:szCs w:val="18"/>
              </w:rPr>
              <w:t xml:space="preserve">sample_data</w:t>
            </w:r>
            <w:r>
              <w:rPr>
                <w:rFonts w:ascii="Calibri" w:cs="Calibri" w:eastAsia="Calibri" w:hAnsi="Calibri"/>
                <w:b w:val="false"/>
                <w:bCs w:val="false"/>
                <w:sz w:val="20"/>
                <w:szCs w:val="20"/>
              </w:rPr>
              <w:t xml:space="preserve"> folder (</w:t>
            </w:r>
            <w:r>
              <w:rPr>
                <w:rFonts w:ascii="Consolas" w:cs="Consolas" w:eastAsia="Consolas" w:hAnsi="Consolas"/>
                <w:b w:val="false"/>
                <w:bCs w:val="false"/>
                <w:sz w:val="18"/>
                <w:szCs w:val="18"/>
              </w:rPr>
              <w:t xml:space="preserve">matplotlib.cbook.get_sample_data("Stocks.csv")</w:t>
            </w:r>
            <w:r>
              <w:rPr>
                <w:rFonts w:ascii="Calibri" w:cs="Calibri" w:eastAsia="Calibri" w:hAnsi="Calibri"/>
                <w:b w:val="false"/>
                <w:bCs w:val="false"/>
                <w:sz w:val="20"/>
                <w:szCs w:val="20"/>
              </w:rPr>
              <w:t xml:space="preserve">). It is read from the installed Matplotlib package: no download, account or API key is needed.</w:t>
            </w:r>
          </w:p>
        </w:tc>
      </w:tr>
      <w:tr>
        <w:trPr>
          <w:cantSplit/>
        </w:trPr>
        <w:tc>
          <w:tcPr>
            <w:tcW w:type="dxa" w:w="197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bCs/>
                <w:sz w:val="20"/>
                <w:szCs w:val="20"/>
              </w:rPr>
              <w:t xml:space="preserve">Publisher / usage conditions</w:t>
            </w:r>
          </w:p>
        </w:tc>
        <w:tc>
          <w:tcPr>
            <w:tcW w:type="dxa" w:w="704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Prices come from Yahoo Finance; Matplotlib distributes the file with its documentation examples. Yahoo's own terms govern reuse of its data, so this repository </w:t>
            </w:r>
            <w:r>
              <w:rPr>
                <w:rFonts w:ascii="Calibri" w:cs="Calibri" w:eastAsia="Calibri" w:hAnsi="Calibri"/>
                <w:b/>
                <w:bCs/>
                <w:sz w:val="20"/>
                <w:szCs w:val="20"/>
              </w:rPr>
              <w:t xml:space="preserve">does not copy the raw file</w:t>
            </w:r>
            <w:r>
              <w:rPr>
                <w:rFonts w:ascii="Calibri" w:cs="Calibri" w:eastAsia="Calibri" w:hAnsi="Calibri"/>
                <w:b w:val="false"/>
                <w:bCs w:val="false"/>
                <w:sz w:val="20"/>
                <w:szCs w:val="20"/>
              </w:rPr>
              <w:t xml:space="preserve">; it reads it from Matplotlib at run time.</w:t>
            </w:r>
          </w:p>
        </w:tc>
      </w:tr>
      <w:tr>
        <w:trPr>
          <w:cantSplit/>
        </w:trPr>
        <w:tc>
          <w:tcPr>
            <w:tcW w:type="dxa" w:w="197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bCs/>
                <w:sz w:val="20"/>
                <w:szCs w:val="20"/>
              </w:rPr>
              <w:t xml:space="preserve">Size and period</w:t>
            </w:r>
          </w:p>
        </w:tc>
        <w:tc>
          <w:tcPr>
            <w:tcW w:type="dxa" w:w="704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524 rows × 11 columns, 1990-01-01 to 2022-06-28 (details in Section 6)</w:t>
            </w:r>
          </w:p>
        </w:tc>
      </w:tr>
      <w:tr>
        <w:trPr>
          <w:cantSplit/>
        </w:trPr>
        <w:tc>
          <w:tcPr>
            <w:tcW w:type="dxa" w:w="197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bCs/>
                <w:sz w:val="20"/>
                <w:szCs w:val="20"/>
              </w:rPr>
              <w:t xml:space="preserve">Columns</w:t>
            </w:r>
          </w:p>
        </w:tc>
        <w:tc>
          <w:tcPr>
            <w:tcW w:type="dxa" w:w="704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onsolas" w:cs="Consolas" w:eastAsia="Consolas" w:hAnsi="Consolas"/>
                <w:b w:val="false"/>
                <w:bCs w:val="false"/>
                <w:sz w:val="18"/>
                <w:szCs w:val="18"/>
              </w:rPr>
              <w:t xml:space="preserve">Date</w:t>
            </w:r>
            <w:r>
              <w:rPr>
                <w:rFonts w:ascii="Calibri" w:cs="Calibri" w:eastAsia="Calibri" w:hAnsi="Calibri"/>
                <w:b w:val="false"/>
                <w:bCs w:val="false"/>
                <w:sz w:val="20"/>
                <w:szCs w:val="20"/>
              </w:rPr>
              <w:t xml:space="preserve"> plus ten price columns (data dictionary below)</w:t>
            </w:r>
          </w:p>
        </w:tc>
      </w:tr>
      <w:tr>
        <w:trPr>
          <w:cantSplit/>
        </w:trPr>
        <w:tc>
          <w:tcPr>
            <w:tcW w:type="dxa" w:w="197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bCs/>
                <w:sz w:val="20"/>
                <w:szCs w:val="20"/>
              </w:rPr>
              <w:t xml:space="preserve">Business context</w:t>
            </w:r>
          </w:p>
        </w:tc>
        <w:tc>
          <w:tcPr>
            <w:tcW w:type="dxa" w:w="704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Long-run price history of well-known technology companies and two US stock-market indices</w:t>
            </w:r>
          </w:p>
        </w:tc>
      </w:tr>
      <w:tr>
        <w:trPr>
          <w:cantSplit/>
        </w:trPr>
        <w:tc>
          <w:tcPr>
            <w:tcW w:type="dxa" w:w="197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bCs/>
                <w:sz w:val="20"/>
                <w:szCs w:val="20"/>
              </w:rPr>
              <w:t xml:space="preserve">Why it was chosen</w:t>
            </w:r>
          </w:p>
        </w:tc>
        <w:tc>
          <w:tcPr>
            <w:tcW w:type="dxa" w:w="704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It is real data from a recognised source, is available without internet access or credentials, has a long period (over 32 years), and supports return, risk, market-relationship, stress-period and diversification analysis</w:t>
            </w:r>
          </w:p>
        </w:tc>
      </w:tr>
      <w:tr>
        <w:trPr>
          <w:cantSplit/>
        </w:trPr>
        <w:tc>
          <w:tcPr>
            <w:tcW w:type="dxa" w:w="197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bCs/>
                <w:sz w:val="20"/>
                <w:szCs w:val="20"/>
              </w:rPr>
              <w:t xml:space="preserve">Limitations and biases</w:t>
            </w:r>
          </w:p>
        </w:tc>
        <w:tc>
          <w:tcPr>
            <w:tcW w:type="dxa" w:w="704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Prices only (no revenue, profit, volume, dividends or company information); the companies are today's well-known names (survivorship bias); monthly frequency; the file does not state whether prices are adjusted. See Section 14.</w:t>
            </w:r>
          </w:p>
        </w:tc>
      </w:tr>
    </w:tbl>
    <w:p>
      <w:pPr>
        <w:spacing w:after="120"/>
      </w:pPr>
    </w:p>
    <w:p>
      <w:pPr>
        <w:pBdr>
          <w:left w:val="single" w:color="2F5496" w:sz="18" w:space="8"/>
        </w:pBdr>
        <w:shd w:fill="EEF3FA" w:color="auto" w:val="clear"/>
        <w:spacing w:after="160" w:before="60" w:line="264"/>
        <w:ind w:left="240" w:right="120"/>
      </w:pPr>
      <w:r>
        <w:rPr>
          <w:rFonts w:ascii="Calibri" w:cs="Calibri" w:eastAsia="Calibri" w:hAnsi="Calibri"/>
          <w:b/>
          <w:bCs/>
          <w:sz w:val="20"/>
          <w:szCs w:val="20"/>
        </w:rPr>
        <w:t xml:space="preserve">Why not a sales dataset?</w:t>
      </w:r>
      <w:r>
        <w:rPr>
          <w:rFonts w:ascii="Calibri" w:cs="Calibri" w:eastAsia="Calibri" w:hAnsi="Calibri"/>
          <w:sz w:val="20"/>
          <w:szCs w:val="20"/>
        </w:rPr>
        <w:t xml:space="preserve"> The working environment for this project could not reach most public data sites (for example data portals and the UCI repository), and no retail or sales dataset with clear reuse terms was available offline. Rather than invent data, the project uses this real dataset. If a sales dataset is preferred, the same workflow (business questions → KPIs → charts → insights → recommendations) applies.</w:t>
      </w:r>
    </w:p>
    <w:p>
      <w:pPr>
        <w:spacing w:after="120" w:line="276"/>
        <w:jc w:val="both"/>
      </w:pPr>
      <w:r>
        <w:rPr>
          <w:rFonts w:ascii="Calibri" w:cs="Calibri" w:eastAsia="Calibri" w:hAnsi="Calibri"/>
          <w:b/>
          <w:bCs/>
        </w:rPr>
        <w:t xml:space="preserve">Data dictionary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3"/>
        <w:gridCol w:w="4045"/>
        <w:gridCol w:w="1264"/>
        <w:gridCol w:w="2074"/>
      </w:tblGrid>
      <w:tr>
        <w:trPr>
          <w:cantSplit/>
        </w:trPr>
        <w:tc>
          <w:tcPr>
            <w:tcW w:type="dxa" w:w="1643"/>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Column</w:t>
            </w:r>
          </w:p>
        </w:tc>
        <w:tc>
          <w:tcPr>
            <w:tcW w:type="dxa" w:w="4045"/>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Meaning</w:t>
            </w:r>
          </w:p>
        </w:tc>
        <w:tc>
          <w:tcPr>
            <w:tcW w:type="dxa" w:w="1264"/>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Type</w:t>
            </w:r>
          </w:p>
        </w:tc>
        <w:tc>
          <w:tcPr>
            <w:tcW w:type="dxa" w:w="2074"/>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Unit</w:t>
            </w:r>
          </w:p>
        </w:tc>
      </w:tr>
      <w:tr>
        <w:trPr>
          <w:cantSplit/>
        </w:trPr>
        <w:tc>
          <w:tcPr>
            <w:tcW w:type="dxa" w:w="164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onsolas" w:cs="Consolas" w:eastAsia="Consolas" w:hAnsi="Consolas"/>
                <w:b w:val="false"/>
                <w:bCs w:val="false"/>
                <w:sz w:val="16"/>
                <w:szCs w:val="16"/>
              </w:rPr>
              <w:t xml:space="preserve">Date</w:t>
            </w:r>
          </w:p>
        </w:tc>
        <w:tc>
          <w:tcPr>
            <w:tcW w:type="dxa" w:w="404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Date of the monthly observation (normally the first day of the month)</w:t>
            </w:r>
          </w:p>
        </w:tc>
        <w:tc>
          <w:tcPr>
            <w:tcW w:type="dxa" w:w="126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text → date</w:t>
            </w:r>
          </w:p>
        </w:tc>
        <w:tc>
          <w:tcPr>
            <w:tcW w:type="dxa" w:w="207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w:t>
            </w:r>
          </w:p>
        </w:tc>
      </w:tr>
      <w:tr>
        <w:trPr>
          <w:cantSplit/>
        </w:trPr>
        <w:tc>
          <w:tcPr>
            <w:tcW w:type="dxa" w:w="164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onsolas" w:cs="Consolas" w:eastAsia="Consolas" w:hAnsi="Consolas"/>
                <w:b w:val="false"/>
                <w:bCs w:val="false"/>
                <w:sz w:val="16"/>
                <w:szCs w:val="16"/>
              </w:rPr>
              <w:t xml:space="preserve">IBM</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AAPL</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MSFT</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XRX</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AMZN</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DELL</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GOOGL</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ADBE</w:t>
            </w:r>
          </w:p>
        </w:tc>
        <w:tc>
          <w:tcPr>
            <w:tcW w:type="dxa" w:w="404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Monthly price of IBM, Apple, Microsoft, Xerox, Amazon, Dell, Alphabet (Google Class A), Adobe</w:t>
            </w:r>
          </w:p>
        </w:tc>
        <w:tc>
          <w:tcPr>
            <w:tcW w:type="dxa" w:w="126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decimal</w:t>
            </w:r>
          </w:p>
        </w:tc>
        <w:tc>
          <w:tcPr>
            <w:tcW w:type="dxa" w:w="207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Assumed US dollars per share (not stated in the file)</w:t>
            </w:r>
          </w:p>
        </w:tc>
      </w:tr>
      <w:tr>
        <w:trPr>
          <w:cantSplit/>
        </w:trPr>
        <w:tc>
          <w:tcPr>
            <w:tcW w:type="dxa" w:w="164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onsolas" w:cs="Consolas" w:eastAsia="Consolas" w:hAnsi="Consolas"/>
                <w:b w:val="false"/>
                <w:bCs w:val="false"/>
                <w:sz w:val="16"/>
                <w:szCs w:val="16"/>
              </w:rPr>
              <w:t xml:space="preserve">^GSPC</w:t>
            </w:r>
          </w:p>
        </w:tc>
        <w:tc>
          <w:tcPr>
            <w:tcW w:type="dxa" w:w="404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S&amp;P 500 index level</w:t>
            </w:r>
          </w:p>
        </w:tc>
        <w:tc>
          <w:tcPr>
            <w:tcW w:type="dxa" w:w="126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decimal</w:t>
            </w:r>
          </w:p>
        </w:tc>
        <w:tc>
          <w:tcPr>
            <w:tcW w:type="dxa" w:w="207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Index points</w:t>
            </w:r>
          </w:p>
        </w:tc>
      </w:tr>
      <w:tr>
        <w:trPr>
          <w:cantSplit/>
        </w:trPr>
        <w:tc>
          <w:tcPr>
            <w:tcW w:type="dxa" w:w="164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onsolas" w:cs="Consolas" w:eastAsia="Consolas" w:hAnsi="Consolas"/>
                <w:b w:val="false"/>
                <w:bCs w:val="false"/>
                <w:sz w:val="16"/>
                <w:szCs w:val="16"/>
              </w:rPr>
              <w:t xml:space="preserve">^IXIC</w:t>
            </w:r>
          </w:p>
        </w:tc>
        <w:tc>
          <w:tcPr>
            <w:tcW w:type="dxa" w:w="404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NASDAQ Composite index level</w:t>
            </w:r>
          </w:p>
        </w:tc>
        <w:tc>
          <w:tcPr>
            <w:tcW w:type="dxa" w:w="126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decimal</w:t>
            </w:r>
          </w:p>
        </w:tc>
        <w:tc>
          <w:tcPr>
            <w:tcW w:type="dxa" w:w="207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Index points</w:t>
            </w:r>
          </w:p>
        </w:tc>
      </w:tr>
    </w:tbl>
    <w:p>
      <w:pPr>
        <w:spacing w:after="120"/>
      </w:pPr>
    </w:p>
    <w:p>
      <w:pPr>
        <w:pStyle w:val="Heading1"/>
        <w:keepNext/>
        <w:spacing w:after="120" w:before="320"/>
      </w:pPr>
      <w:bookmarkStart w:name="sec12" w:id="12"/>
      <w:r>
        <w:rPr>
          <w:rFonts w:ascii="Calibri" w:cs="Calibri" w:eastAsia="Calibri" w:hAnsi="Calibri"/>
          <w:b/>
          <w:bCs/>
          <w:color w:val="1F3864"/>
          <w:sz w:val="30"/>
          <w:szCs w:val="30"/>
        </w:rPr>
        <w:t xml:space="preserve">5. Methodology and tools</w:t>
      </w:r>
      <w:bookmarkEnd w:id="12"/>
    </w:p>
    <w:p>
      <w:pPr>
        <w:spacing w:after="120" w:line="276"/>
        <w:jc w:val="both"/>
      </w:pPr>
      <w:r>
        <w:rPr>
          <w:rFonts w:ascii="Calibri" w:cs="Calibri" w:eastAsia="Calibri" w:hAnsi="Calibri"/>
          <w:b/>
          <w:bCs/>
        </w:rPr>
        <w:t xml:space="preserve">Workflow.</w:t>
      </w:r>
      <w:r>
        <w:rPr>
          <w:rFonts w:ascii="Calibri" w:cs="Calibri" w:eastAsia="Calibri" w:hAnsi="Calibri"/>
        </w:rPr>
        <w:t xml:space="preserve"> Business problem → business questions → dataset selection → data-quality checks → cleaning → KPI definition → analysis → visualisation → findings → insights → executive summary → recommendations.</w:t>
      </w:r>
    </w:p>
    <w:p>
      <w:pPr>
        <w:pStyle w:val="ListParagraph"/>
        <w:numPr>
          <w:ilvl w:val="0"/>
          <w:numId w:val="4"/>
        </w:numPr>
        <w:spacing w:after="80"/>
      </w:pPr>
      <w:r>
        <w:rPr>
          <w:rFonts w:ascii="Calibri" w:cs="Calibri" w:eastAsia="Calibri" w:hAnsi="Calibri"/>
          <w:b/>
          <w:bCs/>
        </w:rPr>
        <w:t xml:space="preserve">Business understanding first.</w:t>
      </w:r>
      <w:r>
        <w:rPr>
          <w:rFonts w:ascii="Calibri" w:cs="Calibri" w:eastAsia="Calibri" w:hAnsi="Calibri"/>
        </w:rPr>
        <w:t xml:space="preserve"> The problem, stakeholders (assumed), eight questions and the question → metric → chart → decision mapping (Section 3.4) are placed before any result in both the notebook and this report.</w:t>
      </w:r>
    </w:p>
    <w:p>
      <w:pPr>
        <w:pStyle w:val="ListParagraph"/>
        <w:numPr>
          <w:ilvl w:val="0"/>
          <w:numId w:val="4"/>
        </w:numPr>
        <w:spacing w:after="80"/>
      </w:pPr>
      <w:r>
        <w:rPr>
          <w:rFonts w:ascii="Calibri" w:cs="Calibri" w:eastAsia="Calibri" w:hAnsi="Calibri"/>
          <w:b/>
          <w:bCs/>
        </w:rPr>
        <w:t xml:space="preserve">Dataset selection.</w:t>
      </w:r>
      <w:r>
        <w:rPr>
          <w:rFonts w:ascii="Calibri" w:cs="Calibri" w:eastAsia="Calibri" w:hAnsi="Calibri"/>
        </w:rPr>
        <w:t xml:space="preserve"> A real dataset from a recognised source was needed, available without credentials. Most public data sites could not be reached from the working environment and no retail or sales dataset was available offline; none was invented (see Section 4).</w:t>
      </w:r>
    </w:p>
    <w:p>
      <w:pPr>
        <w:pStyle w:val="ListParagraph"/>
        <w:numPr>
          <w:ilvl w:val="0"/>
          <w:numId w:val="4"/>
        </w:numPr>
        <w:spacing w:after="80"/>
      </w:pPr>
      <w:r>
        <w:rPr>
          <w:rFonts w:ascii="Calibri" w:cs="Calibri" w:eastAsia="Calibri" w:hAnsi="Calibri"/>
          <w:b/>
          <w:bCs/>
        </w:rPr>
        <w:t xml:space="preserve">Reusable code.</w:t>
      </w:r>
      <w:r>
        <w:rPr>
          <w:rFonts w:ascii="Calibri" w:cs="Calibri" w:eastAsia="Calibri" w:hAnsi="Calibri"/>
        </w:rPr>
        <w:t xml:space="preserve"> Loading, cleaning, KPI and chart functions are in </w:t>
      </w:r>
      <w:r>
        <w:rPr>
          <w:rFonts w:ascii="Consolas" w:cs="Consolas" w:eastAsia="Consolas" w:hAnsi="Consolas"/>
          <w:sz w:val="20"/>
          <w:szCs w:val="20"/>
        </w:rPr>
        <w:t xml:space="preserve">src/</w:t>
      </w:r>
      <w:r>
        <w:rPr>
          <w:rFonts w:ascii="Calibri" w:cs="Calibri" w:eastAsia="Calibri" w:hAnsi="Calibri"/>
        </w:rPr>
        <w:t xml:space="preserve"> and are covered by automated tests in </w:t>
      </w:r>
      <w:r>
        <w:rPr>
          <w:rFonts w:ascii="Consolas" w:cs="Consolas" w:eastAsia="Consolas" w:hAnsi="Consolas"/>
          <w:sz w:val="20"/>
          <w:szCs w:val="20"/>
        </w:rPr>
        <w:t xml:space="preserve">tests/test_analysis.py</w:t>
      </w:r>
      <w:r>
        <w:rPr>
          <w:rFonts w:ascii="Calibri" w:cs="Calibri" w:eastAsia="Calibri" w:hAnsi="Calibri"/>
        </w:rPr>
        <w:t xml:space="preserve">.</w:t>
      </w:r>
    </w:p>
    <w:p>
      <w:pPr>
        <w:pStyle w:val="ListParagraph"/>
        <w:numPr>
          <w:ilvl w:val="0"/>
          <w:numId w:val="4"/>
        </w:numPr>
        <w:spacing w:after="80"/>
      </w:pPr>
      <w:r>
        <w:rPr>
          <w:rFonts w:ascii="Calibri" w:cs="Calibri" w:eastAsia="Calibri" w:hAnsi="Calibri"/>
          <w:b/>
          <w:bCs/>
        </w:rPr>
        <w:t xml:space="preserve">Reproducible notebook.</w:t>
      </w:r>
      <w:r>
        <w:rPr>
          <w:rFonts w:ascii="Calibri" w:cs="Calibri" w:eastAsia="Calibri" w:hAnsi="Calibri"/>
        </w:rPr>
        <w:t xml:space="preserve"> </w:t>
      </w:r>
      <w:r>
        <w:rPr>
          <w:rFonts w:ascii="Consolas" w:cs="Consolas" w:eastAsia="Consolas" w:hAnsi="Consolas"/>
          <w:sz w:val="20"/>
          <w:szCs w:val="20"/>
        </w:rPr>
        <w:t xml:space="preserve">notebooks/analytics_report_insights.ipynb</w:t>
      </w:r>
      <w:r>
        <w:rPr>
          <w:rFonts w:ascii="Calibri" w:cs="Calibri" w:eastAsia="Calibri" w:hAnsi="Calibri"/>
        </w:rPr>
        <w:t xml:space="preserve"> runs top to bottom. Its last cell re-calculates every number quoted in the notebook text (139 numbers) and stops with an error if any differ.</w:t>
      </w:r>
    </w:p>
    <w:p>
      <w:pPr>
        <w:pStyle w:val="ListParagraph"/>
        <w:numPr>
          <w:ilvl w:val="0"/>
          <w:numId w:val="4"/>
        </w:numPr>
        <w:spacing w:after="80"/>
      </w:pPr>
      <w:r>
        <w:rPr>
          <w:rFonts w:ascii="Calibri" w:cs="Calibri" w:eastAsia="Calibri" w:hAnsi="Calibri"/>
          <w:b/>
          <w:bCs/>
        </w:rPr>
        <w:t xml:space="preserve">Interpretation rules.</w:t>
      </w:r>
      <w:r>
        <w:rPr>
          <w:rFonts w:ascii="Calibri" w:cs="Calibri" w:eastAsia="Calibri" w:hAnsi="Calibri"/>
        </w:rPr>
        <w:t xml:space="preserve"> Observed facts, interpretations and hypotheses are kept apart. Association is never presented as causation.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91"/>
        <w:gridCol w:w="2249"/>
        <w:gridCol w:w="4186"/>
      </w:tblGrid>
      <w:tr>
        <w:trPr>
          <w:cantSplit/>
        </w:trPr>
        <w:tc>
          <w:tcPr>
            <w:tcW w:type="dxa" w:w="2591"/>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20"/>
                <w:szCs w:val="20"/>
              </w:rPr>
              <w:t xml:space="preserve">Tool</w:t>
            </w:r>
          </w:p>
        </w:tc>
        <w:tc>
          <w:tcPr>
            <w:tcW w:type="dxa" w:w="2249"/>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20"/>
                <w:szCs w:val="20"/>
              </w:rPr>
              <w:t xml:space="preserve">Version used when the notebook was executed</w:t>
            </w:r>
          </w:p>
        </w:tc>
        <w:tc>
          <w:tcPr>
            <w:tcW w:type="dxa" w:w="4186"/>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20"/>
                <w:szCs w:val="20"/>
              </w:rPr>
              <w:t xml:space="preserve">Purpose</w:t>
            </w:r>
          </w:p>
        </w:tc>
      </w:tr>
      <w:tr>
        <w:trPr>
          <w:cantSplit/>
        </w:trPr>
        <w:tc>
          <w:tcPr>
            <w:tcW w:type="dxa" w:w="259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Python</w:t>
            </w:r>
          </w:p>
        </w:tc>
        <w:tc>
          <w:tcPr>
            <w:tcW w:type="dxa" w:w="224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3.13</w:t>
            </w:r>
          </w:p>
        </w:tc>
        <w:tc>
          <w:tcPr>
            <w:tcW w:type="dxa" w:w="418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language</w:t>
            </w:r>
          </w:p>
        </w:tc>
      </w:tr>
      <w:tr>
        <w:trPr>
          <w:cantSplit/>
        </w:trPr>
        <w:tc>
          <w:tcPr>
            <w:tcW w:type="dxa" w:w="259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pandas</w:t>
            </w:r>
          </w:p>
        </w:tc>
        <w:tc>
          <w:tcPr>
            <w:tcW w:type="dxa" w:w="224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3.0.5</w:t>
            </w:r>
          </w:p>
        </w:tc>
        <w:tc>
          <w:tcPr>
            <w:tcW w:type="dxa" w:w="418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tables, cleaning, KPIs</w:t>
            </w:r>
          </w:p>
        </w:tc>
      </w:tr>
      <w:tr>
        <w:trPr>
          <w:cantSplit/>
        </w:trPr>
        <w:tc>
          <w:tcPr>
            <w:tcW w:type="dxa" w:w="259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NumPy</w:t>
            </w:r>
          </w:p>
        </w:tc>
        <w:tc>
          <w:tcPr>
            <w:tcW w:type="dxa" w:w="224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2.5.3</w:t>
            </w:r>
          </w:p>
        </w:tc>
        <w:tc>
          <w:tcPr>
            <w:tcW w:type="dxa" w:w="418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numerical calculations</w:t>
            </w:r>
          </w:p>
        </w:tc>
      </w:tr>
      <w:tr>
        <w:trPr>
          <w:cantSplit/>
        </w:trPr>
        <w:tc>
          <w:tcPr>
            <w:tcW w:type="dxa" w:w="259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Matplotlib / Seaborn</w:t>
            </w:r>
          </w:p>
        </w:tc>
        <w:tc>
          <w:tcPr>
            <w:tcW w:type="dxa" w:w="224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3.11.2 / 0.13.2</w:t>
            </w:r>
          </w:p>
        </w:tc>
        <w:tc>
          <w:tcPr>
            <w:tcW w:type="dxa" w:w="418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charts</w:t>
            </w:r>
          </w:p>
        </w:tc>
      </w:tr>
      <w:tr>
        <w:trPr>
          <w:cantSplit/>
        </w:trPr>
        <w:tc>
          <w:tcPr>
            <w:tcW w:type="dxa" w:w="259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SciPy</w:t>
            </w:r>
          </w:p>
        </w:tc>
        <w:tc>
          <w:tcPr>
            <w:tcW w:type="dxa" w:w="224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1.18.1</w:t>
            </w:r>
          </w:p>
        </w:tc>
        <w:tc>
          <w:tcPr>
            <w:tcW w:type="dxa" w:w="418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rank correlation (Spearman) in the stress analysis</w:t>
            </w:r>
          </w:p>
        </w:tc>
      </w:tr>
      <w:tr>
        <w:trPr>
          <w:cantSplit/>
        </w:trPr>
        <w:tc>
          <w:tcPr>
            <w:tcW w:type="dxa" w:w="259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Jupyter notebook format (</w:t>
            </w:r>
            <w:r>
              <w:rPr>
                <w:rFonts w:ascii="Consolas" w:cs="Consolas" w:eastAsia="Consolas" w:hAnsi="Consolas"/>
                <w:b w:val="false"/>
                <w:bCs w:val="false"/>
                <w:sz w:val="18"/>
                <w:szCs w:val="18"/>
              </w:rPr>
              <w:t xml:space="preserve">.ipynb</w:t>
            </w:r>
            <w:r>
              <w:rPr>
                <w:rFonts w:ascii="Calibri" w:cs="Calibri" w:eastAsia="Calibri" w:hAnsi="Calibri"/>
                <w:b w:val="false"/>
                <w:bCs w:val="false"/>
                <w:sz w:val="20"/>
                <w:szCs w:val="20"/>
              </w:rPr>
              <w:t xml:space="preserve">)</w:t>
            </w:r>
          </w:p>
        </w:tc>
        <w:tc>
          <w:tcPr>
            <w:tcW w:type="dxa" w:w="224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w:t>
            </w:r>
          </w:p>
        </w:tc>
        <w:tc>
          <w:tcPr>
            <w:tcW w:type="dxa" w:w="418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interactive, documented analysis</w:t>
            </w:r>
          </w:p>
        </w:tc>
      </w:tr>
    </w:tbl>
    <w:p>
      <w:pPr>
        <w:spacing w:after="120"/>
      </w:pPr>
    </w:p>
    <w:p>
      <w:pPr>
        <w:spacing w:after="120" w:line="276"/>
        <w:jc w:val="both"/>
      </w:pPr>
      <w:r>
        <w:rPr>
          <w:rFonts w:ascii="Calibri" w:cs="Calibri" w:eastAsia="Calibri" w:hAnsi="Calibri"/>
          <w:i/>
          <w:iCs/>
        </w:rPr>
        <w:t xml:space="preserve">The notebook was executed with a custom Python runner, not the Jupyter application (Jupyter could not be installed in the build environment). Re-running it in Jupyter is a recommended manual check.</w:t>
      </w:r>
    </w:p>
    <w:p>
      <w:pPr>
        <w:pStyle w:val="Heading1"/>
        <w:keepNext/>
        <w:spacing w:after="120" w:before="320"/>
      </w:pPr>
      <w:bookmarkStart w:name="sec13" w:id="13"/>
      <w:r>
        <w:rPr>
          <w:rFonts w:ascii="Calibri" w:cs="Calibri" w:eastAsia="Calibri" w:hAnsi="Calibri"/>
          <w:b/>
          <w:bCs/>
          <w:color w:val="1F3864"/>
          <w:sz w:val="30"/>
          <w:szCs w:val="30"/>
        </w:rPr>
        <w:t xml:space="preserve">6. Data-quality assessment</w:t>
      </w:r>
      <w:bookmarkEnd w:id="13"/>
    </w:p>
    <w:p>
      <w:pPr>
        <w:spacing w:after="120" w:line="276"/>
        <w:jc w:val="both"/>
      </w:pPr>
      <w:r>
        <w:rPr>
          <w:rFonts w:ascii="Calibri" w:cs="Calibri" w:eastAsia="Calibri" w:hAnsi="Calibri"/>
        </w:rPr>
        <w:t xml:space="preserve">Checks were run on the raw file exactly as stored.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81"/>
        <w:gridCol w:w="3745"/>
      </w:tblGrid>
      <w:tr>
        <w:trPr>
          <w:cantSplit/>
        </w:trPr>
        <w:tc>
          <w:tcPr>
            <w:tcW w:type="dxa" w:w="5281"/>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20"/>
                <w:szCs w:val="20"/>
              </w:rPr>
              <w:t xml:space="preserve">Check</w:t>
            </w:r>
          </w:p>
        </w:tc>
        <w:tc>
          <w:tcPr>
            <w:tcW w:type="dxa" w:w="3745"/>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20"/>
                <w:szCs w:val="20"/>
              </w:rPr>
              <w:t xml:space="preserve">Result</w:t>
            </w:r>
          </w:p>
        </w:tc>
      </w:tr>
      <w:tr>
        <w:trPr>
          <w:cantSplit/>
        </w:trPr>
        <w:tc>
          <w:tcPr>
            <w:tcW w:type="dxa" w:w="528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Rows</w:t>
            </w:r>
          </w:p>
        </w:tc>
        <w:tc>
          <w:tcPr>
            <w:tcW w:type="dxa" w:w="374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524</w:t>
            </w:r>
          </w:p>
        </w:tc>
      </w:tr>
      <w:tr>
        <w:trPr>
          <w:cantSplit/>
        </w:trPr>
        <w:tc>
          <w:tcPr>
            <w:tcW w:type="dxa" w:w="528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Columns</w:t>
            </w:r>
          </w:p>
        </w:tc>
        <w:tc>
          <w:tcPr>
            <w:tcW w:type="dxa" w:w="374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11</w:t>
            </w:r>
          </w:p>
        </w:tc>
      </w:tr>
      <w:tr>
        <w:trPr>
          <w:cantSplit/>
        </w:trPr>
        <w:tc>
          <w:tcPr>
            <w:tcW w:type="dxa" w:w="528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First date</w:t>
            </w:r>
          </w:p>
        </w:tc>
        <w:tc>
          <w:tcPr>
            <w:tcW w:type="dxa" w:w="374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1990-01-01</w:t>
            </w:r>
          </w:p>
        </w:tc>
      </w:tr>
      <w:tr>
        <w:trPr>
          <w:cantSplit/>
        </w:trPr>
        <w:tc>
          <w:tcPr>
            <w:tcW w:type="dxa" w:w="528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Last date</w:t>
            </w:r>
          </w:p>
        </w:tc>
        <w:tc>
          <w:tcPr>
            <w:tcW w:type="dxa" w:w="374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2022-06-28</w:t>
            </w:r>
          </w:p>
        </w:tc>
      </w:tr>
      <w:tr>
        <w:trPr>
          <w:cantSplit/>
        </w:trPr>
        <w:tc>
          <w:tcPr>
            <w:tcW w:type="dxa" w:w="528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Dates in increasing order</w:t>
            </w:r>
          </w:p>
        </w:tc>
        <w:tc>
          <w:tcPr>
            <w:tcW w:type="dxa" w:w="374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True</w:t>
            </w:r>
          </w:p>
        </w:tc>
      </w:tr>
      <w:tr>
        <w:trPr>
          <w:cantSplit/>
        </w:trPr>
        <w:tc>
          <w:tcPr>
            <w:tcW w:type="dxa" w:w="528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Rows with no price at all</w:t>
            </w:r>
          </w:p>
        </w:tc>
        <w:tc>
          <w:tcPr>
            <w:tcW w:type="dxa" w:w="374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133</w:t>
            </w:r>
          </w:p>
        </w:tc>
      </w:tr>
      <w:tr>
        <w:trPr>
          <w:cantSplit/>
        </w:trPr>
        <w:tc>
          <w:tcPr>
            <w:tcW w:type="dxa" w:w="528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Exact duplicate rows</w:t>
            </w:r>
          </w:p>
        </w:tc>
        <w:tc>
          <w:tcPr>
            <w:tcW w:type="dxa" w:w="374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0</w:t>
            </w:r>
          </w:p>
        </w:tc>
      </w:tr>
      <w:tr>
        <w:trPr>
          <w:cantSplit/>
        </w:trPr>
        <w:tc>
          <w:tcPr>
            <w:tcW w:type="dxa" w:w="528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Duplicate dates</w:t>
            </w:r>
          </w:p>
        </w:tc>
        <w:tc>
          <w:tcPr>
            <w:tcW w:type="dxa" w:w="374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0</w:t>
            </w:r>
          </w:p>
        </w:tc>
      </w:tr>
      <w:tr>
        <w:trPr>
          <w:cantSplit/>
        </w:trPr>
        <w:tc>
          <w:tcPr>
            <w:tcW w:type="dxa" w:w="528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Extra rows in an already-seen month</w:t>
            </w:r>
          </w:p>
        </w:tc>
        <w:tc>
          <w:tcPr>
            <w:tcW w:type="dxa" w:w="374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1</w:t>
            </w:r>
          </w:p>
        </w:tc>
      </w:tr>
      <w:tr>
        <w:trPr>
          <w:cantSplit/>
        </w:trPr>
        <w:tc>
          <w:tcPr>
            <w:tcW w:type="dxa" w:w="528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Prices that are zero or negative</w:t>
            </w:r>
          </w:p>
        </w:tc>
        <w:tc>
          <w:tcPr>
            <w:tcW w:type="dxa" w:w="374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0</w:t>
            </w:r>
          </w:p>
        </w:tc>
      </w:tr>
      <w:tr>
        <w:trPr>
          <w:cantSplit/>
        </w:trPr>
        <w:tc>
          <w:tcPr>
            <w:tcW w:type="dxa" w:w="528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Missing price cells (all columns)</w:t>
            </w:r>
          </w:p>
        </w:tc>
        <w:tc>
          <w:tcPr>
            <w:tcW w:type="dxa" w:w="374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1915</w:t>
            </w:r>
          </w:p>
        </w:tc>
      </w:tr>
    </w:tbl>
    <w:p>
      <w:pPr>
        <w:spacing w:after="120"/>
      </w:pPr>
    </w:p>
    <w:p>
      <w:pPr>
        <w:spacing w:after="120" w:line="276"/>
        <w:jc w:val="both"/>
      </w:pPr>
      <w:r>
        <w:rPr>
          <w:rFonts w:ascii="Calibri" w:cs="Calibri" w:eastAsia="Calibri" w:hAnsi="Calibri"/>
          <w:b/>
          <w:bCs/>
        </w:rPr>
        <w:t xml:space="preserve">Missing values by column (raw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342"/>
        <w:gridCol w:w="2676"/>
      </w:tblGrid>
      <w:tr>
        <w:trPr>
          <w:cantSplit/>
        </w:trPr>
        <w:tc>
          <w:tcPr>
            <w:tcW w:type="dxa" w:w="3008"/>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20"/>
                <w:szCs w:val="20"/>
              </w:rPr>
              <w:t xml:space="preserve">Column</w:t>
            </w:r>
          </w:p>
        </w:tc>
        <w:tc>
          <w:tcPr>
            <w:tcW w:type="dxa" w:w="3342"/>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20"/>
                <w:szCs w:val="20"/>
              </w:rPr>
              <w:t xml:space="preserve">Missing cells</w:t>
            </w:r>
          </w:p>
        </w:tc>
        <w:tc>
          <w:tcPr>
            <w:tcW w:type="dxa" w:w="2676"/>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20"/>
                <w:szCs w:val="20"/>
              </w:rPr>
              <w:t xml:space="preserve">Share</w:t>
            </w:r>
          </w:p>
        </w:tc>
      </w:tr>
      <w:tr>
        <w:trPr>
          <w:cantSplit/>
        </w:trPr>
        <w:tc>
          <w:tcPr>
            <w:tcW w:type="dxa" w:w="300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IBM</w:t>
            </w:r>
          </w:p>
        </w:tc>
        <w:tc>
          <w:tcPr>
            <w:tcW w:type="dxa" w:w="334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133</w:t>
            </w:r>
          </w:p>
        </w:tc>
        <w:tc>
          <w:tcPr>
            <w:tcW w:type="dxa" w:w="267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25.4%</w:t>
            </w:r>
          </w:p>
        </w:tc>
      </w:tr>
      <w:tr>
        <w:trPr>
          <w:cantSplit/>
        </w:trPr>
        <w:tc>
          <w:tcPr>
            <w:tcW w:type="dxa" w:w="300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AAPL</w:t>
            </w:r>
          </w:p>
        </w:tc>
        <w:tc>
          <w:tcPr>
            <w:tcW w:type="dxa" w:w="334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133</w:t>
            </w:r>
          </w:p>
        </w:tc>
        <w:tc>
          <w:tcPr>
            <w:tcW w:type="dxa" w:w="267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25.4%</w:t>
            </w:r>
          </w:p>
        </w:tc>
      </w:tr>
      <w:tr>
        <w:trPr>
          <w:cantSplit/>
        </w:trPr>
        <w:tc>
          <w:tcPr>
            <w:tcW w:type="dxa" w:w="300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MSFT</w:t>
            </w:r>
          </w:p>
        </w:tc>
        <w:tc>
          <w:tcPr>
            <w:tcW w:type="dxa" w:w="334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133</w:t>
            </w:r>
          </w:p>
        </w:tc>
        <w:tc>
          <w:tcPr>
            <w:tcW w:type="dxa" w:w="267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25.4%</w:t>
            </w:r>
          </w:p>
        </w:tc>
      </w:tr>
      <w:tr>
        <w:trPr>
          <w:cantSplit/>
        </w:trPr>
        <w:tc>
          <w:tcPr>
            <w:tcW w:type="dxa" w:w="300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XRX</w:t>
            </w:r>
          </w:p>
        </w:tc>
        <w:tc>
          <w:tcPr>
            <w:tcW w:type="dxa" w:w="334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133</w:t>
            </w:r>
          </w:p>
        </w:tc>
        <w:tc>
          <w:tcPr>
            <w:tcW w:type="dxa" w:w="267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25.4%</w:t>
            </w:r>
          </w:p>
        </w:tc>
      </w:tr>
      <w:tr>
        <w:trPr>
          <w:cantSplit/>
        </w:trPr>
        <w:tc>
          <w:tcPr>
            <w:tcW w:type="dxa" w:w="300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AMZN</w:t>
            </w:r>
          </w:p>
        </w:tc>
        <w:tc>
          <w:tcPr>
            <w:tcW w:type="dxa" w:w="334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222</w:t>
            </w:r>
          </w:p>
        </w:tc>
        <w:tc>
          <w:tcPr>
            <w:tcW w:type="dxa" w:w="267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42.4%</w:t>
            </w:r>
          </w:p>
        </w:tc>
      </w:tr>
      <w:tr>
        <w:trPr>
          <w:cantSplit/>
        </w:trPr>
        <w:tc>
          <w:tcPr>
            <w:tcW w:type="dxa" w:w="300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DELL</w:t>
            </w:r>
          </w:p>
        </w:tc>
        <w:tc>
          <w:tcPr>
            <w:tcW w:type="dxa" w:w="334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453</w:t>
            </w:r>
          </w:p>
        </w:tc>
        <w:tc>
          <w:tcPr>
            <w:tcW w:type="dxa" w:w="267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86.5%</w:t>
            </w:r>
          </w:p>
        </w:tc>
      </w:tr>
      <w:tr>
        <w:trPr>
          <w:cantSplit/>
        </w:trPr>
        <w:tc>
          <w:tcPr>
            <w:tcW w:type="dxa" w:w="300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GOOGL</w:t>
            </w:r>
          </w:p>
        </w:tc>
        <w:tc>
          <w:tcPr>
            <w:tcW w:type="dxa" w:w="334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309</w:t>
            </w:r>
          </w:p>
        </w:tc>
        <w:tc>
          <w:tcPr>
            <w:tcW w:type="dxa" w:w="267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59.0%</w:t>
            </w:r>
          </w:p>
        </w:tc>
      </w:tr>
      <w:tr>
        <w:trPr>
          <w:cantSplit/>
        </w:trPr>
        <w:tc>
          <w:tcPr>
            <w:tcW w:type="dxa" w:w="300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ADBE</w:t>
            </w:r>
          </w:p>
        </w:tc>
        <w:tc>
          <w:tcPr>
            <w:tcW w:type="dxa" w:w="334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133</w:t>
            </w:r>
          </w:p>
        </w:tc>
        <w:tc>
          <w:tcPr>
            <w:tcW w:type="dxa" w:w="267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25.4%</w:t>
            </w:r>
          </w:p>
        </w:tc>
      </w:tr>
      <w:tr>
        <w:trPr>
          <w:cantSplit/>
        </w:trPr>
        <w:tc>
          <w:tcPr>
            <w:tcW w:type="dxa" w:w="300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^GSPC</w:t>
            </w:r>
          </w:p>
        </w:tc>
        <w:tc>
          <w:tcPr>
            <w:tcW w:type="dxa" w:w="334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133</w:t>
            </w:r>
          </w:p>
        </w:tc>
        <w:tc>
          <w:tcPr>
            <w:tcW w:type="dxa" w:w="267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25.4%</w:t>
            </w:r>
          </w:p>
        </w:tc>
      </w:tr>
      <w:tr>
        <w:trPr>
          <w:cantSplit/>
        </w:trPr>
        <w:tc>
          <w:tcPr>
            <w:tcW w:type="dxa" w:w="300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^IXIC</w:t>
            </w:r>
          </w:p>
        </w:tc>
        <w:tc>
          <w:tcPr>
            <w:tcW w:type="dxa" w:w="334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133</w:t>
            </w:r>
          </w:p>
        </w:tc>
        <w:tc>
          <w:tcPr>
            <w:tcW w:type="dxa" w:w="267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25.4%</w:t>
            </w:r>
          </w:p>
        </w:tc>
      </w:tr>
    </w:tbl>
    <w:p>
      <w:pPr>
        <w:spacing w:after="120"/>
      </w:pPr>
    </w:p>
    <w:p>
      <w:pPr>
        <w:spacing w:after="120" w:line="276"/>
        <w:jc w:val="both"/>
      </w:pPr>
      <w:r>
        <w:rPr>
          <w:rFonts w:ascii="Calibri" w:cs="Calibri" w:eastAsia="Calibri" w:hAnsi="Calibri"/>
          <w:b/>
          <w:bCs/>
        </w:rPr>
        <w:t xml:space="preserve">Check 1 – rows without any price.</w:t>
      </w:r>
      <w:r>
        <w:rPr>
          <w:rFonts w:ascii="Calibri" w:cs="Calibri" w:eastAsia="Calibri" w:hAnsi="Calibri"/>
        </w:rPr>
        <w:t xml:space="preserve"> The table above shows 133 missing values in </w:t>
      </w:r>
      <w:r>
        <w:rPr>
          <w:rFonts w:ascii="Calibri" w:cs="Calibri" w:eastAsia="Calibri" w:hAnsi="Calibri"/>
          <w:i/>
          <w:iCs/>
        </w:rPr>
        <w:t xml:space="preserve">every</w:t>
      </w:r>
      <w:r>
        <w:rPr>
          <w:rFonts w:ascii="Calibri" w:cs="Calibri" w:eastAsia="Calibri" w:hAnsi="Calibri"/>
        </w:rPr>
        <w:t xml:space="preserve"> column, which suggests the same rows are empty across all columns. A second check confirmed it.</w:t>
      </w:r>
    </w:p>
    <w:p>
      <w:pPr>
        <w:spacing w:after="120" w:line="276"/>
        <w:jc w:val="both"/>
      </w:pPr>
      <w:r>
        <w:rPr>
          <w:rFonts w:ascii="Calibri" w:cs="Calibri" w:eastAsia="Calibri" w:hAnsi="Calibri"/>
          <w:b/>
          <w:bCs/>
        </w:rPr>
        <w:t xml:space="preserve">Interpretation.</w:t>
      </w:r>
      <w:r>
        <w:rPr>
          <w:rFonts w:ascii="Calibri" w:cs="Calibri" w:eastAsia="Calibri" w:hAnsi="Calibri"/>
        </w:rPr>
        <w:t xml:space="preserve"> 133 rows (25.4 % of the file) contain a date but no price in any column. They all fall in February, May, August or November, roughly once per quarter, on days other than the 1st. They are placeholder rows, not months with missing data, and carry no information. They are removed in the cleaning step. This is a fact established by the code above; why Yahoo's export contains them is not documented in the file.</w:t>
      </w:r>
    </w:p>
    <w:p>
      <w:pPr>
        <w:spacing w:after="120" w:line="276"/>
        <w:jc w:val="both"/>
      </w:pPr>
      <w:r>
        <w:rPr>
          <w:rFonts w:ascii="Calibri" w:cs="Calibri" w:eastAsia="Calibri" w:hAnsi="Calibri"/>
          <w:b/>
          <w:bCs/>
        </w:rPr>
        <w:t xml:space="preserve">Interpretation.</w:t>
      </w:r>
      <w:r>
        <w:rPr>
          <w:rFonts w:ascii="Calibri" w:cs="Calibri" w:eastAsia="Calibri" w:hAnsi="Calibri"/>
        </w:rPr>
        <w:t xml:space="preserve"> After the empty rows are ignored, Amazon, Alphabet and Dell still have missing values, but only </w:t>
      </w:r>
      <w:r>
        <w:rPr>
          <w:rFonts w:ascii="Calibri" w:cs="Calibri" w:eastAsia="Calibri" w:hAnsi="Calibri"/>
          <w:i/>
          <w:iCs/>
        </w:rPr>
        <w:t xml:space="preserve">before</w:t>
      </w:r>
      <w:r>
        <w:rPr>
          <w:rFonts w:ascii="Calibri" w:cs="Calibri" w:eastAsia="Calibri" w:hAnsi="Calibri"/>
        </w:rPr>
        <w:t xml:space="preserve"> their first price (Amazon from June 1997, Alphabet from September 2004, Dell from September 2016). These gaps are real: the company had no price in the file yet. They are </w:t>
      </w:r>
      <w:r>
        <w:rPr>
          <w:rFonts w:ascii="Calibri" w:cs="Calibri" w:eastAsia="Calibri" w:hAnsi="Calibri"/>
          <w:b/>
          <w:bCs/>
        </w:rPr>
        <w:t xml:space="preserve">not filled in</w:t>
      </w:r>
      <w:r>
        <w:rPr>
          <w:rFonts w:ascii="Calibri" w:cs="Calibri" w:eastAsia="Calibri" w:hAnsi="Calibri"/>
        </w:rPr>
        <w:t xml:space="preserve">, because inventing prices would distort returns. Dell has only 70 months of prices once the duplicate June 2022 row is removed, so it is not compared with the longer histories.</w:t>
      </w:r>
    </w:p>
    <w:p>
      <w:pPr>
        <w:spacing w:after="120" w:line="276"/>
        <w:jc w:val="both"/>
      </w:pPr>
      <w:r>
        <w:rPr>
          <w:rFonts w:ascii="Calibri" w:cs="Calibri" w:eastAsia="Calibri" w:hAnsi="Calibri"/>
          <w:b/>
          <w:bCs/>
        </w:rPr>
        <w:t xml:space="preserve">Interpretation.</w:t>
      </w:r>
      <w:r>
        <w:rPr>
          <w:rFonts w:ascii="Calibri" w:cs="Calibri" w:eastAsia="Calibri" w:hAnsi="Calibri"/>
        </w:rPr>
        <w:t xml:space="preserve"> There are no exact duplicate rows and no repeated dates. However, June 2022 appears twice (dated 2022-06-01 and 2022-06-28) and all ten prices are identical. The second row is a duplicate of the same month, and it also shows that the June 2022 value is a price </w:t>
      </w:r>
      <w:r>
        <w:rPr>
          <w:rFonts w:ascii="Calibri" w:cs="Calibri" w:eastAsia="Calibri" w:hAnsi="Calibri"/>
          <w:b/>
          <w:bCs/>
        </w:rPr>
        <w:t xml:space="preserve">as of 28 June 2022</w:t>
      </w:r>
      <w:r>
        <w:rPr>
          <w:rFonts w:ascii="Calibri" w:cs="Calibri" w:eastAsia="Calibri" w:hAnsi="Calibri"/>
        </w:rPr>
        <w:t xml:space="preserve">, so June 2022 is a partial month. The duplicate row is removed, and the partial month is kept and noted as a limitation.</w:t>
      </w:r>
    </w:p>
    <w:p>
      <w:pPr>
        <w:spacing w:after="120" w:line="276"/>
        <w:jc w:val="both"/>
      </w:pPr>
      <w:r>
        <w:rPr>
          <w:rFonts w:ascii="Calibri" w:cs="Calibri" w:eastAsia="Calibri" w:hAnsi="Calibri"/>
          <w:b/>
          <w:bCs/>
        </w:rPr>
        <w:t xml:space="preserve">Interpretation.</w:t>
      </w:r>
      <w:r>
        <w:rPr>
          <w:rFonts w:ascii="Calibri" w:cs="Calibri" w:eastAsia="Calibri" w:hAnsi="Calibri"/>
        </w:rPr>
        <w:t xml:space="preserve"> Every price is above zero, so percentage returns can be calculated. The wide ranges (for example Alphabet's maximum above 2,900 and Apple's minimum of 0.10) are consistent with long histories, and with prices that have been adjusted for share splits. The file does not say which adjustments were made; this is documented as an assumption in Section 14.</w:t>
      </w:r>
    </w:p>
    <w:p>
      <w:pPr>
        <w:spacing w:after="120" w:line="276"/>
        <w:jc w:val="both"/>
      </w:pPr>
      <w:r>
        <w:rPr>
          <w:rFonts w:ascii="Calibri" w:cs="Calibri" w:eastAsia="Calibri" w:hAnsi="Calibri"/>
          <w:b/>
          <w:bCs/>
        </w:rPr>
        <w:t xml:space="preserve">Check – are the fields suitable for the planned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76"/>
        <w:gridCol w:w="3059"/>
        <w:gridCol w:w="2091"/>
      </w:tblGrid>
      <w:tr>
        <w:trPr>
          <w:cantSplit/>
        </w:trPr>
        <w:tc>
          <w:tcPr>
            <w:tcW w:type="dxa" w:w="3876"/>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20"/>
                <w:szCs w:val="20"/>
              </w:rPr>
              <w:t xml:space="preserve">KPI group</w:t>
            </w:r>
          </w:p>
        </w:tc>
        <w:tc>
          <w:tcPr>
            <w:tcW w:type="dxa" w:w="3059"/>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20"/>
                <w:szCs w:val="20"/>
              </w:rPr>
              <w:t xml:space="preserve">Fields needed</w:t>
            </w:r>
          </w:p>
        </w:tc>
        <w:tc>
          <w:tcPr>
            <w:tcW w:type="dxa" w:w="2091"/>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20"/>
                <w:szCs w:val="20"/>
              </w:rPr>
              <w:t xml:space="preserve">Available?</w:t>
            </w:r>
          </w:p>
        </w:tc>
      </w:tr>
      <w:tr>
        <w:trPr>
          <w:cantSplit/>
        </w:trPr>
        <w:tc>
          <w:tcPr>
            <w:tcW w:type="dxa" w:w="387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Total return, CAGR, volatility, drawdown, beta, correlation</w:t>
            </w:r>
          </w:p>
        </w:tc>
        <w:tc>
          <w:tcPr>
            <w:tcW w:type="dxa" w:w="305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Monthly price per ticker</w:t>
            </w:r>
          </w:p>
        </w:tc>
        <w:tc>
          <w:tcPr>
            <w:tcW w:type="dxa" w:w="209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Yes</w:t>
            </w:r>
          </w:p>
        </w:tc>
      </w:tr>
      <w:tr>
        <w:trPr>
          <w:cantSplit/>
        </w:trPr>
        <w:tc>
          <w:tcPr>
            <w:tcW w:type="dxa" w:w="387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Calendar-year returns</w:t>
            </w:r>
          </w:p>
        </w:tc>
        <w:tc>
          <w:tcPr>
            <w:tcW w:type="dxa" w:w="305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December price of each year</w:t>
            </w:r>
          </w:p>
        </w:tc>
        <w:tc>
          <w:tcPr>
            <w:tcW w:type="dxa" w:w="209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Yes</w:t>
            </w:r>
          </w:p>
        </w:tc>
      </w:tr>
      <w:tr>
        <w:trPr>
          <w:cantSplit/>
        </w:trPr>
        <w:tc>
          <w:tcPr>
            <w:tcW w:type="dxa" w:w="387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Revenue, profit, margin, trading volume, dividend yield</w:t>
            </w:r>
          </w:p>
        </w:tc>
        <w:tc>
          <w:tcPr>
            <w:tcW w:type="dxa" w:w="305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Company financials, volume, dividends</w:t>
            </w:r>
          </w:p>
        </w:tc>
        <w:tc>
          <w:tcPr>
            <w:tcW w:type="dxa" w:w="209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bCs/>
                <w:sz w:val="20"/>
                <w:szCs w:val="20"/>
              </w:rPr>
              <w:t xml:space="preserve">No – not in the file, so none of these are calculated</w:t>
            </w:r>
          </w:p>
        </w:tc>
      </w:tr>
    </w:tbl>
    <w:p>
      <w:pPr>
        <w:spacing w:after="120"/>
      </w:pPr>
    </w:p>
    <w:p>
      <w:pPr>
        <w:pStyle w:val="Heading1"/>
        <w:keepNext/>
        <w:spacing w:after="120" w:before="320"/>
      </w:pPr>
      <w:bookmarkStart w:name="sec14" w:id="14"/>
      <w:r>
        <w:rPr>
          <w:rFonts w:ascii="Calibri" w:cs="Calibri" w:eastAsia="Calibri" w:hAnsi="Calibri"/>
          <w:b/>
          <w:bCs/>
          <w:color w:val="1F3864"/>
          <w:sz w:val="30"/>
          <w:szCs w:val="30"/>
        </w:rPr>
        <w:t xml:space="preserve">7. Data cleaning and preprocessing</w:t>
      </w:r>
      <w:bookmarkEnd w:id="14"/>
    </w:p>
    <w:p>
      <w:pPr>
        <w:spacing w:after="120" w:line="276"/>
        <w:jc w:val="both"/>
      </w:pPr>
      <w:r>
        <w:rPr>
          <w:rFonts w:ascii="Calibri" w:cs="Calibri" w:eastAsia="Calibri" w:hAnsi="Calibri"/>
        </w:rPr>
        <w:t xml:space="preserve">Cleaning steps, each justified by a finding in Section 6:</w:t>
      </w:r>
    </w:p>
    <w:p>
      <w:pPr>
        <w:pStyle w:val="ListParagraph"/>
        <w:numPr>
          <w:ilvl w:val="0"/>
          <w:numId w:val="5"/>
        </w:numPr>
        <w:spacing w:after="80"/>
      </w:pPr>
      <w:r>
        <w:rPr>
          <w:rFonts w:ascii="Calibri" w:cs="Calibri" w:eastAsia="Calibri" w:hAnsi="Calibri"/>
        </w:rPr>
        <w:t xml:space="preserve">Convert </w:t>
      </w:r>
      <w:r>
        <w:rPr>
          <w:rFonts w:ascii="Consolas" w:cs="Consolas" w:eastAsia="Consolas" w:hAnsi="Consolas"/>
          <w:sz w:val="20"/>
          <w:szCs w:val="20"/>
        </w:rPr>
        <w:t xml:space="preserve">Date</w:t>
      </w:r>
      <w:r>
        <w:rPr>
          <w:rFonts w:ascii="Calibri" w:cs="Calibri" w:eastAsia="Calibri" w:hAnsi="Calibri"/>
        </w:rPr>
        <w:t xml:space="preserve"> to a real date.</w:t>
      </w:r>
    </w:p>
    <w:p>
      <w:pPr>
        <w:pStyle w:val="ListParagraph"/>
        <w:numPr>
          <w:ilvl w:val="0"/>
          <w:numId w:val="5"/>
        </w:numPr>
        <w:spacing w:after="80"/>
      </w:pPr>
      <w:r>
        <w:rPr>
          <w:rFonts w:ascii="Calibri" w:cs="Calibri" w:eastAsia="Calibri" w:hAnsi="Calibri"/>
        </w:rPr>
        <w:t xml:space="preserve">Remove the 133 rows with no price.</w:t>
      </w:r>
    </w:p>
    <w:p>
      <w:pPr>
        <w:pStyle w:val="ListParagraph"/>
        <w:numPr>
          <w:ilvl w:val="0"/>
          <w:numId w:val="5"/>
        </w:numPr>
        <w:spacing w:after="80"/>
      </w:pPr>
      <w:r>
        <w:rPr>
          <w:rFonts w:ascii="Calibri" w:cs="Calibri" w:eastAsia="Calibri" w:hAnsi="Calibri"/>
        </w:rPr>
        <w:t xml:space="preserve">Keep only the first row of each calendar month (removes the duplicate June 2022 row).</w:t>
      </w:r>
    </w:p>
    <w:p>
      <w:pPr>
        <w:pStyle w:val="ListParagraph"/>
        <w:numPr>
          <w:ilvl w:val="0"/>
          <w:numId w:val="5"/>
        </w:numPr>
        <w:spacing w:after="80"/>
      </w:pPr>
      <w:r>
        <w:rPr>
          <w:rFonts w:ascii="Calibri" w:cs="Calibri" w:eastAsia="Calibri" w:hAnsi="Calibri"/>
        </w:rPr>
        <w:t xml:space="preserve">Use the month as the table index. Remaining missing values (before a company's first price) are left as missing.</w:t>
      </w:r>
    </w:p>
    <w:p>
      <w:pPr>
        <w:spacing w:after="120" w:line="276"/>
        <w:jc w:val="both"/>
      </w:pPr>
      <w:r>
        <w:rPr>
          <w:rFonts w:ascii="Calibri" w:cs="Calibri" w:eastAsia="Calibri" w:hAnsi="Calibri"/>
        </w:rPr>
        <w:t xml:space="preserve">The raw data are never modified; the cleaned table is a new object.</w:t>
      </w:r>
    </w:p>
    <w:p>
      <w:pPr>
        <w:spacing w:after="120" w:line="276"/>
        <w:jc w:val="both"/>
      </w:pPr>
      <w:r>
        <w:rPr>
          <w:rFonts w:ascii="Calibri" w:cs="Calibri" w:eastAsia="Calibri" w:hAnsi="Calibri"/>
          <w:b/>
          <w:bCs/>
        </w:rPr>
        <w:t xml:space="preserve">Before and after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68"/>
        <w:gridCol w:w="2728"/>
        <w:gridCol w:w="2730"/>
      </w:tblGrid>
      <w:tr>
        <w:trPr>
          <w:cantSplit/>
        </w:trPr>
        <w:tc>
          <w:tcPr>
            <w:tcW w:type="dxa" w:w="3568"/>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20"/>
                <w:szCs w:val="20"/>
              </w:rPr>
              <w:t xml:space="preserve">Measure</w:t>
            </w:r>
          </w:p>
        </w:tc>
        <w:tc>
          <w:tcPr>
            <w:tcW w:type="dxa" w:w="2728"/>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20"/>
                <w:szCs w:val="20"/>
              </w:rPr>
              <w:t xml:space="preserve">Before cleaning</w:t>
            </w:r>
          </w:p>
        </w:tc>
        <w:tc>
          <w:tcPr>
            <w:tcW w:type="dxa" w:w="2730"/>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20"/>
                <w:szCs w:val="20"/>
              </w:rPr>
              <w:t xml:space="preserve">After cleaning</w:t>
            </w:r>
          </w:p>
        </w:tc>
      </w:tr>
      <w:tr>
        <w:trPr>
          <w:cantSplit/>
        </w:trPr>
        <w:tc>
          <w:tcPr>
            <w:tcW w:type="dxa" w:w="356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Rows</w:t>
            </w:r>
          </w:p>
        </w:tc>
        <w:tc>
          <w:tcPr>
            <w:tcW w:type="dxa" w:w="272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524</w:t>
            </w:r>
          </w:p>
        </w:tc>
        <w:tc>
          <w:tcPr>
            <w:tcW w:type="dxa" w:w="273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390</w:t>
            </w:r>
          </w:p>
        </w:tc>
      </w:tr>
      <w:tr>
        <w:trPr>
          <w:cantSplit/>
        </w:trPr>
        <w:tc>
          <w:tcPr>
            <w:tcW w:type="dxa" w:w="356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Rows with no price</w:t>
            </w:r>
          </w:p>
        </w:tc>
        <w:tc>
          <w:tcPr>
            <w:tcW w:type="dxa" w:w="272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133</w:t>
            </w:r>
          </w:p>
        </w:tc>
        <w:tc>
          <w:tcPr>
            <w:tcW w:type="dxa" w:w="273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0</w:t>
            </w:r>
          </w:p>
        </w:tc>
      </w:tr>
      <w:tr>
        <w:trPr>
          <w:cantSplit/>
        </w:trPr>
        <w:tc>
          <w:tcPr>
            <w:tcW w:type="dxa" w:w="356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Repeated-month rows</w:t>
            </w:r>
          </w:p>
        </w:tc>
        <w:tc>
          <w:tcPr>
            <w:tcW w:type="dxa" w:w="272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1</w:t>
            </w:r>
          </w:p>
        </w:tc>
        <w:tc>
          <w:tcPr>
            <w:tcW w:type="dxa" w:w="273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0</w:t>
            </w:r>
          </w:p>
        </w:tc>
      </w:tr>
      <w:tr>
        <w:trPr>
          <w:cantSplit/>
        </w:trPr>
        <w:tc>
          <w:tcPr>
            <w:tcW w:type="dxa" w:w="356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Missing price cells</w:t>
            </w:r>
          </w:p>
        </w:tc>
        <w:tc>
          <w:tcPr>
            <w:tcW w:type="dxa" w:w="272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1915</w:t>
            </w:r>
          </w:p>
        </w:tc>
        <w:tc>
          <w:tcPr>
            <w:tcW w:type="dxa" w:w="273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585</w:t>
            </w:r>
          </w:p>
        </w:tc>
      </w:tr>
      <w:tr>
        <w:trPr>
          <w:cantSplit/>
        </w:trPr>
        <w:tc>
          <w:tcPr>
            <w:tcW w:type="dxa" w:w="356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First date</w:t>
            </w:r>
          </w:p>
        </w:tc>
        <w:tc>
          <w:tcPr>
            <w:tcW w:type="dxa" w:w="272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1990-01-01</w:t>
            </w:r>
          </w:p>
        </w:tc>
        <w:tc>
          <w:tcPr>
            <w:tcW w:type="dxa" w:w="273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1990-01-01</w:t>
            </w:r>
          </w:p>
        </w:tc>
      </w:tr>
      <w:tr>
        <w:trPr>
          <w:cantSplit/>
        </w:trPr>
        <w:tc>
          <w:tcPr>
            <w:tcW w:type="dxa" w:w="356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Last date</w:t>
            </w:r>
          </w:p>
        </w:tc>
        <w:tc>
          <w:tcPr>
            <w:tcW w:type="dxa" w:w="272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2022-06-28</w:t>
            </w:r>
          </w:p>
        </w:tc>
        <w:tc>
          <w:tcPr>
            <w:tcW w:type="dxa" w:w="273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2022-06-01</w:t>
            </w:r>
          </w:p>
        </w:tc>
      </w:tr>
    </w:tbl>
    <w:p>
      <w:pPr>
        <w:spacing w:after="120"/>
      </w:pPr>
    </w:p>
    <w:p>
      <w:pPr>
        <w:spacing w:after="120" w:line="276"/>
        <w:jc w:val="both"/>
      </w:pPr>
      <w:r>
        <w:rPr>
          <w:rFonts w:ascii="Calibri" w:cs="Calibri" w:eastAsia="Calibri" w:hAnsi="Calibri"/>
          <w:b/>
          <w:bCs/>
        </w:rPr>
        <w:t xml:space="preserve">Interpretation.</w:t>
      </w:r>
      <w:r>
        <w:rPr>
          <w:rFonts w:ascii="Calibri" w:cs="Calibri" w:eastAsia="Calibri" w:hAnsi="Calibri"/>
        </w:rPr>
        <w:t xml:space="preserve"> The file shrinks from 524 rows to 390, which is exactly 32 years and 6 months of monthly data (January 1990 to June 2022). The 585 remaining missing cells are all the "before first listing" gaps shown above (Amazon 89, Alphabet 176, Dell 320).</w:t>
      </w:r>
    </w:p>
    <w:p>
      <w:pPr>
        <w:spacing w:after="120" w:line="276"/>
        <w:jc w:val="both"/>
      </w:pPr>
      <w:r>
        <w:rPr>
          <w:rFonts w:ascii="Calibri" w:cs="Calibri" w:eastAsia="Calibri" w:hAnsi="Calibri"/>
          <w:b/>
          <w:bCs/>
        </w:rPr>
        <w:t xml:space="preserve">Comparable-period decision.</w:t>
      </w:r>
      <w:r>
        <w:rPr>
          <w:rFonts w:ascii="Calibri" w:cs="Calibri" w:eastAsia="Calibri" w:hAnsi="Calibri"/>
        </w:rPr>
        <w:t xml:space="preserve"> Companies enter the data at different dates, so comparing a 1990 start with a 2004 start would be unfair. The analysis therefore uses two views:</w:t>
      </w:r>
    </w:p>
    <w:p>
      <w:pPr>
        <w:pStyle w:val="ListParagraph"/>
        <w:numPr>
          <w:ilvl w:val="0"/>
          <w:numId w:val="6"/>
        </w:numPr>
        <w:spacing w:after="60"/>
      </w:pPr>
      <w:r>
        <w:rPr>
          <w:rFonts w:ascii="Calibri" w:cs="Calibri" w:eastAsia="Calibri" w:hAnsi="Calibri"/>
          <w:b/>
          <w:bCs/>
        </w:rPr>
        <w:t xml:space="preserve">Full history</w:t>
      </w:r>
      <w:r>
        <w:rPr>
          <w:rFonts w:ascii="Calibri" w:cs="Calibri" w:eastAsia="Calibri" w:hAnsi="Calibri"/>
        </w:rPr>
        <w:t xml:space="preserve"> – each series over its own available months (shows long-run behaviour).</w:t>
      </w:r>
    </w:p>
    <w:p>
      <w:pPr>
        <w:pStyle w:val="ListParagraph"/>
        <w:numPr>
          <w:ilvl w:val="0"/>
          <w:numId w:val="6"/>
        </w:numPr>
        <w:spacing w:after="60"/>
      </w:pPr>
      <w:r>
        <w:rPr>
          <w:rFonts w:ascii="Calibri" w:cs="Calibri" w:eastAsia="Calibri" w:hAnsi="Calibri"/>
          <w:b/>
          <w:bCs/>
        </w:rPr>
        <w:t xml:space="preserve">Common window</w:t>
      </w:r>
      <w:r>
        <w:rPr>
          <w:rFonts w:ascii="Calibri" w:cs="Calibri" w:eastAsia="Calibri" w:hAnsi="Calibri"/>
        </w:rPr>
        <w:t xml:space="preserve"> – the same months for all seven holdings and both indices, from the month Alphabet first has a price. All rankings and risk comparisons use this window.</w:t>
      </w:r>
    </w:p>
    <w:p>
      <w:pPr>
        <w:spacing w:after="120" w:line="276"/>
        <w:jc w:val="both"/>
      </w:pPr>
      <w:r>
        <w:rPr>
          <w:rFonts w:ascii="Calibri" w:cs="Calibri" w:eastAsia="Calibri" w:hAnsi="Calibri"/>
        </w:rPr>
        <w:t xml:space="preserve">Dell is shown in the full-history KPI table for completeness, and excluded from the common-window comparison.</w:t>
      </w:r>
    </w:p>
    <w:p>
      <w:pPr>
        <w:pStyle w:val="Heading1"/>
        <w:keepNext/>
        <w:spacing w:after="120" w:before="320"/>
      </w:pPr>
      <w:bookmarkStart w:name="sec15" w:id="15"/>
      <w:r>
        <w:rPr>
          <w:rFonts w:ascii="Calibri" w:cs="Calibri" w:eastAsia="Calibri" w:hAnsi="Calibri"/>
          <w:b/>
          <w:bCs/>
          <w:color w:val="1F3864"/>
          <w:sz w:val="30"/>
          <w:szCs w:val="30"/>
        </w:rPr>
        <w:t xml:space="preserve">8. KPI definitions and results</w:t>
      </w:r>
      <w:bookmarkEnd w:id="1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13"/>
        <w:gridCol w:w="2284"/>
        <w:gridCol w:w="2284"/>
        <w:gridCol w:w="959"/>
        <w:gridCol w:w="2286"/>
      </w:tblGrid>
      <w:tr>
        <w:trPr>
          <w:cantSplit/>
        </w:trPr>
        <w:tc>
          <w:tcPr>
            <w:tcW w:type="dxa" w:w="1213"/>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KPI</w:t>
            </w:r>
          </w:p>
        </w:tc>
        <w:tc>
          <w:tcPr>
            <w:tcW w:type="dxa" w:w="2284"/>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Business purpose</w:t>
            </w:r>
          </w:p>
        </w:tc>
        <w:tc>
          <w:tcPr>
            <w:tcW w:type="dxa" w:w="2284"/>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Exact formula</w:t>
            </w:r>
          </w:p>
        </w:tc>
        <w:tc>
          <w:tcPr>
            <w:tcW w:type="dxa" w:w="959"/>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Columns needed</w:t>
            </w:r>
          </w:p>
        </w:tc>
        <w:tc>
          <w:tcPr>
            <w:tcW w:type="dxa" w:w="2286"/>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Limitation</w:t>
            </w:r>
          </w:p>
        </w:tc>
      </w:tr>
      <w:tr>
        <w:trPr>
          <w:cantSplit/>
        </w:trPr>
        <w:tc>
          <w:tcPr>
            <w:tcW w:type="dxa" w:w="12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bCs/>
                <w:sz w:val="18"/>
                <w:szCs w:val="18"/>
              </w:rPr>
              <w:t xml:space="preserve">Total return</w:t>
            </w:r>
          </w:p>
        </w:tc>
        <w:tc>
          <w:tcPr>
            <w:tcW w:type="dxa" w:w="228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How much value grew over the period</w:t>
            </w:r>
          </w:p>
        </w:tc>
        <w:tc>
          <w:tcPr>
            <w:tcW w:type="dxa" w:w="228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last price ÷ first price − 1</w:t>
            </w:r>
          </w:p>
        </w:tc>
        <w:tc>
          <w:tcPr>
            <w:tcW w:type="dxa" w:w="95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monthly price</w:t>
            </w:r>
          </w:p>
        </w:tc>
        <w:tc>
          <w:tcPr>
            <w:tcW w:type="dxa" w:w="228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Ignores dividends unless prices are adjusted</w:t>
            </w:r>
          </w:p>
        </w:tc>
      </w:tr>
      <w:tr>
        <w:trPr>
          <w:cantSplit/>
        </w:trPr>
        <w:tc>
          <w:tcPr>
            <w:tcW w:type="dxa" w:w="12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bCs/>
                <w:sz w:val="18"/>
                <w:szCs w:val="18"/>
              </w:rPr>
              <w:t xml:space="preserve">CAGR</w:t>
            </w:r>
          </w:p>
        </w:tc>
        <w:tc>
          <w:tcPr>
            <w:tcW w:type="dxa" w:w="228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Average yearly growth rate that is comparable between different lengths of history</w:t>
            </w:r>
          </w:p>
        </w:tc>
        <w:tc>
          <w:tcPr>
            <w:tcW w:type="dxa" w:w="228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(last ÷ first) ^ (1 ÷ years) − 1, where years = number of monthly returns ÷ 12</w:t>
            </w:r>
          </w:p>
        </w:tc>
        <w:tc>
          <w:tcPr>
            <w:tcW w:type="dxa" w:w="95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monthly price</w:t>
            </w:r>
          </w:p>
        </w:tc>
        <w:tc>
          <w:tcPr>
            <w:tcW w:type="dxa" w:w="228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Hides the ups and downs on the way</w:t>
            </w:r>
          </w:p>
        </w:tc>
      </w:tr>
      <w:tr>
        <w:trPr>
          <w:cantSplit/>
        </w:trPr>
        <w:tc>
          <w:tcPr>
            <w:tcW w:type="dxa" w:w="12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bCs/>
                <w:sz w:val="18"/>
                <w:szCs w:val="18"/>
              </w:rPr>
              <w:t xml:space="preserve">Annualised volatility</w:t>
            </w:r>
          </w:p>
        </w:tc>
        <w:tc>
          <w:tcPr>
            <w:tcW w:type="dxa" w:w="228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How much returns fluctuate (risk)</w:t>
            </w:r>
          </w:p>
        </w:tc>
        <w:tc>
          <w:tcPr>
            <w:tcW w:type="dxa" w:w="228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standard deviation of monthly returns × √12</w:t>
            </w:r>
          </w:p>
        </w:tc>
        <w:tc>
          <w:tcPr>
            <w:tcW w:type="dxa" w:w="95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monthly returns</w:t>
            </w:r>
          </w:p>
        </w:tc>
        <w:tc>
          <w:tcPr>
            <w:tcW w:type="dxa" w:w="228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Treats ups and downs alike</w:t>
            </w:r>
          </w:p>
        </w:tc>
      </w:tr>
      <w:tr>
        <w:trPr>
          <w:cantSplit/>
        </w:trPr>
        <w:tc>
          <w:tcPr>
            <w:tcW w:type="dxa" w:w="12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bCs/>
                <w:sz w:val="18"/>
                <w:szCs w:val="18"/>
              </w:rPr>
              <w:t xml:space="preserve">Maximum drawdown</w:t>
            </w:r>
          </w:p>
        </w:tc>
        <w:tc>
          <w:tcPr>
            <w:tcW w:type="dxa" w:w="228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Worst fall from a previous high (what an investor could have experienced)</w:t>
            </w:r>
          </w:p>
        </w:tc>
        <w:tc>
          <w:tcPr>
            <w:tcW w:type="dxa" w:w="228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min over time of (price ÷ highest price so far − 1)</w:t>
            </w:r>
          </w:p>
        </w:tc>
        <w:tc>
          <w:tcPr>
            <w:tcW w:type="dxa" w:w="95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monthly price</w:t>
            </w:r>
          </w:p>
        </w:tc>
        <w:tc>
          <w:tcPr>
            <w:tcW w:type="dxa" w:w="228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Based on month-end prices, so daily falls would be deeper</w:t>
            </w:r>
          </w:p>
        </w:tc>
      </w:tr>
      <w:tr>
        <w:trPr>
          <w:cantSplit/>
        </w:trPr>
        <w:tc>
          <w:tcPr>
            <w:tcW w:type="dxa" w:w="12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bCs/>
                <w:sz w:val="18"/>
                <w:szCs w:val="18"/>
              </w:rPr>
              <w:t xml:space="preserve">Return-to-risk ratio</w:t>
            </w:r>
          </w:p>
        </w:tc>
        <w:tc>
          <w:tcPr>
            <w:tcW w:type="dxa" w:w="228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Growth per unit of risk</w:t>
            </w:r>
          </w:p>
        </w:tc>
        <w:tc>
          <w:tcPr>
            <w:tcW w:type="dxa" w:w="228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CAGR ÷ annualised volatility (risk-free rate assumed 0)</w:t>
            </w:r>
          </w:p>
        </w:tc>
        <w:tc>
          <w:tcPr>
            <w:tcW w:type="dxa" w:w="95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CAGR, volatility</w:t>
            </w:r>
          </w:p>
        </w:tc>
        <w:tc>
          <w:tcPr>
            <w:tcW w:type="dxa" w:w="228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Simplified Sharpe-style ratio; a 0 % risk-free rate is an assumption</w:t>
            </w:r>
          </w:p>
        </w:tc>
      </w:tr>
      <w:tr>
        <w:trPr>
          <w:cantSplit/>
        </w:trPr>
        <w:tc>
          <w:tcPr>
            <w:tcW w:type="dxa" w:w="12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bCs/>
                <w:sz w:val="18"/>
                <w:szCs w:val="18"/>
              </w:rPr>
              <w:t xml:space="preserve">Beta</w:t>
            </w:r>
          </w:p>
        </w:tc>
        <w:tc>
          <w:tcPr>
            <w:tcW w:type="dxa" w:w="228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Sensitivity to the market</w:t>
            </w:r>
          </w:p>
        </w:tc>
        <w:tc>
          <w:tcPr>
            <w:tcW w:type="dxa" w:w="228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covariance(stock, S&amp;P 500) ÷ variance(S&amp;P 500), monthly returns</w:t>
            </w:r>
          </w:p>
        </w:tc>
        <w:tc>
          <w:tcPr>
            <w:tcW w:type="dxa" w:w="95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monthly returns</w:t>
            </w:r>
          </w:p>
        </w:tc>
        <w:tc>
          <w:tcPr>
            <w:tcW w:type="dxa" w:w="228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Describes association in the past, not a cause</w:t>
            </w:r>
          </w:p>
        </w:tc>
      </w:tr>
      <w:tr>
        <w:trPr>
          <w:cantSplit/>
        </w:trPr>
        <w:tc>
          <w:tcPr>
            <w:tcW w:type="dxa" w:w="12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bCs/>
                <w:sz w:val="18"/>
                <w:szCs w:val="18"/>
              </w:rPr>
              <w:t xml:space="preserve">Correlation</w:t>
            </w:r>
          </w:p>
        </w:tc>
        <w:tc>
          <w:tcPr>
            <w:tcW w:type="dxa" w:w="228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Strength of the linear link between two return series</w:t>
            </w:r>
          </w:p>
        </w:tc>
        <w:tc>
          <w:tcPr>
            <w:tcW w:type="dxa" w:w="228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Pearson correlation of monthly returns</w:t>
            </w:r>
          </w:p>
        </w:tc>
        <w:tc>
          <w:tcPr>
            <w:tcW w:type="dxa" w:w="95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monthly returns</w:t>
            </w:r>
          </w:p>
        </w:tc>
        <w:tc>
          <w:tcPr>
            <w:tcW w:type="dxa" w:w="228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Only linear relationships</w:t>
            </w:r>
          </w:p>
        </w:tc>
      </w:tr>
      <w:tr>
        <w:trPr>
          <w:cantSplit/>
        </w:trPr>
        <w:tc>
          <w:tcPr>
            <w:tcW w:type="dxa" w:w="12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bCs/>
                <w:sz w:val="18"/>
                <w:szCs w:val="18"/>
              </w:rPr>
              <w:t xml:space="preserve">Share of positive months / years</w:t>
            </w:r>
          </w:p>
        </w:tc>
        <w:tc>
          <w:tcPr>
            <w:tcW w:type="dxa" w:w="228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Consistency</w:t>
            </w:r>
          </w:p>
        </w:tc>
        <w:tc>
          <w:tcPr>
            <w:tcW w:type="dxa" w:w="228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months (years) with return &gt; 0 ÷ all months (years)</w:t>
            </w:r>
          </w:p>
        </w:tc>
        <w:tc>
          <w:tcPr>
            <w:tcW w:type="dxa" w:w="95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returns</w:t>
            </w:r>
          </w:p>
        </w:tc>
        <w:tc>
          <w:tcPr>
            <w:tcW w:type="dxa" w:w="228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Ignores size of gains and losses</w:t>
            </w:r>
          </w:p>
        </w:tc>
      </w:tr>
    </w:tbl>
    <w:p>
      <w:pPr>
        <w:spacing w:after="120"/>
      </w:pPr>
    </w:p>
    <w:p>
      <w:pPr>
        <w:spacing w:after="120" w:line="276"/>
        <w:jc w:val="both"/>
      </w:pPr>
      <w:r>
        <w:rPr>
          <w:rFonts w:ascii="Calibri" w:cs="Calibri" w:eastAsia="Calibri" w:hAnsi="Calibri"/>
        </w:rPr>
        <w:t xml:space="preserve">All KPIs are in percentages or ratios, so no currency is needed. A </w:t>
      </w:r>
      <w:r>
        <w:rPr>
          <w:rFonts w:ascii="Calibri" w:cs="Calibri" w:eastAsia="Calibri" w:hAnsi="Calibri"/>
          <w:i/>
          <w:iCs/>
        </w:rPr>
        <w:t xml:space="preserve">monthly return</w:t>
      </w:r>
      <w:r>
        <w:rPr>
          <w:rFonts w:ascii="Calibri" w:cs="Calibri" w:eastAsia="Calibri" w:hAnsi="Calibri"/>
        </w:rPr>
        <w:t xml:space="preserve"> is </w:t>
      </w:r>
      <w:r>
        <w:rPr>
          <w:rFonts w:ascii="Consolas" w:cs="Consolas" w:eastAsia="Consolas" w:hAnsi="Consolas"/>
          <w:sz w:val="20"/>
          <w:szCs w:val="20"/>
        </w:rPr>
        <w:t xml:space="preserve">price(t) ÷ price(t−1) − 1</w:t>
      </w:r>
      <w:r>
        <w:rPr>
          <w:rFonts w:ascii="Calibri" w:cs="Calibri" w:eastAsia="Calibri" w:hAnsi="Calibri"/>
        </w:rPr>
        <w:t xml:space="preserve">. These formulas are implemented in </w:t>
      </w:r>
      <w:r>
        <w:rPr>
          <w:rFonts w:ascii="Consolas" w:cs="Consolas" w:eastAsia="Consolas" w:hAnsi="Consolas"/>
          <w:sz w:val="20"/>
          <w:szCs w:val="20"/>
        </w:rPr>
        <w:t xml:space="preserve">src/kpi_analysis.py</w:t>
      </w:r>
      <w:r>
        <w:rPr>
          <w:rFonts w:ascii="Calibri" w:cs="Calibri" w:eastAsia="Calibri" w:hAnsi="Calibri"/>
        </w:rPr>
        <w:t xml:space="preserve"> and tested in </w:t>
      </w:r>
      <w:r>
        <w:rPr>
          <w:rFonts w:ascii="Consolas" w:cs="Consolas" w:eastAsia="Consolas" w:hAnsi="Consolas"/>
          <w:sz w:val="20"/>
          <w:szCs w:val="20"/>
        </w:rPr>
        <w:t xml:space="preserve">tests/test_analysis.py</w:t>
      </w:r>
      <w:r>
        <w:rPr>
          <w:rFonts w:ascii="Calibri" w:cs="Calibri" w:eastAsia="Calibri" w:hAnsi="Calibri"/>
        </w:rPr>
        <w:t xml:space="preserve">.</w:t>
      </w:r>
    </w:p>
    <w:p>
      <w:pPr>
        <w:pStyle w:val="Heading2"/>
        <w:keepNext/>
        <w:spacing w:after="80" w:before="220"/>
      </w:pPr>
      <w:bookmarkStart w:name="sec16" w:id="16"/>
      <w:r>
        <w:rPr>
          <w:rFonts w:ascii="Calibri" w:cs="Calibri" w:eastAsia="Calibri" w:hAnsi="Calibri"/>
          <w:b/>
          <w:bCs/>
          <w:color w:val="2F5496"/>
          <w:sz w:val="25"/>
          <w:szCs w:val="25"/>
        </w:rPr>
        <w:t xml:space="preserve">8.1 KPI results: common window (September 2004 – June 2022, same months for every series)</w:t>
      </w:r>
      <w:bookmarkEnd w:id="16"/>
    </w:p>
    <w:p>
      <w:pPr>
        <w:sectPr>
          <w:headerReference w:type="default" r:id="rId6"/>
          <w:footerReference w:type="default" r:id="rId7"/>
          <w:pgSz w:w="11906" w:h="16838" w:orient="portrait"/>
          <w:pgMar w:top="1440" w:right="1440" w:bottom="1300" w:left="1440" w:header="708" w:footer="708" w:gutter="0"/>
          <w:pgNumType/>
          <w:docGrid w:linePitch="360"/>
        </w:sectPr>
      </w:pP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174"/>
        <w:gridCol w:w="1304"/>
        <w:gridCol w:w="1174"/>
        <w:gridCol w:w="1565"/>
        <w:gridCol w:w="1043"/>
        <w:gridCol w:w="1695"/>
        <w:gridCol w:w="1174"/>
        <w:gridCol w:w="1434"/>
        <w:gridCol w:w="913"/>
        <w:gridCol w:w="1043"/>
        <w:gridCol w:w="1439"/>
      </w:tblGrid>
      <w:tr>
        <w:trPr>
          <w:cantSplit/>
        </w:trPr>
        <w:tc>
          <w:tcPr>
            <w:tcW w:type="dxa" w:w="1174"/>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Series</w:t>
            </w:r>
          </w:p>
        </w:tc>
        <w:tc>
          <w:tcPr>
            <w:tcW w:type="dxa" w:w="1304"/>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From</w:t>
            </w:r>
          </w:p>
        </w:tc>
        <w:tc>
          <w:tcPr>
            <w:tcW w:type="dxa" w:w="1174"/>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Months</w:t>
            </w:r>
          </w:p>
        </w:tc>
        <w:tc>
          <w:tcPr>
            <w:tcW w:type="dxa" w:w="1565"/>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Total return</w:t>
            </w:r>
          </w:p>
        </w:tc>
        <w:tc>
          <w:tcPr>
            <w:tcW w:type="dxa" w:w="1043"/>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CAGR</w:t>
            </w:r>
          </w:p>
        </w:tc>
        <w:tc>
          <w:tcPr>
            <w:tcW w:type="dxa" w:w="1695"/>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Volatility</w:t>
            </w:r>
          </w:p>
        </w:tc>
        <w:tc>
          <w:tcPr>
            <w:tcW w:type="dxa" w:w="1174"/>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Return / risk</w:t>
            </w:r>
          </w:p>
        </w:tc>
        <w:tc>
          <w:tcPr>
            <w:tcW w:type="dxa" w:w="1434"/>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Max drawdown</w:t>
            </w:r>
          </w:p>
        </w:tc>
        <w:tc>
          <w:tcPr>
            <w:tcW w:type="dxa" w:w="913"/>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Beta</w:t>
            </w:r>
          </w:p>
        </w:tc>
        <w:tc>
          <w:tcPr>
            <w:tcW w:type="dxa" w:w="1043"/>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Corr. with S&amp;P</w:t>
            </w:r>
          </w:p>
        </w:tc>
        <w:tc>
          <w:tcPr>
            <w:tcW w:type="dxa" w:w="1439"/>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Positive months</w:t>
            </w:r>
          </w:p>
        </w:tc>
      </w:tr>
      <w:tr>
        <w:trPr>
          <w:cantSplit/>
        </w:trPr>
        <w:tc>
          <w:tcPr>
            <w:tcW w:type="dxa" w:w="117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IBM</w:t>
            </w:r>
          </w:p>
        </w:tc>
        <w:tc>
          <w:tcPr>
            <w:tcW w:type="dxa" w:w="130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2004-09</w:t>
            </w:r>
          </w:p>
        </w:tc>
        <w:tc>
          <w:tcPr>
            <w:tcW w:type="dxa" w:w="117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214</w:t>
            </w:r>
          </w:p>
        </w:tc>
        <w:tc>
          <w:tcPr>
            <w:tcW w:type="dxa" w:w="156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183.7%</w:t>
            </w:r>
          </w:p>
        </w:tc>
        <w:tc>
          <w:tcPr>
            <w:tcW w:type="dxa" w:w="104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6.1%</w:t>
            </w:r>
          </w:p>
        </w:tc>
        <w:tc>
          <w:tcPr>
            <w:tcW w:type="dxa" w:w="169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20.9%</w:t>
            </w:r>
          </w:p>
        </w:tc>
        <w:tc>
          <w:tcPr>
            <w:tcW w:type="dxa" w:w="117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0.29</w:t>
            </w:r>
          </w:p>
        </w:tc>
        <w:tc>
          <w:tcPr>
            <w:tcW w:type="dxa" w:w="143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-37.2%</w:t>
            </w:r>
          </w:p>
        </w:tc>
        <w:tc>
          <w:tcPr>
            <w:tcW w:type="dxa" w:w="9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0.82</w:t>
            </w:r>
          </w:p>
        </w:tc>
        <w:tc>
          <w:tcPr>
            <w:tcW w:type="dxa" w:w="104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0.58</w:t>
            </w:r>
          </w:p>
        </w:tc>
        <w:tc>
          <w:tcPr>
            <w:tcW w:type="dxa" w:w="143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54.0%</w:t>
            </w:r>
          </w:p>
        </w:tc>
      </w:tr>
      <w:tr>
        <w:trPr>
          <w:cantSplit/>
        </w:trPr>
        <w:tc>
          <w:tcPr>
            <w:tcW w:type="dxa" w:w="117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AAPL</w:t>
            </w:r>
          </w:p>
        </w:tc>
        <w:tc>
          <w:tcPr>
            <w:tcW w:type="dxa" w:w="130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2004-09</w:t>
            </w:r>
          </w:p>
        </w:tc>
        <w:tc>
          <w:tcPr>
            <w:tcW w:type="dxa" w:w="117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214</w:t>
            </w:r>
          </w:p>
        </w:tc>
        <w:tc>
          <w:tcPr>
            <w:tcW w:type="dxa" w:w="156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23,130.3%</w:t>
            </w:r>
          </w:p>
        </w:tc>
        <w:tc>
          <w:tcPr>
            <w:tcW w:type="dxa" w:w="104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35.9%</w:t>
            </w:r>
          </w:p>
        </w:tc>
        <w:tc>
          <w:tcPr>
            <w:tcW w:type="dxa" w:w="169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33.1%</w:t>
            </w:r>
          </w:p>
        </w:tc>
        <w:tc>
          <w:tcPr>
            <w:tcW w:type="dxa" w:w="117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1.09</w:t>
            </w:r>
          </w:p>
        </w:tc>
        <w:tc>
          <w:tcPr>
            <w:tcW w:type="dxa" w:w="143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-56.9%</w:t>
            </w:r>
          </w:p>
        </w:tc>
        <w:tc>
          <w:tcPr>
            <w:tcW w:type="dxa" w:w="9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1.25</w:t>
            </w:r>
          </w:p>
        </w:tc>
        <w:tc>
          <w:tcPr>
            <w:tcW w:type="dxa" w:w="104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0.56</w:t>
            </w:r>
          </w:p>
        </w:tc>
        <w:tc>
          <w:tcPr>
            <w:tcW w:type="dxa" w:w="143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61.5%</w:t>
            </w:r>
          </w:p>
        </w:tc>
      </w:tr>
      <w:tr>
        <w:trPr>
          <w:cantSplit/>
        </w:trPr>
        <w:tc>
          <w:tcPr>
            <w:tcW w:type="dxa" w:w="117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MSFT</w:t>
            </w:r>
          </w:p>
        </w:tc>
        <w:tc>
          <w:tcPr>
            <w:tcW w:type="dxa" w:w="130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2004-09</w:t>
            </w:r>
          </w:p>
        </w:tc>
        <w:tc>
          <w:tcPr>
            <w:tcW w:type="dxa" w:w="117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214</w:t>
            </w:r>
          </w:p>
        </w:tc>
        <w:tc>
          <w:tcPr>
            <w:tcW w:type="dxa" w:w="156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1,358.5%</w:t>
            </w:r>
          </w:p>
        </w:tc>
        <w:tc>
          <w:tcPr>
            <w:tcW w:type="dxa" w:w="104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16.3%</w:t>
            </w:r>
          </w:p>
        </w:tc>
        <w:tc>
          <w:tcPr>
            <w:tcW w:type="dxa" w:w="169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22.8%</w:t>
            </w:r>
          </w:p>
        </w:tc>
        <w:tc>
          <w:tcPr>
            <w:tcW w:type="dxa" w:w="117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0.72</w:t>
            </w:r>
          </w:p>
        </w:tc>
        <w:tc>
          <w:tcPr>
            <w:tcW w:type="dxa" w:w="143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-55.2%</w:t>
            </w:r>
          </w:p>
        </w:tc>
        <w:tc>
          <w:tcPr>
            <w:tcW w:type="dxa" w:w="9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0.99</w:t>
            </w:r>
          </w:p>
        </w:tc>
        <w:tc>
          <w:tcPr>
            <w:tcW w:type="dxa" w:w="104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0.64</w:t>
            </w:r>
          </w:p>
        </w:tc>
        <w:tc>
          <w:tcPr>
            <w:tcW w:type="dxa" w:w="143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62.4%</w:t>
            </w:r>
          </w:p>
        </w:tc>
      </w:tr>
      <w:tr>
        <w:trPr>
          <w:cantSplit/>
        </w:trPr>
        <w:tc>
          <w:tcPr>
            <w:tcW w:type="dxa" w:w="117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XRX</w:t>
            </w:r>
          </w:p>
        </w:tc>
        <w:tc>
          <w:tcPr>
            <w:tcW w:type="dxa" w:w="130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2004-09</w:t>
            </w:r>
          </w:p>
        </w:tc>
        <w:tc>
          <w:tcPr>
            <w:tcW w:type="dxa" w:w="117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214</w:t>
            </w:r>
          </w:p>
        </w:tc>
        <w:tc>
          <w:tcPr>
            <w:tcW w:type="dxa" w:w="156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-36.1%</w:t>
            </w:r>
          </w:p>
        </w:tc>
        <w:tc>
          <w:tcPr>
            <w:tcW w:type="dxa" w:w="104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-2.5%</w:t>
            </w:r>
          </w:p>
        </w:tc>
        <w:tc>
          <w:tcPr>
            <w:tcW w:type="dxa" w:w="169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35.2%</w:t>
            </w:r>
          </w:p>
        </w:tc>
        <w:tc>
          <w:tcPr>
            <w:tcW w:type="dxa" w:w="117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-0.07</w:t>
            </w:r>
          </w:p>
        </w:tc>
        <w:tc>
          <w:tcPr>
            <w:tcW w:type="dxa" w:w="143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-75.5%</w:t>
            </w:r>
          </w:p>
        </w:tc>
        <w:tc>
          <w:tcPr>
            <w:tcW w:type="dxa" w:w="9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1.57</w:t>
            </w:r>
          </w:p>
        </w:tc>
        <w:tc>
          <w:tcPr>
            <w:tcW w:type="dxa" w:w="104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0.66</w:t>
            </w:r>
          </w:p>
        </w:tc>
        <w:tc>
          <w:tcPr>
            <w:tcW w:type="dxa" w:w="143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51.2%</w:t>
            </w:r>
          </w:p>
        </w:tc>
      </w:tr>
      <w:tr>
        <w:trPr>
          <w:cantSplit/>
        </w:trPr>
        <w:tc>
          <w:tcPr>
            <w:tcW w:type="dxa" w:w="117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AMZN</w:t>
            </w:r>
          </w:p>
        </w:tc>
        <w:tc>
          <w:tcPr>
            <w:tcW w:type="dxa" w:w="130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2004-09</w:t>
            </w:r>
          </w:p>
        </w:tc>
        <w:tc>
          <w:tcPr>
            <w:tcW w:type="dxa" w:w="117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214</w:t>
            </w:r>
          </w:p>
        </w:tc>
        <w:tc>
          <w:tcPr>
            <w:tcW w:type="dxa" w:w="156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5,157.0%</w:t>
            </w:r>
          </w:p>
        </w:tc>
        <w:tc>
          <w:tcPr>
            <w:tcW w:type="dxa" w:w="104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25.0%</w:t>
            </w:r>
          </w:p>
        </w:tc>
        <w:tc>
          <w:tcPr>
            <w:tcW w:type="dxa" w:w="169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36.3%</w:t>
            </w:r>
          </w:p>
        </w:tc>
        <w:tc>
          <w:tcPr>
            <w:tcW w:type="dxa" w:w="117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0.69</w:t>
            </w:r>
          </w:p>
        </w:tc>
        <w:tc>
          <w:tcPr>
            <w:tcW w:type="dxa" w:w="143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-54.2%</w:t>
            </w:r>
          </w:p>
        </w:tc>
        <w:tc>
          <w:tcPr>
            <w:tcW w:type="dxa" w:w="9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1.20</w:t>
            </w:r>
          </w:p>
        </w:tc>
        <w:tc>
          <w:tcPr>
            <w:tcW w:type="dxa" w:w="104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0.49</w:t>
            </w:r>
          </w:p>
        </w:tc>
        <w:tc>
          <w:tcPr>
            <w:tcW w:type="dxa" w:w="143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59.2%</w:t>
            </w:r>
          </w:p>
        </w:tc>
      </w:tr>
      <w:tr>
        <w:trPr>
          <w:cantSplit/>
        </w:trPr>
        <w:tc>
          <w:tcPr>
            <w:tcW w:type="dxa" w:w="117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GOOGL</w:t>
            </w:r>
          </w:p>
        </w:tc>
        <w:tc>
          <w:tcPr>
            <w:tcW w:type="dxa" w:w="130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2004-09</w:t>
            </w:r>
          </w:p>
        </w:tc>
        <w:tc>
          <w:tcPr>
            <w:tcW w:type="dxa" w:w="117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214</w:t>
            </w:r>
          </w:p>
        </w:tc>
        <w:tc>
          <w:tcPr>
            <w:tcW w:type="dxa" w:w="156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3,353.6%</w:t>
            </w:r>
          </w:p>
        </w:tc>
        <w:tc>
          <w:tcPr>
            <w:tcW w:type="dxa" w:w="104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22.1%</w:t>
            </w:r>
          </w:p>
        </w:tc>
        <w:tc>
          <w:tcPr>
            <w:tcW w:type="dxa" w:w="169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30.1%</w:t>
            </w:r>
          </w:p>
        </w:tc>
        <w:tc>
          <w:tcPr>
            <w:tcW w:type="dxa" w:w="117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0.73</w:t>
            </w:r>
          </w:p>
        </w:tc>
        <w:tc>
          <w:tcPr>
            <w:tcW w:type="dxa" w:w="143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-58.6%</w:t>
            </w:r>
          </w:p>
        </w:tc>
        <w:tc>
          <w:tcPr>
            <w:tcW w:type="dxa" w:w="9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1.08</w:t>
            </w:r>
          </w:p>
        </w:tc>
        <w:tc>
          <w:tcPr>
            <w:tcW w:type="dxa" w:w="104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0.53</w:t>
            </w:r>
          </w:p>
        </w:tc>
        <w:tc>
          <w:tcPr>
            <w:tcW w:type="dxa" w:w="143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60.6%</w:t>
            </w:r>
          </w:p>
        </w:tc>
      </w:tr>
      <w:tr>
        <w:trPr>
          <w:cantSplit/>
        </w:trPr>
        <w:tc>
          <w:tcPr>
            <w:tcW w:type="dxa" w:w="117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ADBE</w:t>
            </w:r>
          </w:p>
        </w:tc>
        <w:tc>
          <w:tcPr>
            <w:tcW w:type="dxa" w:w="130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2004-09</w:t>
            </w:r>
          </w:p>
        </w:tc>
        <w:tc>
          <w:tcPr>
            <w:tcW w:type="dxa" w:w="117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214</w:t>
            </w:r>
          </w:p>
        </w:tc>
        <w:tc>
          <w:tcPr>
            <w:tcW w:type="dxa" w:w="156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1,379.2%</w:t>
            </w:r>
          </w:p>
        </w:tc>
        <w:tc>
          <w:tcPr>
            <w:tcW w:type="dxa" w:w="104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16.4%</w:t>
            </w:r>
          </w:p>
        </w:tc>
        <w:tc>
          <w:tcPr>
            <w:tcW w:type="dxa" w:w="169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29.5%</w:t>
            </w:r>
          </w:p>
        </w:tc>
        <w:tc>
          <w:tcPr>
            <w:tcW w:type="dxa" w:w="117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0.56</w:t>
            </w:r>
          </w:p>
        </w:tc>
        <w:tc>
          <w:tcPr>
            <w:tcW w:type="dxa" w:w="143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-65.1%</w:t>
            </w:r>
          </w:p>
        </w:tc>
        <w:tc>
          <w:tcPr>
            <w:tcW w:type="dxa" w:w="9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1.36</w:t>
            </w:r>
          </w:p>
        </w:tc>
        <w:tc>
          <w:tcPr>
            <w:tcW w:type="dxa" w:w="104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0.68</w:t>
            </w:r>
          </w:p>
        </w:tc>
        <w:tc>
          <w:tcPr>
            <w:tcW w:type="dxa" w:w="143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63.8%</w:t>
            </w:r>
          </w:p>
        </w:tc>
      </w:tr>
      <w:tr>
        <w:trPr>
          <w:cantSplit/>
        </w:trPr>
        <w:tc>
          <w:tcPr>
            <w:tcW w:type="dxa" w:w="117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S&amp;P 500</w:t>
            </w:r>
          </w:p>
        </w:tc>
        <w:tc>
          <w:tcPr>
            <w:tcW w:type="dxa" w:w="130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2004-09</w:t>
            </w:r>
          </w:p>
        </w:tc>
        <w:tc>
          <w:tcPr>
            <w:tcW w:type="dxa" w:w="117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214</w:t>
            </w:r>
          </w:p>
        </w:tc>
        <w:tc>
          <w:tcPr>
            <w:tcW w:type="dxa" w:w="156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242.9%</w:t>
            </w:r>
          </w:p>
        </w:tc>
        <w:tc>
          <w:tcPr>
            <w:tcW w:type="dxa" w:w="104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7.2%</w:t>
            </w:r>
          </w:p>
        </w:tc>
        <w:tc>
          <w:tcPr>
            <w:tcW w:type="dxa" w:w="169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14.7%</w:t>
            </w:r>
          </w:p>
        </w:tc>
        <w:tc>
          <w:tcPr>
            <w:tcW w:type="dxa" w:w="117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0.49</w:t>
            </w:r>
          </w:p>
        </w:tc>
        <w:tc>
          <w:tcPr>
            <w:tcW w:type="dxa" w:w="143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-52.6%</w:t>
            </w:r>
          </w:p>
        </w:tc>
        <w:tc>
          <w:tcPr>
            <w:tcW w:type="dxa" w:w="9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1.00</w:t>
            </w:r>
          </w:p>
        </w:tc>
        <w:tc>
          <w:tcPr>
            <w:tcW w:type="dxa" w:w="104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1.00</w:t>
            </w:r>
          </w:p>
        </w:tc>
        <w:tc>
          <w:tcPr>
            <w:tcW w:type="dxa" w:w="143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64.8%</w:t>
            </w:r>
          </w:p>
        </w:tc>
      </w:tr>
      <w:tr>
        <w:trPr>
          <w:cantSplit/>
        </w:trPr>
        <w:tc>
          <w:tcPr>
            <w:tcW w:type="dxa" w:w="117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NASDAQ</w:t>
            </w:r>
          </w:p>
        </w:tc>
        <w:tc>
          <w:tcPr>
            <w:tcW w:type="dxa" w:w="130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2004-09</w:t>
            </w:r>
          </w:p>
        </w:tc>
        <w:tc>
          <w:tcPr>
            <w:tcW w:type="dxa" w:w="117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214</w:t>
            </w:r>
          </w:p>
        </w:tc>
        <w:tc>
          <w:tcPr>
            <w:tcW w:type="dxa" w:w="156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489.5%</w:t>
            </w:r>
          </w:p>
        </w:tc>
        <w:tc>
          <w:tcPr>
            <w:tcW w:type="dxa" w:w="104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10.5%</w:t>
            </w:r>
          </w:p>
        </w:tc>
        <w:tc>
          <w:tcPr>
            <w:tcW w:type="dxa" w:w="169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17.5%</w:t>
            </w:r>
          </w:p>
        </w:tc>
        <w:tc>
          <w:tcPr>
            <w:tcW w:type="dxa" w:w="117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0.60</w:t>
            </w:r>
          </w:p>
        </w:tc>
        <w:tc>
          <w:tcPr>
            <w:tcW w:type="dxa" w:w="143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-51.8%</w:t>
            </w:r>
          </w:p>
        </w:tc>
        <w:tc>
          <w:tcPr>
            <w:tcW w:type="dxa" w:w="9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1.12</w:t>
            </w:r>
          </w:p>
        </w:tc>
        <w:tc>
          <w:tcPr>
            <w:tcW w:type="dxa" w:w="104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0.94</w:t>
            </w:r>
          </w:p>
        </w:tc>
        <w:tc>
          <w:tcPr>
            <w:tcW w:type="dxa" w:w="143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61.0%</w:t>
            </w:r>
          </w:p>
        </w:tc>
      </w:tr>
    </w:tbl>
    <w:p>
      <w:pPr>
        <w:spacing w:after="120"/>
      </w:pPr>
    </w:p>
    <w:p>
      <w:pPr>
        <w:sectPr>
          <w:headerReference w:type="default" r:id="rId8"/>
          <w:footerReference w:type="default" r:id="rId9"/>
          <w:pgSz w:w="16838" w:h="11906" w:orient="landscape"/>
          <w:pgMar w:top="1300" w:right="1440" w:bottom="1200" w:left="1440" w:header="708" w:footer="708" w:gutter="0"/>
          <w:pgNumType/>
          <w:docGrid w:linePitch="360"/>
        </w:sectPr>
      </w:pPr>
    </w:p>
    <w:p>
      <w:pPr>
        <w:pStyle w:val="Heading2"/>
        <w:keepNext/>
        <w:spacing w:after="80" w:before="220"/>
      </w:pPr>
      <w:bookmarkStart w:name="sec17" w:id="17"/>
      <w:r>
        <w:rPr>
          <w:rFonts w:ascii="Calibri" w:cs="Calibri" w:eastAsia="Calibri" w:hAnsi="Calibri"/>
          <w:b/>
          <w:bCs/>
          <w:color w:val="2F5496"/>
          <w:sz w:val="25"/>
          <w:szCs w:val="25"/>
        </w:rPr>
        <w:t xml:space="preserve">8.2 KPI results: each series over its own full history</w:t>
      </w:r>
      <w:bookmarkEnd w:id="17"/>
    </w:p>
    <w:p>
      <w:pPr>
        <w:sectPr>
          <w:headerReference w:type="default" r:id="rId10"/>
          <w:footerReference w:type="default" r:id="rId11"/>
          <w:pgSz w:w="11906" w:h="16838" w:orient="portrait"/>
          <w:pgMar w:top="1440" w:right="1440" w:bottom="1300" w:left="1440" w:header="708" w:footer="708" w:gutter="0"/>
          <w:pgNumType/>
          <w:docGrid w:linePitch="360"/>
        </w:sectPr>
      </w:pP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163"/>
        <w:gridCol w:w="1292"/>
        <w:gridCol w:w="1163"/>
        <w:gridCol w:w="1680"/>
        <w:gridCol w:w="1033"/>
        <w:gridCol w:w="1680"/>
        <w:gridCol w:w="1163"/>
        <w:gridCol w:w="1421"/>
        <w:gridCol w:w="904"/>
        <w:gridCol w:w="1033"/>
        <w:gridCol w:w="1426"/>
      </w:tblGrid>
      <w:tr>
        <w:trPr>
          <w:cantSplit/>
        </w:trPr>
        <w:tc>
          <w:tcPr>
            <w:tcW w:type="dxa" w:w="1163"/>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Series</w:t>
            </w:r>
          </w:p>
        </w:tc>
        <w:tc>
          <w:tcPr>
            <w:tcW w:type="dxa" w:w="1292"/>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From</w:t>
            </w:r>
          </w:p>
        </w:tc>
        <w:tc>
          <w:tcPr>
            <w:tcW w:type="dxa" w:w="1163"/>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Months</w:t>
            </w:r>
          </w:p>
        </w:tc>
        <w:tc>
          <w:tcPr>
            <w:tcW w:type="dxa" w:w="1680"/>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Total return</w:t>
            </w:r>
          </w:p>
        </w:tc>
        <w:tc>
          <w:tcPr>
            <w:tcW w:type="dxa" w:w="1033"/>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CAGR</w:t>
            </w:r>
          </w:p>
        </w:tc>
        <w:tc>
          <w:tcPr>
            <w:tcW w:type="dxa" w:w="1680"/>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Volatility</w:t>
            </w:r>
          </w:p>
        </w:tc>
        <w:tc>
          <w:tcPr>
            <w:tcW w:type="dxa" w:w="1163"/>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Return / risk</w:t>
            </w:r>
          </w:p>
        </w:tc>
        <w:tc>
          <w:tcPr>
            <w:tcW w:type="dxa" w:w="1421"/>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Max drawdown</w:t>
            </w:r>
          </w:p>
        </w:tc>
        <w:tc>
          <w:tcPr>
            <w:tcW w:type="dxa" w:w="904"/>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Beta</w:t>
            </w:r>
          </w:p>
        </w:tc>
        <w:tc>
          <w:tcPr>
            <w:tcW w:type="dxa" w:w="1033"/>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Corr. with S&amp;P</w:t>
            </w:r>
          </w:p>
        </w:tc>
        <w:tc>
          <w:tcPr>
            <w:tcW w:type="dxa" w:w="1426"/>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Positive months</w:t>
            </w:r>
          </w:p>
        </w:tc>
      </w:tr>
      <w:tr>
        <w:trPr>
          <w:cantSplit/>
        </w:trPr>
        <w:tc>
          <w:tcPr>
            <w:tcW w:type="dxa" w:w="116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IBM</w:t>
            </w:r>
          </w:p>
        </w:tc>
        <w:tc>
          <w:tcPr>
            <w:tcW w:type="dxa" w:w="129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1990-01</w:t>
            </w:r>
          </w:p>
        </w:tc>
        <w:tc>
          <w:tcPr>
            <w:tcW w:type="dxa" w:w="116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390</w:t>
            </w:r>
          </w:p>
        </w:tc>
        <w:tc>
          <w:tcPr>
            <w:tcW w:type="dxa" w:w="168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1,193.1%</w:t>
            </w:r>
          </w:p>
        </w:tc>
        <w:tc>
          <w:tcPr>
            <w:tcW w:type="dxa" w:w="103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8.2%</w:t>
            </w:r>
          </w:p>
        </w:tc>
        <w:tc>
          <w:tcPr>
            <w:tcW w:type="dxa" w:w="168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26.5%</w:t>
            </w:r>
          </w:p>
        </w:tc>
        <w:tc>
          <w:tcPr>
            <w:tcW w:type="dxa" w:w="116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0.31</w:t>
            </w:r>
          </w:p>
        </w:tc>
        <w:tc>
          <w:tcPr>
            <w:tcW w:type="dxa" w:w="142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-62.8%</w:t>
            </w:r>
          </w:p>
        </w:tc>
        <w:tc>
          <w:tcPr>
            <w:tcW w:type="dxa" w:w="90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1.00</w:t>
            </w:r>
          </w:p>
        </w:tc>
        <w:tc>
          <w:tcPr>
            <w:tcW w:type="dxa" w:w="103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0.55</w:t>
            </w:r>
          </w:p>
        </w:tc>
        <w:tc>
          <w:tcPr>
            <w:tcW w:type="dxa" w:w="142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53.2%</w:t>
            </w:r>
          </w:p>
        </w:tc>
      </w:tr>
      <w:tr>
        <w:trPr>
          <w:cantSplit/>
        </w:trPr>
        <w:tc>
          <w:tcPr>
            <w:tcW w:type="dxa" w:w="116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AAPL</w:t>
            </w:r>
          </w:p>
        </w:tc>
        <w:tc>
          <w:tcPr>
            <w:tcW w:type="dxa" w:w="129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1990-01</w:t>
            </w:r>
          </w:p>
        </w:tc>
        <w:tc>
          <w:tcPr>
            <w:tcW w:type="dxa" w:w="116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390</w:t>
            </w:r>
          </w:p>
        </w:tc>
        <w:tc>
          <w:tcPr>
            <w:tcW w:type="dxa" w:w="168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56,573.4%</w:t>
            </w:r>
          </w:p>
        </w:tc>
        <w:tc>
          <w:tcPr>
            <w:tcW w:type="dxa" w:w="103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21.6%</w:t>
            </w:r>
          </w:p>
        </w:tc>
        <w:tc>
          <w:tcPr>
            <w:tcW w:type="dxa" w:w="168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42.4%</w:t>
            </w:r>
          </w:p>
        </w:tc>
        <w:tc>
          <w:tcPr>
            <w:tcW w:type="dxa" w:w="116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0.51</w:t>
            </w:r>
          </w:p>
        </w:tc>
        <w:tc>
          <w:tcPr>
            <w:tcW w:type="dxa" w:w="142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-79.6%</w:t>
            </w:r>
          </w:p>
        </w:tc>
        <w:tc>
          <w:tcPr>
            <w:tcW w:type="dxa" w:w="90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1.28</w:t>
            </w:r>
          </w:p>
        </w:tc>
        <w:tc>
          <w:tcPr>
            <w:tcW w:type="dxa" w:w="103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0.44</w:t>
            </w:r>
          </w:p>
        </w:tc>
        <w:tc>
          <w:tcPr>
            <w:tcW w:type="dxa" w:w="142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56.8%</w:t>
            </w:r>
          </w:p>
        </w:tc>
      </w:tr>
      <w:tr>
        <w:trPr>
          <w:cantSplit/>
        </w:trPr>
        <w:tc>
          <w:tcPr>
            <w:tcW w:type="dxa" w:w="116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MSFT</w:t>
            </w:r>
          </w:p>
        </w:tc>
        <w:tc>
          <w:tcPr>
            <w:tcW w:type="dxa" w:w="129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1990-01</w:t>
            </w:r>
          </w:p>
        </w:tc>
        <w:tc>
          <w:tcPr>
            <w:tcW w:type="dxa" w:w="116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390</w:t>
            </w:r>
          </w:p>
        </w:tc>
        <w:tc>
          <w:tcPr>
            <w:tcW w:type="dxa" w:w="168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63,423.0%</w:t>
            </w:r>
          </w:p>
        </w:tc>
        <w:tc>
          <w:tcPr>
            <w:tcW w:type="dxa" w:w="103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22.0%</w:t>
            </w:r>
          </w:p>
        </w:tc>
        <w:tc>
          <w:tcPr>
            <w:tcW w:type="dxa" w:w="168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30.4%</w:t>
            </w:r>
          </w:p>
        </w:tc>
        <w:tc>
          <w:tcPr>
            <w:tcW w:type="dxa" w:w="116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0.73</w:t>
            </w:r>
          </w:p>
        </w:tc>
        <w:tc>
          <w:tcPr>
            <w:tcW w:type="dxa" w:w="142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-66.9%</w:t>
            </w:r>
          </w:p>
        </w:tc>
        <w:tc>
          <w:tcPr>
            <w:tcW w:type="dxa" w:w="90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1.22</w:t>
            </w:r>
          </w:p>
        </w:tc>
        <w:tc>
          <w:tcPr>
            <w:tcW w:type="dxa" w:w="103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0.59</w:t>
            </w:r>
          </w:p>
        </w:tc>
        <w:tc>
          <w:tcPr>
            <w:tcW w:type="dxa" w:w="142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62.0%</w:t>
            </w:r>
          </w:p>
        </w:tc>
      </w:tr>
      <w:tr>
        <w:trPr>
          <w:cantSplit/>
        </w:trPr>
        <w:tc>
          <w:tcPr>
            <w:tcW w:type="dxa" w:w="116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XRX</w:t>
            </w:r>
          </w:p>
        </w:tc>
        <w:tc>
          <w:tcPr>
            <w:tcW w:type="dxa" w:w="129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1990-01</w:t>
            </w:r>
          </w:p>
        </w:tc>
        <w:tc>
          <w:tcPr>
            <w:tcW w:type="dxa" w:w="116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390</w:t>
            </w:r>
          </w:p>
        </w:tc>
        <w:tc>
          <w:tcPr>
            <w:tcW w:type="dxa" w:w="168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41.2%</w:t>
            </w:r>
          </w:p>
        </w:tc>
        <w:tc>
          <w:tcPr>
            <w:tcW w:type="dxa" w:w="103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1.1%</w:t>
            </w:r>
          </w:p>
        </w:tc>
        <w:tc>
          <w:tcPr>
            <w:tcW w:type="dxa" w:w="168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41.1%</w:t>
            </w:r>
          </w:p>
        </w:tc>
        <w:tc>
          <w:tcPr>
            <w:tcW w:type="dxa" w:w="116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0.03</w:t>
            </w:r>
          </w:p>
        </w:tc>
        <w:tc>
          <w:tcPr>
            <w:tcW w:type="dxa" w:w="142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-92.1%</w:t>
            </w:r>
          </w:p>
        </w:tc>
        <w:tc>
          <w:tcPr>
            <w:tcW w:type="dxa" w:w="90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1.58</w:t>
            </w:r>
          </w:p>
        </w:tc>
        <w:tc>
          <w:tcPr>
            <w:tcW w:type="dxa" w:w="103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0.56</w:t>
            </w:r>
          </w:p>
        </w:tc>
        <w:tc>
          <w:tcPr>
            <w:tcW w:type="dxa" w:w="142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54.5%</w:t>
            </w:r>
          </w:p>
        </w:tc>
      </w:tr>
      <w:tr>
        <w:trPr>
          <w:cantSplit/>
        </w:trPr>
        <w:tc>
          <w:tcPr>
            <w:tcW w:type="dxa" w:w="116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AMZN</w:t>
            </w:r>
          </w:p>
        </w:tc>
        <w:tc>
          <w:tcPr>
            <w:tcW w:type="dxa" w:w="129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1997-06</w:t>
            </w:r>
          </w:p>
        </w:tc>
        <w:tc>
          <w:tcPr>
            <w:tcW w:type="dxa" w:w="116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301</w:t>
            </w:r>
          </w:p>
        </w:tc>
        <w:tc>
          <w:tcPr>
            <w:tcW w:type="dxa" w:w="168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139,230.3%</w:t>
            </w:r>
          </w:p>
        </w:tc>
        <w:tc>
          <w:tcPr>
            <w:tcW w:type="dxa" w:w="103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33.6%</w:t>
            </w:r>
          </w:p>
        </w:tc>
        <w:tc>
          <w:tcPr>
            <w:tcW w:type="dxa" w:w="168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58.8%</w:t>
            </w:r>
          </w:p>
        </w:tc>
        <w:tc>
          <w:tcPr>
            <w:tcW w:type="dxa" w:w="116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0.57</w:t>
            </w:r>
          </w:p>
        </w:tc>
        <w:tc>
          <w:tcPr>
            <w:tcW w:type="dxa" w:w="142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-93.1%</w:t>
            </w:r>
          </w:p>
        </w:tc>
        <w:tc>
          <w:tcPr>
            <w:tcW w:type="dxa" w:w="90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1.77</w:t>
            </w:r>
          </w:p>
        </w:tc>
        <w:tc>
          <w:tcPr>
            <w:tcW w:type="dxa" w:w="103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0.47</w:t>
            </w:r>
          </w:p>
        </w:tc>
        <w:tc>
          <w:tcPr>
            <w:tcW w:type="dxa" w:w="142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59.0%</w:t>
            </w:r>
          </w:p>
        </w:tc>
      </w:tr>
      <w:tr>
        <w:trPr>
          <w:cantSplit/>
        </w:trPr>
        <w:tc>
          <w:tcPr>
            <w:tcW w:type="dxa" w:w="116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DELL</w:t>
            </w:r>
          </w:p>
        </w:tc>
        <w:tc>
          <w:tcPr>
            <w:tcW w:type="dxa" w:w="129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2016-09</w:t>
            </w:r>
          </w:p>
        </w:tc>
        <w:tc>
          <w:tcPr>
            <w:tcW w:type="dxa" w:w="116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70</w:t>
            </w:r>
          </w:p>
        </w:tc>
        <w:tc>
          <w:tcPr>
            <w:tcW w:type="dxa" w:w="168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267.4%</w:t>
            </w:r>
          </w:p>
        </w:tc>
        <w:tc>
          <w:tcPr>
            <w:tcW w:type="dxa" w:w="103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25.4%</w:t>
            </w:r>
          </w:p>
        </w:tc>
        <w:tc>
          <w:tcPr>
            <w:tcW w:type="dxa" w:w="168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29.0%</w:t>
            </w:r>
          </w:p>
        </w:tc>
        <w:tc>
          <w:tcPr>
            <w:tcW w:type="dxa" w:w="116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0.88</w:t>
            </w:r>
          </w:p>
        </w:tc>
        <w:tc>
          <w:tcPr>
            <w:tcW w:type="dxa" w:w="142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-41.3%</w:t>
            </w:r>
          </w:p>
        </w:tc>
        <w:tc>
          <w:tcPr>
            <w:tcW w:type="dxa" w:w="90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0.84</w:t>
            </w:r>
          </w:p>
        </w:tc>
        <w:tc>
          <w:tcPr>
            <w:tcW w:type="dxa" w:w="103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0.46</w:t>
            </w:r>
          </w:p>
        </w:tc>
        <w:tc>
          <w:tcPr>
            <w:tcW w:type="dxa" w:w="142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66.7%</w:t>
            </w:r>
          </w:p>
        </w:tc>
      </w:tr>
      <w:tr>
        <w:trPr>
          <w:cantSplit/>
        </w:trPr>
        <w:tc>
          <w:tcPr>
            <w:tcW w:type="dxa" w:w="116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GOOGL</w:t>
            </w:r>
          </w:p>
        </w:tc>
        <w:tc>
          <w:tcPr>
            <w:tcW w:type="dxa" w:w="129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2004-09</w:t>
            </w:r>
          </w:p>
        </w:tc>
        <w:tc>
          <w:tcPr>
            <w:tcW w:type="dxa" w:w="116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214</w:t>
            </w:r>
          </w:p>
        </w:tc>
        <w:tc>
          <w:tcPr>
            <w:tcW w:type="dxa" w:w="168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3,353.6%</w:t>
            </w:r>
          </w:p>
        </w:tc>
        <w:tc>
          <w:tcPr>
            <w:tcW w:type="dxa" w:w="103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22.1%</w:t>
            </w:r>
          </w:p>
        </w:tc>
        <w:tc>
          <w:tcPr>
            <w:tcW w:type="dxa" w:w="168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30.1%</w:t>
            </w:r>
          </w:p>
        </w:tc>
        <w:tc>
          <w:tcPr>
            <w:tcW w:type="dxa" w:w="116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0.73</w:t>
            </w:r>
          </w:p>
        </w:tc>
        <w:tc>
          <w:tcPr>
            <w:tcW w:type="dxa" w:w="142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-58.6%</w:t>
            </w:r>
          </w:p>
        </w:tc>
        <w:tc>
          <w:tcPr>
            <w:tcW w:type="dxa" w:w="90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1.08</w:t>
            </w:r>
          </w:p>
        </w:tc>
        <w:tc>
          <w:tcPr>
            <w:tcW w:type="dxa" w:w="103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0.53</w:t>
            </w:r>
          </w:p>
        </w:tc>
        <w:tc>
          <w:tcPr>
            <w:tcW w:type="dxa" w:w="142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60.6%</w:t>
            </w:r>
          </w:p>
        </w:tc>
      </w:tr>
      <w:tr>
        <w:trPr>
          <w:cantSplit/>
        </w:trPr>
        <w:tc>
          <w:tcPr>
            <w:tcW w:type="dxa" w:w="116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ADBE</w:t>
            </w:r>
          </w:p>
        </w:tc>
        <w:tc>
          <w:tcPr>
            <w:tcW w:type="dxa" w:w="129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1990-01</w:t>
            </w:r>
          </w:p>
        </w:tc>
        <w:tc>
          <w:tcPr>
            <w:tcW w:type="dxa" w:w="116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390</w:t>
            </w:r>
          </w:p>
        </w:tc>
        <w:tc>
          <w:tcPr>
            <w:tcW w:type="dxa" w:w="168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26,413.0%</w:t>
            </w:r>
          </w:p>
        </w:tc>
        <w:tc>
          <w:tcPr>
            <w:tcW w:type="dxa" w:w="103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18.8%</w:t>
            </w:r>
          </w:p>
        </w:tc>
        <w:tc>
          <w:tcPr>
            <w:tcW w:type="dxa" w:w="168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44.7%</w:t>
            </w:r>
          </w:p>
        </w:tc>
        <w:tc>
          <w:tcPr>
            <w:tcW w:type="dxa" w:w="116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0.42</w:t>
            </w:r>
          </w:p>
        </w:tc>
        <w:tc>
          <w:tcPr>
            <w:tcW w:type="dxa" w:w="142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-75.3%</w:t>
            </w:r>
          </w:p>
        </w:tc>
        <w:tc>
          <w:tcPr>
            <w:tcW w:type="dxa" w:w="90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1.45</w:t>
            </w:r>
          </w:p>
        </w:tc>
        <w:tc>
          <w:tcPr>
            <w:tcW w:type="dxa" w:w="103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0.48</w:t>
            </w:r>
          </w:p>
        </w:tc>
        <w:tc>
          <w:tcPr>
            <w:tcW w:type="dxa" w:w="142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59.4%</w:t>
            </w:r>
          </w:p>
        </w:tc>
      </w:tr>
      <w:tr>
        <w:trPr>
          <w:cantSplit/>
        </w:trPr>
        <w:tc>
          <w:tcPr>
            <w:tcW w:type="dxa" w:w="116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S&amp;P 500</w:t>
            </w:r>
          </w:p>
        </w:tc>
        <w:tc>
          <w:tcPr>
            <w:tcW w:type="dxa" w:w="129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1990-01</w:t>
            </w:r>
          </w:p>
        </w:tc>
        <w:tc>
          <w:tcPr>
            <w:tcW w:type="dxa" w:w="116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390</w:t>
            </w:r>
          </w:p>
        </w:tc>
        <w:tc>
          <w:tcPr>
            <w:tcW w:type="dxa" w:w="168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1,061.3%</w:t>
            </w:r>
          </w:p>
        </w:tc>
        <w:tc>
          <w:tcPr>
            <w:tcW w:type="dxa" w:w="103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7.9%</w:t>
            </w:r>
          </w:p>
        </w:tc>
        <w:tc>
          <w:tcPr>
            <w:tcW w:type="dxa" w:w="168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14.7%</w:t>
            </w:r>
          </w:p>
        </w:tc>
        <w:tc>
          <w:tcPr>
            <w:tcW w:type="dxa" w:w="116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0.54</w:t>
            </w:r>
          </w:p>
        </w:tc>
        <w:tc>
          <w:tcPr>
            <w:tcW w:type="dxa" w:w="142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-52.6%</w:t>
            </w:r>
          </w:p>
        </w:tc>
        <w:tc>
          <w:tcPr>
            <w:tcW w:type="dxa" w:w="90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1.00</w:t>
            </w:r>
          </w:p>
        </w:tc>
        <w:tc>
          <w:tcPr>
            <w:tcW w:type="dxa" w:w="103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1.00</w:t>
            </w:r>
          </w:p>
        </w:tc>
        <w:tc>
          <w:tcPr>
            <w:tcW w:type="dxa" w:w="142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64.0%</w:t>
            </w:r>
          </w:p>
        </w:tc>
      </w:tr>
      <w:tr>
        <w:trPr>
          <w:cantSplit/>
        </w:trPr>
        <w:tc>
          <w:tcPr>
            <w:tcW w:type="dxa" w:w="116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NASDAQ</w:t>
            </w:r>
          </w:p>
        </w:tc>
        <w:tc>
          <w:tcPr>
            <w:tcW w:type="dxa" w:w="129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1990-01</w:t>
            </w:r>
          </w:p>
        </w:tc>
        <w:tc>
          <w:tcPr>
            <w:tcW w:type="dxa" w:w="116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390</w:t>
            </w:r>
          </w:p>
        </w:tc>
        <w:tc>
          <w:tcPr>
            <w:tcW w:type="dxa" w:w="168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2,589.2%</w:t>
            </w:r>
          </w:p>
        </w:tc>
        <w:tc>
          <w:tcPr>
            <w:tcW w:type="dxa" w:w="103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10.7%</w:t>
            </w:r>
          </w:p>
        </w:tc>
        <w:tc>
          <w:tcPr>
            <w:tcW w:type="dxa" w:w="168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21.6%</w:t>
            </w:r>
          </w:p>
        </w:tc>
        <w:tc>
          <w:tcPr>
            <w:tcW w:type="dxa" w:w="116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0.49</w:t>
            </w:r>
          </w:p>
        </w:tc>
        <w:tc>
          <w:tcPr>
            <w:tcW w:type="dxa" w:w="142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-75.0%</w:t>
            </w:r>
          </w:p>
        </w:tc>
        <w:tc>
          <w:tcPr>
            <w:tcW w:type="dxa" w:w="90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1.25</w:t>
            </w:r>
          </w:p>
        </w:tc>
        <w:tc>
          <w:tcPr>
            <w:tcW w:type="dxa" w:w="103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0.85</w:t>
            </w:r>
          </w:p>
        </w:tc>
        <w:tc>
          <w:tcPr>
            <w:tcW w:type="dxa" w:w="142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61.2%</w:t>
            </w:r>
          </w:p>
        </w:tc>
      </w:tr>
    </w:tbl>
    <w:p>
      <w:pPr>
        <w:spacing w:after="120"/>
      </w:pPr>
    </w:p>
    <w:p>
      <w:pPr>
        <w:sectPr>
          <w:headerReference w:type="default" r:id="rId12"/>
          <w:footerReference w:type="default" r:id="rId13"/>
          <w:pgSz w:w="16838" w:h="11906" w:orient="landscape"/>
          <w:pgMar w:top="1300" w:right="1440" w:bottom="1200" w:left="1440" w:header="708" w:footer="708" w:gutter="0"/>
          <w:pgNumType/>
          <w:docGrid w:linePitch="360"/>
        </w:sectPr>
      </w:pPr>
    </w:p>
    <w:p>
      <w:pPr>
        <w:spacing w:after="120" w:line="276"/>
        <w:jc w:val="both"/>
      </w:pPr>
      <w:r>
        <w:rPr>
          <w:rFonts w:ascii="Calibri" w:cs="Calibri" w:eastAsia="Calibri" w:hAnsi="Calibri"/>
          <w:b/>
          <w:bCs/>
        </w:rPr>
        <w:t xml:space="preserve">How to read these tables.</w:t>
      </w:r>
      <w:r>
        <w:rPr>
          <w:rFonts w:ascii="Calibri" w:cs="Calibri" w:eastAsia="Calibri" w:hAnsi="Calibri"/>
        </w:rPr>
        <w:t xml:space="preserve"> Use the </w:t>
      </w:r>
      <w:r>
        <w:rPr>
          <w:rFonts w:ascii="Calibri" w:cs="Calibri" w:eastAsia="Calibri" w:hAnsi="Calibri"/>
          <w:i/>
          <w:iCs/>
        </w:rPr>
        <w:t xml:space="preserve">common window</w:t>
      </w:r>
      <w:r>
        <w:rPr>
          <w:rFonts w:ascii="Calibri" w:cs="Calibri" w:eastAsia="Calibri" w:hAnsi="Calibri"/>
        </w:rPr>
        <w:t xml:space="preserve"> table to compare holdings with each other, because every row covers exactly the same months. Use the </w:t>
      </w:r>
      <w:r>
        <w:rPr>
          <w:rFonts w:ascii="Calibri" w:cs="Calibri" w:eastAsia="Calibri" w:hAnsi="Calibri"/>
          <w:i/>
          <w:iCs/>
        </w:rPr>
        <w:t xml:space="preserve">full history</w:t>
      </w:r>
      <w:r>
        <w:rPr>
          <w:rFonts w:ascii="Calibri" w:cs="Calibri" w:eastAsia="Calibri" w:hAnsi="Calibri"/>
        </w:rPr>
        <w:t xml:space="preserve"> table to see long-run behaviour (for example Microsoft or Apple since 1990). Dell appears only in the full-history table.</w:t>
      </w:r>
    </w:p>
    <w:p>
      <w:pPr>
        <w:pStyle w:val="Heading1"/>
        <w:keepNext/>
        <w:spacing w:after="120" w:before="320"/>
      </w:pPr>
      <w:bookmarkStart w:name="sec18" w:id="18"/>
      <w:r>
        <w:rPr>
          <w:rFonts w:ascii="Calibri" w:cs="Calibri" w:eastAsia="Calibri" w:hAnsi="Calibri"/>
          <w:b/>
          <w:bCs/>
          <w:color w:val="1F3864"/>
          <w:sz w:val="30"/>
          <w:szCs w:val="30"/>
        </w:rPr>
        <w:t xml:space="preserve">9. Detailed analysis and visualisations</w:t>
      </w:r>
      <w:bookmarkEnd w:id="18"/>
    </w:p>
    <w:p>
      <w:pPr>
        <w:spacing w:after="120" w:line="276"/>
        <w:jc w:val="both"/>
      </w:pPr>
      <w:r>
        <w:rPr>
          <w:rFonts w:ascii="Calibri" w:cs="Calibri" w:eastAsia="Calibri" w:hAnsi="Calibri"/>
        </w:rPr>
        <w:t xml:space="preserve">Each subsection gives the business question, the method, the result (chart and table) and an interpretation that separates </w:t>
      </w:r>
      <w:r>
        <w:rPr>
          <w:rFonts w:ascii="Calibri" w:cs="Calibri" w:eastAsia="Calibri" w:hAnsi="Calibri"/>
          <w:b/>
          <w:bCs/>
        </w:rPr>
        <w:t xml:space="preserve">observed facts</w:t>
      </w:r>
      <w:r>
        <w:rPr>
          <w:rFonts w:ascii="Calibri" w:cs="Calibri" w:eastAsia="Calibri" w:hAnsi="Calibri"/>
        </w:rPr>
        <w:t xml:space="preserve"> from </w:t>
      </w:r>
      <w:r>
        <w:rPr>
          <w:rFonts w:ascii="Calibri" w:cs="Calibri" w:eastAsia="Calibri" w:hAnsi="Calibri"/>
          <w:b/>
          <w:bCs/>
        </w:rPr>
        <w:t xml:space="preserve">interpretations</w:t>
      </w:r>
      <w:r>
        <w:rPr>
          <w:rFonts w:ascii="Calibri" w:cs="Calibri" w:eastAsia="Calibri" w:hAnsi="Calibri"/>
        </w:rPr>
        <w:t xml:space="preserve"> and </w:t>
      </w:r>
      <w:r>
        <w:rPr>
          <w:rFonts w:ascii="Calibri" w:cs="Calibri" w:eastAsia="Calibri" w:hAnsi="Calibri"/>
          <w:b/>
          <w:bCs/>
        </w:rPr>
        <w:t xml:space="preserve">hypotheses</w:t>
      </w:r>
      <w:r>
        <w:rPr>
          <w:rFonts w:ascii="Calibri" w:cs="Calibri" w:eastAsia="Calibri" w:hAnsi="Calibri"/>
        </w:rPr>
        <w:t xml:space="preserve">.</w:t>
      </w:r>
    </w:p>
    <w:p>
      <w:pPr>
        <w:pStyle w:val="Heading2"/>
        <w:keepNext/>
        <w:spacing w:after="80" w:before="220"/>
      </w:pPr>
      <w:bookmarkStart w:name="sec19" w:id="19"/>
      <w:r>
        <w:rPr>
          <w:rFonts w:ascii="Calibri" w:cs="Calibri" w:eastAsia="Calibri" w:hAnsi="Calibri"/>
          <w:b/>
          <w:bCs/>
          <w:color w:val="2F5496"/>
          <w:sz w:val="25"/>
          <w:szCs w:val="25"/>
        </w:rPr>
        <w:t xml:space="preserve">9.1 Q1. Which holdings created the most value compared with the market?</w:t>
      </w:r>
      <w:bookmarkEnd w:id="19"/>
    </w:p>
    <w:p>
      <w:pPr>
        <w:spacing w:after="120" w:line="276"/>
        <w:jc w:val="both"/>
      </w:pPr>
      <w:r>
        <w:rPr>
          <w:rFonts w:ascii="Calibri" w:cs="Calibri" w:eastAsia="Calibri" w:hAnsi="Calibri"/>
          <w:b/>
          <w:bCs/>
        </w:rPr>
        <w:t xml:space="preserve">Method:</w:t>
      </w:r>
      <w:r>
        <w:rPr>
          <w:rFonts w:ascii="Calibri" w:cs="Calibri" w:eastAsia="Calibri" w:hAnsi="Calibri"/>
        </w:rPr>
        <w:t xml:space="preserve"> CAGR and total return, over each series' full history (Fig 1) and over the common window (Fig 2, value of 100 invested in September 2004).</w:t>
      </w:r>
    </w:p>
    <w:p>
      <w:pPr>
        <w:keepNext/>
        <w:spacing w:after="40" w:before="120"/>
        <w:jc w:val="center"/>
      </w:pPr>
      <w:r>
        <w:drawing>
          <wp:inline distT="0" distB="0" distL="0" distR="0">
            <wp:extent cx="4953000" cy="2886075"/>
            <wp:effectExtent t="0" r="0" b="0" l="0"/>
            <wp:docPr id="1" name="Fig 1. CAGR of each series over its own available history" descr="Fig 1. CAGR of each series over its own available history" title="Fig 1. CAGR of each series over its own available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8860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Fig 1. CAGR of each series over its own available history</w:t>
      </w:r>
    </w:p>
    <w:p>
      <w:pPr>
        <w:spacing w:after="120" w:line="276"/>
        <w:jc w:val="both"/>
      </w:pPr>
      <w:r>
        <w:rPr>
          <w:rFonts w:ascii="Calibri" w:cs="Calibri" w:eastAsia="Calibri" w:hAnsi="Calibri"/>
          <w:i/>
          <w:iCs/>
        </w:rPr>
        <w:t xml:space="preserve">Figure 1. CAGR of each series over its own available history</w:t>
      </w:r>
    </w:p>
    <w:p>
      <w:pPr>
        <w:keepNext/>
        <w:spacing w:after="40" w:before="120"/>
        <w:jc w:val="center"/>
      </w:pPr>
      <w:r>
        <w:drawing>
          <wp:inline distT="0" distB="0" distL="0" distR="0">
            <wp:extent cx="4953000" cy="2943225"/>
            <wp:effectExtent t="0" r="0" b="0" l="0"/>
            <wp:docPr id="2" name="Fig 2. Growth of 100 invested in September 2004 (log scale)" descr="Fig 2. Growth of 100 invested in September 2004 (log scale)" title="Fig 2. Growth of 100 invested in September 2004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9432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Fig 2. Growth of 100 invested in September 2004 (log scale)</w:t>
      </w:r>
    </w:p>
    <w:p>
      <w:pPr>
        <w:spacing w:after="120" w:line="276"/>
        <w:jc w:val="both"/>
      </w:pPr>
      <w:r>
        <w:rPr>
          <w:rFonts w:ascii="Calibri" w:cs="Calibri" w:eastAsia="Calibri" w:hAnsi="Calibri"/>
          <w:i/>
          <w:iCs/>
        </w:rPr>
        <w:t xml:space="preserve">Figure 2. Growth of 100 invested in September 2004 (log scale)</w:t>
      </w:r>
    </w:p>
    <w:p>
      <w:pPr>
        <w:spacing w:after="120" w:line="276"/>
        <w:jc w:val="both"/>
      </w:pPr>
      <w:r>
        <w:rPr>
          <w:rFonts w:ascii="Calibri" w:cs="Calibri" w:eastAsia="Calibri" w:hAnsi="Calibri"/>
          <w:b/>
          <w:bCs/>
        </w:rPr>
        <w:t xml:space="preserve">Value of 100 invested in September 2004, by June 2022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20"/>
                <w:szCs w:val="20"/>
              </w:rPr>
              <w:t xml:space="preserve">Series</w:t>
            </w:r>
          </w:p>
        </w:tc>
        <w:tc>
          <w:tcPr>
            <w:tcW w:type="dxa" w:w="4513"/>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20"/>
                <w:szCs w:val="20"/>
              </w:rPr>
              <w:t xml:space="preserve">Value of 100 in June 2022</w:t>
            </w:r>
          </w:p>
        </w:tc>
      </w:tr>
      <w:tr>
        <w:trPr>
          <w:cantSplit/>
        </w:trPr>
        <w:tc>
          <w:tcPr>
            <w:tcW w:type="dxa" w:w="45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AAPL</w:t>
            </w:r>
          </w:p>
        </w:tc>
        <w:tc>
          <w:tcPr>
            <w:tcW w:type="dxa" w:w="45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23,230</w:t>
            </w:r>
          </w:p>
        </w:tc>
      </w:tr>
      <w:tr>
        <w:trPr>
          <w:cantSplit/>
        </w:trPr>
        <w:tc>
          <w:tcPr>
            <w:tcW w:type="dxa" w:w="45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AMZN</w:t>
            </w:r>
          </w:p>
        </w:tc>
        <w:tc>
          <w:tcPr>
            <w:tcW w:type="dxa" w:w="45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5,257</w:t>
            </w:r>
          </w:p>
        </w:tc>
      </w:tr>
      <w:tr>
        <w:trPr>
          <w:cantSplit/>
        </w:trPr>
        <w:tc>
          <w:tcPr>
            <w:tcW w:type="dxa" w:w="45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GOOGL</w:t>
            </w:r>
          </w:p>
        </w:tc>
        <w:tc>
          <w:tcPr>
            <w:tcW w:type="dxa" w:w="45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3,454</w:t>
            </w:r>
          </w:p>
        </w:tc>
      </w:tr>
      <w:tr>
        <w:trPr>
          <w:cantSplit/>
        </w:trPr>
        <w:tc>
          <w:tcPr>
            <w:tcW w:type="dxa" w:w="45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ADBE</w:t>
            </w:r>
          </w:p>
        </w:tc>
        <w:tc>
          <w:tcPr>
            <w:tcW w:type="dxa" w:w="45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1,479</w:t>
            </w:r>
          </w:p>
        </w:tc>
      </w:tr>
      <w:tr>
        <w:trPr>
          <w:cantSplit/>
        </w:trPr>
        <w:tc>
          <w:tcPr>
            <w:tcW w:type="dxa" w:w="45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MSFT</w:t>
            </w:r>
          </w:p>
        </w:tc>
        <w:tc>
          <w:tcPr>
            <w:tcW w:type="dxa" w:w="45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1,459</w:t>
            </w:r>
          </w:p>
        </w:tc>
      </w:tr>
      <w:tr>
        <w:trPr>
          <w:cantSplit/>
        </w:trPr>
        <w:tc>
          <w:tcPr>
            <w:tcW w:type="dxa" w:w="45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NASDAQ</w:t>
            </w:r>
          </w:p>
        </w:tc>
        <w:tc>
          <w:tcPr>
            <w:tcW w:type="dxa" w:w="45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589</w:t>
            </w:r>
          </w:p>
        </w:tc>
      </w:tr>
      <w:tr>
        <w:trPr>
          <w:cantSplit/>
        </w:trPr>
        <w:tc>
          <w:tcPr>
            <w:tcW w:type="dxa" w:w="45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S&amp;P 500</w:t>
            </w:r>
          </w:p>
        </w:tc>
        <w:tc>
          <w:tcPr>
            <w:tcW w:type="dxa" w:w="45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343</w:t>
            </w:r>
          </w:p>
        </w:tc>
      </w:tr>
      <w:tr>
        <w:trPr>
          <w:cantSplit/>
        </w:trPr>
        <w:tc>
          <w:tcPr>
            <w:tcW w:type="dxa" w:w="45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IBM</w:t>
            </w:r>
          </w:p>
        </w:tc>
        <w:tc>
          <w:tcPr>
            <w:tcW w:type="dxa" w:w="45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284</w:t>
            </w:r>
          </w:p>
        </w:tc>
      </w:tr>
      <w:tr>
        <w:trPr>
          <w:cantSplit/>
        </w:trPr>
        <w:tc>
          <w:tcPr>
            <w:tcW w:type="dxa" w:w="45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XRX</w:t>
            </w:r>
          </w:p>
        </w:tc>
        <w:tc>
          <w:tcPr>
            <w:tcW w:type="dxa" w:w="45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64</w:t>
            </w:r>
          </w:p>
        </w:tc>
      </w:tr>
    </w:tbl>
    <w:p>
      <w:pPr>
        <w:spacing w:after="120"/>
      </w:pPr>
    </w:p>
    <w:p>
      <w:pPr>
        <w:spacing w:after="120" w:line="276"/>
        <w:jc w:val="both"/>
      </w:pPr>
      <w:r>
        <w:rPr>
          <w:rFonts w:ascii="Calibri" w:cs="Calibri" w:eastAsia="Calibri" w:hAnsi="Calibri"/>
          <w:b/>
          <w:bCs/>
        </w:rPr>
        <w:t xml:space="preserve">Observed facts (common window, 17.75 years).</w:t>
      </w:r>
    </w:p>
    <w:p>
      <w:pPr>
        <w:pStyle w:val="ListParagraph"/>
        <w:numPr>
          <w:ilvl w:val="0"/>
          <w:numId w:val="6"/>
        </w:numPr>
        <w:spacing w:after="60"/>
      </w:pPr>
      <w:r>
        <w:rPr>
          <w:rFonts w:ascii="Calibri" w:cs="Calibri" w:eastAsia="Calibri" w:hAnsi="Calibri"/>
        </w:rPr>
        <w:t xml:space="preserve">Apple grew fastest (CAGR </w:t>
      </w:r>
      <w:r>
        <w:rPr>
          <w:rFonts w:ascii="Calibri" w:cs="Calibri" w:eastAsia="Calibri" w:hAnsi="Calibri"/>
          <w:b/>
          <w:bCs/>
        </w:rPr>
        <w:t xml:space="preserve">35.9 %</w:t>
      </w:r>
      <w:r>
        <w:rPr>
          <w:rFonts w:ascii="Calibri" w:cs="Calibri" w:eastAsia="Calibri" w:hAnsi="Calibri"/>
        </w:rPr>
        <w:t xml:space="preserve">), then Amazon (</w:t>
      </w:r>
      <w:r>
        <w:rPr>
          <w:rFonts w:ascii="Calibri" w:cs="Calibri" w:eastAsia="Calibri" w:hAnsi="Calibri"/>
          <w:b/>
          <w:bCs/>
        </w:rPr>
        <w:t xml:space="preserve">25.0 %</w:t>
      </w:r>
      <w:r>
        <w:rPr>
          <w:rFonts w:ascii="Calibri" w:cs="Calibri" w:eastAsia="Calibri" w:hAnsi="Calibri"/>
        </w:rPr>
        <w:t xml:space="preserve">) and Alphabet (</w:t>
      </w:r>
      <w:r>
        <w:rPr>
          <w:rFonts w:ascii="Calibri" w:cs="Calibri" w:eastAsia="Calibri" w:hAnsi="Calibri"/>
          <w:b/>
          <w:bCs/>
        </w:rPr>
        <w:t xml:space="preserve">22.1 %</w:t>
      </w:r>
      <w:r>
        <w:rPr>
          <w:rFonts w:ascii="Calibri" w:cs="Calibri" w:eastAsia="Calibri" w:hAnsi="Calibri"/>
        </w:rPr>
        <w:t xml:space="preserve">). Adobe (</w:t>
      </w:r>
      <w:r>
        <w:rPr>
          <w:rFonts w:ascii="Calibri" w:cs="Calibri" w:eastAsia="Calibri" w:hAnsi="Calibri"/>
          <w:b/>
          <w:bCs/>
        </w:rPr>
        <w:t xml:space="preserve">16.4 %</w:t>
      </w:r>
      <w:r>
        <w:rPr>
          <w:rFonts w:ascii="Calibri" w:cs="Calibri" w:eastAsia="Calibri" w:hAnsi="Calibri"/>
        </w:rPr>
        <w:t xml:space="preserve">) and Microsoft (</w:t>
      </w:r>
      <w:r>
        <w:rPr>
          <w:rFonts w:ascii="Calibri" w:cs="Calibri" w:eastAsia="Calibri" w:hAnsi="Calibri"/>
          <w:b/>
          <w:bCs/>
        </w:rPr>
        <w:t xml:space="preserve">16.3 %</w:t>
      </w:r>
      <w:r>
        <w:rPr>
          <w:rFonts w:ascii="Calibri" w:cs="Calibri" w:eastAsia="Calibri" w:hAnsi="Calibri"/>
        </w:rPr>
        <w:t xml:space="preserve">) were almost equal. IBM grew </w:t>
      </w:r>
      <w:r>
        <w:rPr>
          <w:rFonts w:ascii="Calibri" w:cs="Calibri" w:eastAsia="Calibri" w:hAnsi="Calibri"/>
          <w:b/>
          <w:bCs/>
        </w:rPr>
        <w:t xml:space="preserve">6.1 %</w:t>
      </w:r>
      <w:r>
        <w:rPr>
          <w:rFonts w:ascii="Calibri" w:cs="Calibri" w:eastAsia="Calibri" w:hAnsi="Calibri"/>
        </w:rPr>
        <w:t xml:space="preserve"> a year, below the S&amp;P 500 (</w:t>
      </w:r>
      <w:r>
        <w:rPr>
          <w:rFonts w:ascii="Calibri" w:cs="Calibri" w:eastAsia="Calibri" w:hAnsi="Calibri"/>
          <w:b/>
          <w:bCs/>
        </w:rPr>
        <w:t xml:space="preserve">7.2 %</w:t>
      </w:r>
      <w:r>
        <w:rPr>
          <w:rFonts w:ascii="Calibri" w:cs="Calibri" w:eastAsia="Calibri" w:hAnsi="Calibri"/>
        </w:rPr>
        <w:t xml:space="preserve">). Xerox lost value (</w:t>
      </w:r>
      <w:r>
        <w:rPr>
          <w:rFonts w:ascii="Calibri" w:cs="Calibri" w:eastAsia="Calibri" w:hAnsi="Calibri"/>
          <w:b/>
          <w:bCs/>
        </w:rPr>
        <w:t xml:space="preserve">−2.5 %</w:t>
      </w:r>
      <w:r>
        <w:rPr>
          <w:rFonts w:ascii="Calibri" w:cs="Calibri" w:eastAsia="Calibri" w:hAnsi="Calibri"/>
        </w:rPr>
        <w:t xml:space="preserve"> a year; a 100 investment fell to about </w:t>
      </w:r>
      <w:r>
        <w:rPr>
          <w:rFonts w:ascii="Calibri" w:cs="Calibri" w:eastAsia="Calibri" w:hAnsi="Calibri"/>
          <w:b/>
          <w:bCs/>
        </w:rPr>
        <w:t xml:space="preserve">64</w:t>
      </w:r>
      <w:r>
        <w:rPr>
          <w:rFonts w:ascii="Calibri" w:cs="Calibri" w:eastAsia="Calibri" w:hAnsi="Calibri"/>
        </w:rPr>
        <w:t xml:space="preserve">).</w:t>
      </w:r>
    </w:p>
    <w:p>
      <w:pPr>
        <w:pStyle w:val="ListParagraph"/>
        <w:numPr>
          <w:ilvl w:val="0"/>
          <w:numId w:val="6"/>
        </w:numPr>
        <w:spacing w:after="60"/>
      </w:pPr>
      <w:r>
        <w:rPr>
          <w:rFonts w:ascii="Calibri" w:cs="Calibri" w:eastAsia="Calibri" w:hAnsi="Calibri"/>
        </w:rPr>
        <w:t xml:space="preserve">Five of the seven holdings grew faster than the NASDAQ Composite (</w:t>
      </w:r>
      <w:r>
        <w:rPr>
          <w:rFonts w:ascii="Calibri" w:cs="Calibri" w:eastAsia="Calibri" w:hAnsi="Calibri"/>
          <w:b/>
          <w:bCs/>
        </w:rPr>
        <w:t xml:space="preserve">10.5 %</w:t>
      </w:r>
      <w:r>
        <w:rPr>
          <w:rFonts w:ascii="Calibri" w:cs="Calibri" w:eastAsia="Calibri" w:hAnsi="Calibri"/>
        </w:rPr>
        <w:t xml:space="preserve">).</w:t>
      </w:r>
    </w:p>
    <w:p>
      <w:pPr>
        <w:pStyle w:val="ListParagraph"/>
        <w:numPr>
          <w:ilvl w:val="0"/>
          <w:numId w:val="6"/>
        </w:numPr>
        <w:spacing w:after="60"/>
      </w:pPr>
      <w:r>
        <w:rPr>
          <w:rFonts w:ascii="Calibri" w:cs="Calibri" w:eastAsia="Calibri" w:hAnsi="Calibri"/>
        </w:rPr>
        <w:t xml:space="preserve">Over the full history, Microsoft (</w:t>
      </w:r>
      <w:r>
        <w:rPr>
          <w:rFonts w:ascii="Calibri" w:cs="Calibri" w:eastAsia="Calibri" w:hAnsi="Calibri"/>
          <w:b/>
          <w:bCs/>
        </w:rPr>
        <w:t xml:space="preserve">22.0 %</w:t>
      </w:r>
      <w:r>
        <w:rPr>
          <w:rFonts w:ascii="Calibri" w:cs="Calibri" w:eastAsia="Calibri" w:hAnsi="Calibri"/>
        </w:rPr>
        <w:t xml:space="preserve">), Apple (</w:t>
      </w:r>
      <w:r>
        <w:rPr>
          <w:rFonts w:ascii="Calibri" w:cs="Calibri" w:eastAsia="Calibri" w:hAnsi="Calibri"/>
          <w:b/>
          <w:bCs/>
        </w:rPr>
        <w:t xml:space="preserve">21.6 %</w:t>
      </w:r>
      <w:r>
        <w:rPr>
          <w:rFonts w:ascii="Calibri" w:cs="Calibri" w:eastAsia="Calibri" w:hAnsi="Calibri"/>
        </w:rPr>
        <w:t xml:space="preserve">) and Adobe (</w:t>
      </w:r>
      <w:r>
        <w:rPr>
          <w:rFonts w:ascii="Calibri" w:cs="Calibri" w:eastAsia="Calibri" w:hAnsi="Calibri"/>
          <w:b/>
          <w:bCs/>
        </w:rPr>
        <w:t xml:space="preserve">18.8 %</w:t>
      </w:r>
      <w:r>
        <w:rPr>
          <w:rFonts w:ascii="Calibri" w:cs="Calibri" w:eastAsia="Calibri" w:hAnsi="Calibri"/>
        </w:rPr>
        <w:t xml:space="preserve">) grew far faster than the S&amp;P 500 (</w:t>
      </w:r>
      <w:r>
        <w:rPr>
          <w:rFonts w:ascii="Calibri" w:cs="Calibri" w:eastAsia="Calibri" w:hAnsi="Calibri"/>
          <w:b/>
          <w:bCs/>
        </w:rPr>
        <w:t xml:space="preserve">7.9 %</w:t>
      </w:r>
      <w:r>
        <w:rPr>
          <w:rFonts w:ascii="Calibri" w:cs="Calibri" w:eastAsia="Calibri" w:hAnsi="Calibri"/>
        </w:rPr>
        <w:t xml:space="preserve">) and NASDAQ (</w:t>
      </w:r>
      <w:r>
        <w:rPr>
          <w:rFonts w:ascii="Calibri" w:cs="Calibri" w:eastAsia="Calibri" w:hAnsi="Calibri"/>
          <w:b/>
          <w:bCs/>
        </w:rPr>
        <w:t xml:space="preserve">10.7 %</w:t>
      </w:r>
      <w:r>
        <w:rPr>
          <w:rFonts w:ascii="Calibri" w:cs="Calibri" w:eastAsia="Calibri" w:hAnsi="Calibri"/>
        </w:rPr>
        <w:t xml:space="preserve">); IBM (</w:t>
      </w:r>
      <w:r>
        <w:rPr>
          <w:rFonts w:ascii="Calibri" w:cs="Calibri" w:eastAsia="Calibri" w:hAnsi="Calibri"/>
          <w:b/>
          <w:bCs/>
        </w:rPr>
        <w:t xml:space="preserve">8.2 %</w:t>
      </w:r>
      <w:r>
        <w:rPr>
          <w:rFonts w:ascii="Calibri" w:cs="Calibri" w:eastAsia="Calibri" w:hAnsi="Calibri"/>
        </w:rPr>
        <w:t xml:space="preserve">) was close to the S&amp;P 500; Xerox managed </w:t>
      </w:r>
      <w:r>
        <w:rPr>
          <w:rFonts w:ascii="Calibri" w:cs="Calibri" w:eastAsia="Calibri" w:hAnsi="Calibri"/>
          <w:b/>
          <w:bCs/>
        </w:rPr>
        <w:t xml:space="preserve">1.1 %</w:t>
      </w:r>
      <w:r>
        <w:rPr>
          <w:rFonts w:ascii="Calibri" w:cs="Calibri" w:eastAsia="Calibri" w:hAnsi="Calibri"/>
        </w:rPr>
        <w:t xml:space="preserve">. Amazon has grown </w:t>
      </w:r>
      <w:r>
        <w:rPr>
          <w:rFonts w:ascii="Calibri" w:cs="Calibri" w:eastAsia="Calibri" w:hAnsi="Calibri"/>
          <w:b/>
          <w:bCs/>
        </w:rPr>
        <w:t xml:space="preserve">33.6 %</w:t>
      </w:r>
      <w:r>
        <w:rPr>
          <w:rFonts w:ascii="Calibri" w:cs="Calibri" w:eastAsia="Calibri" w:hAnsi="Calibri"/>
        </w:rPr>
        <w:t xml:space="preserve"> a year since June 1997.</w:t>
      </w:r>
    </w:p>
    <w:p>
      <w:pPr>
        <w:spacing w:after="120" w:line="276"/>
        <w:jc w:val="both"/>
      </w:pPr>
      <w:r>
        <w:rPr>
          <w:rFonts w:ascii="Calibri" w:cs="Calibri" w:eastAsia="Calibri" w:hAnsi="Calibri"/>
          <w:b/>
          <w:bCs/>
        </w:rPr>
        <w:t xml:space="preserve">Interpretation.</w:t>
      </w:r>
      <w:r>
        <w:rPr>
          <w:rFonts w:ascii="Calibri" w:cs="Calibri" w:eastAsia="Calibri" w:hAnsi="Calibri"/>
        </w:rPr>
        <w:t xml:space="preserve"> Growth was very unequal. Three holdings (Apple, Amazon, Alphabet) account for the largest gains; two (IBM, Xerox) did not beat the broad market.</w:t>
      </w:r>
    </w:p>
    <w:p>
      <w:pPr>
        <w:spacing w:after="120" w:line="276"/>
        <w:jc w:val="both"/>
      </w:pPr>
      <w:r>
        <w:rPr>
          <w:rFonts w:ascii="Calibri" w:cs="Calibri" w:eastAsia="Calibri" w:hAnsi="Calibri"/>
          <w:b/>
          <w:bCs/>
        </w:rPr>
        <w:t xml:space="preserve">Limitations.</w:t>
      </w:r>
      <w:r>
        <w:rPr>
          <w:rFonts w:ascii="Calibri" w:cs="Calibri" w:eastAsia="Calibri" w:hAnsi="Calibri"/>
        </w:rPr>
        <w:t xml:space="preserve"> These companies are well-known names that exist today, so the set is likely to look better than a random selection of 1990 technology companies (survivorship bias). If the file's stock prices are adjusted for dividends but the index levels are not, the stocks have a small built-in advantage over the indices. The causes of each company's performance are not in this dataset.</w:t>
      </w:r>
    </w:p>
    <w:p>
      <w:pPr>
        <w:pStyle w:val="Heading2"/>
        <w:keepNext/>
        <w:spacing w:after="80" w:before="220"/>
      </w:pPr>
      <w:bookmarkStart w:name="sec20" w:id="20"/>
      <w:r>
        <w:rPr>
          <w:rFonts w:ascii="Calibri" w:cs="Calibri" w:eastAsia="Calibri" w:hAnsi="Calibri"/>
          <w:b/>
          <w:bCs/>
          <w:color w:val="2F5496"/>
          <w:sz w:val="25"/>
          <w:szCs w:val="25"/>
        </w:rPr>
        <w:t xml:space="preserve">9.2 Q2. How risky was each holding?</w:t>
      </w:r>
      <w:bookmarkEnd w:id="20"/>
    </w:p>
    <w:p>
      <w:pPr>
        <w:spacing w:after="120" w:line="276"/>
        <w:jc w:val="both"/>
      </w:pPr>
      <w:r>
        <w:rPr>
          <w:rFonts w:ascii="Calibri" w:cs="Calibri" w:eastAsia="Calibri" w:hAnsi="Calibri"/>
          <w:b/>
          <w:bCs/>
        </w:rPr>
        <w:t xml:space="preserve">Method:</w:t>
      </w:r>
      <w:r>
        <w:rPr>
          <w:rFonts w:ascii="Calibri" w:cs="Calibri" w:eastAsia="Calibri" w:hAnsi="Calibri"/>
        </w:rPr>
        <w:t xml:space="preserve"> annualised volatility, maximum drawdown (Fig 4), and the spread of monthly returns (Fig 5 box plot, Fig 6 histograms). Fig 3 plots growth against volatility.</w:t>
      </w:r>
    </w:p>
    <w:p>
      <w:pPr>
        <w:keepNext/>
        <w:spacing w:after="40" w:before="120"/>
        <w:jc w:val="center"/>
      </w:pPr>
      <w:r>
        <w:drawing>
          <wp:inline distT="0" distB="0" distL="0" distR="0">
            <wp:extent cx="4953000" cy="3371850"/>
            <wp:effectExtent t="0" r="0" b="0" l="0"/>
            <wp:docPr id="3" name="Fig 3. Growth against risk, common window" descr="Fig 3. Growth against risk, common window" title="Fig 3. Growth against risk, common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33718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Fig 3. Growth against risk, common window</w:t>
      </w:r>
    </w:p>
    <w:p>
      <w:pPr>
        <w:spacing w:after="120" w:line="276"/>
        <w:jc w:val="both"/>
      </w:pPr>
      <w:r>
        <w:rPr>
          <w:rFonts w:ascii="Calibri" w:cs="Calibri" w:eastAsia="Calibri" w:hAnsi="Calibri"/>
          <w:i/>
          <w:iCs/>
        </w:rPr>
        <w:t xml:space="preserve">Figure 3. Growth against risk, common window</w:t>
      </w:r>
    </w:p>
    <w:p>
      <w:pPr>
        <w:keepNext/>
        <w:spacing w:after="40" w:before="120"/>
        <w:jc w:val="center"/>
      </w:pPr>
      <w:r>
        <w:drawing>
          <wp:inline distT="0" distB="0" distL="0" distR="0">
            <wp:extent cx="4953000" cy="3352800"/>
            <wp:effectExtent t="0" r="0" b="0" l="0"/>
            <wp:docPr id="4" name="Fig 4. Fall from previous high, common window" descr="Fig 4. Fall from previous high, common window" title="Fig 4. Fall from previous high, common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33528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Fig 4. Fall from previous high, common window</w:t>
      </w:r>
    </w:p>
    <w:p>
      <w:pPr>
        <w:spacing w:after="120" w:line="276"/>
        <w:jc w:val="both"/>
      </w:pPr>
      <w:r>
        <w:rPr>
          <w:rFonts w:ascii="Calibri" w:cs="Calibri" w:eastAsia="Calibri" w:hAnsi="Calibri"/>
          <w:i/>
          <w:iCs/>
        </w:rPr>
        <w:t xml:space="preserve">Figure 4. Fall from previous high, common window</w:t>
      </w:r>
    </w:p>
    <w:p>
      <w:pPr>
        <w:keepNext/>
        <w:spacing w:after="40" w:before="120"/>
        <w:jc w:val="center"/>
      </w:pPr>
      <w:r>
        <w:drawing>
          <wp:inline distT="0" distB="0" distL="0" distR="0">
            <wp:extent cx="4953000" cy="2714625"/>
            <wp:effectExtent t="0" r="0" b="0" l="0"/>
            <wp:docPr id="5" name="Fig 5. Spread of monthly returns" descr="Fig 5. Spread of monthly returns" title="Fig 5. Spread of monthly retu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27146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Fig 5. Spread of monthly returns</w:t>
      </w:r>
    </w:p>
    <w:p>
      <w:pPr>
        <w:spacing w:after="120" w:line="276"/>
        <w:jc w:val="both"/>
      </w:pPr>
      <w:r>
        <w:rPr>
          <w:rFonts w:ascii="Calibri" w:cs="Calibri" w:eastAsia="Calibri" w:hAnsi="Calibri"/>
          <w:i/>
          <w:iCs/>
        </w:rPr>
        <w:t xml:space="preserve">Figure 5. Spread of monthly returns</w:t>
      </w:r>
    </w:p>
    <w:p>
      <w:pPr>
        <w:keepNext/>
        <w:spacing w:after="40" w:before="120"/>
        <w:jc w:val="center"/>
      </w:pPr>
      <w:r>
        <w:drawing>
          <wp:inline distT="0" distB="0" distL="0" distR="0">
            <wp:extent cx="4953000" cy="3524250"/>
            <wp:effectExtent t="0" r="0" b="0" l="0"/>
            <wp:docPr id="6" name="Fig 6. Distribution of monthly returns" descr="Fig 6. Distribution of monthly returns" title="Fig 6. Distribution of monthly retu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35242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Fig 6. Distribution of monthly returns</w:t>
      </w:r>
    </w:p>
    <w:p>
      <w:pPr>
        <w:spacing w:after="120" w:line="276"/>
        <w:jc w:val="both"/>
      </w:pPr>
      <w:r>
        <w:rPr>
          <w:rFonts w:ascii="Calibri" w:cs="Calibri" w:eastAsia="Calibri" w:hAnsi="Calibri"/>
          <w:i/>
          <w:iCs/>
        </w:rPr>
        <w:t xml:space="preserve">Figure 6. Distribution of monthly returns</w:t>
      </w:r>
    </w:p>
    <w:p>
      <w:pPr>
        <w:spacing w:after="120" w:line="276"/>
        <w:jc w:val="both"/>
      </w:pPr>
      <w:r>
        <w:rPr>
          <w:rFonts w:ascii="Calibri" w:cs="Calibri" w:eastAsia="Calibri" w:hAnsi="Calibri"/>
          <w:b/>
          <w:bCs/>
        </w:rPr>
        <w:t xml:space="preserve">Largest fall, common window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0"/>
        <w:gridCol w:w="2482"/>
        <w:gridCol w:w="2256"/>
        <w:gridCol w:w="2258"/>
      </w:tblGrid>
      <w:tr>
        <w:trPr>
          <w:cantSplit/>
        </w:trPr>
        <w:tc>
          <w:tcPr>
            <w:tcW w:type="dxa" w:w="2030"/>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Series</w:t>
            </w:r>
          </w:p>
        </w:tc>
        <w:tc>
          <w:tcPr>
            <w:tcW w:type="dxa" w:w="2482"/>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Max drawdown</w:t>
            </w:r>
          </w:p>
        </w:tc>
        <w:tc>
          <w:tcPr>
            <w:tcW w:type="dxa" w:w="2256"/>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Peak month</w:t>
            </w:r>
          </w:p>
        </w:tc>
        <w:tc>
          <w:tcPr>
            <w:tcW w:type="dxa" w:w="2258"/>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Trough month</w:t>
            </w:r>
          </w:p>
        </w:tc>
      </w:tr>
      <w:tr>
        <w:trPr>
          <w:cantSplit/>
        </w:trPr>
        <w:tc>
          <w:tcPr>
            <w:tcW w:type="dxa" w:w="203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IBM</w:t>
            </w:r>
          </w:p>
        </w:tc>
        <w:tc>
          <w:tcPr>
            <w:tcW w:type="dxa" w:w="248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-37.2%</w:t>
            </w:r>
          </w:p>
        </w:tc>
        <w:tc>
          <w:tcPr>
            <w:tcW w:type="dxa" w:w="225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2013-03</w:t>
            </w:r>
          </w:p>
        </w:tc>
        <w:tc>
          <w:tcPr>
            <w:tcW w:type="dxa" w:w="225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2016-01</w:t>
            </w:r>
          </w:p>
        </w:tc>
      </w:tr>
      <w:tr>
        <w:trPr>
          <w:cantSplit/>
        </w:trPr>
        <w:tc>
          <w:tcPr>
            <w:tcW w:type="dxa" w:w="203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AAPL</w:t>
            </w:r>
          </w:p>
        </w:tc>
        <w:tc>
          <w:tcPr>
            <w:tcW w:type="dxa" w:w="248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-56.9%</w:t>
            </w:r>
          </w:p>
        </w:tc>
        <w:tc>
          <w:tcPr>
            <w:tcW w:type="dxa" w:w="225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2007-12</w:t>
            </w:r>
          </w:p>
        </w:tc>
        <w:tc>
          <w:tcPr>
            <w:tcW w:type="dxa" w:w="225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2008-12</w:t>
            </w:r>
          </w:p>
        </w:tc>
      </w:tr>
      <w:tr>
        <w:trPr>
          <w:cantSplit/>
        </w:trPr>
        <w:tc>
          <w:tcPr>
            <w:tcW w:type="dxa" w:w="203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MSFT</w:t>
            </w:r>
          </w:p>
        </w:tc>
        <w:tc>
          <w:tcPr>
            <w:tcW w:type="dxa" w:w="248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-55.2%</w:t>
            </w:r>
          </w:p>
        </w:tc>
        <w:tc>
          <w:tcPr>
            <w:tcW w:type="dxa" w:w="225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2007-10</w:t>
            </w:r>
          </w:p>
        </w:tc>
        <w:tc>
          <w:tcPr>
            <w:tcW w:type="dxa" w:w="225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2009-02</w:t>
            </w:r>
          </w:p>
        </w:tc>
      </w:tr>
      <w:tr>
        <w:trPr>
          <w:cantSplit/>
        </w:trPr>
        <w:tc>
          <w:tcPr>
            <w:tcW w:type="dxa" w:w="203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XRX</w:t>
            </w:r>
          </w:p>
        </w:tc>
        <w:tc>
          <w:tcPr>
            <w:tcW w:type="dxa" w:w="248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-75.5%</w:t>
            </w:r>
          </w:p>
        </w:tc>
        <w:tc>
          <w:tcPr>
            <w:tcW w:type="dxa" w:w="225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2007-05</w:t>
            </w:r>
          </w:p>
        </w:tc>
        <w:tc>
          <w:tcPr>
            <w:tcW w:type="dxa" w:w="225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2009-03</w:t>
            </w:r>
          </w:p>
        </w:tc>
      </w:tr>
      <w:tr>
        <w:trPr>
          <w:cantSplit/>
        </w:trPr>
        <w:tc>
          <w:tcPr>
            <w:tcW w:type="dxa" w:w="203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AMZN</w:t>
            </w:r>
          </w:p>
        </w:tc>
        <w:tc>
          <w:tcPr>
            <w:tcW w:type="dxa" w:w="248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-54.2%</w:t>
            </w:r>
          </w:p>
        </w:tc>
        <w:tc>
          <w:tcPr>
            <w:tcW w:type="dxa" w:w="225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2007-09</w:t>
            </w:r>
          </w:p>
        </w:tc>
        <w:tc>
          <w:tcPr>
            <w:tcW w:type="dxa" w:w="225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2008-11</w:t>
            </w:r>
          </w:p>
        </w:tc>
      </w:tr>
      <w:tr>
        <w:trPr>
          <w:cantSplit/>
        </w:trPr>
        <w:tc>
          <w:tcPr>
            <w:tcW w:type="dxa" w:w="203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GOOGL</w:t>
            </w:r>
          </w:p>
        </w:tc>
        <w:tc>
          <w:tcPr>
            <w:tcW w:type="dxa" w:w="248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-58.6%</w:t>
            </w:r>
          </w:p>
        </w:tc>
        <w:tc>
          <w:tcPr>
            <w:tcW w:type="dxa" w:w="225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2007-10</w:t>
            </w:r>
          </w:p>
        </w:tc>
        <w:tc>
          <w:tcPr>
            <w:tcW w:type="dxa" w:w="225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2008-11</w:t>
            </w:r>
          </w:p>
        </w:tc>
      </w:tr>
      <w:tr>
        <w:trPr>
          <w:cantSplit/>
        </w:trPr>
        <w:tc>
          <w:tcPr>
            <w:tcW w:type="dxa" w:w="203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ADBE</w:t>
            </w:r>
          </w:p>
        </w:tc>
        <w:tc>
          <w:tcPr>
            <w:tcW w:type="dxa" w:w="248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-65.1%</w:t>
            </w:r>
          </w:p>
        </w:tc>
        <w:tc>
          <w:tcPr>
            <w:tcW w:type="dxa" w:w="225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2007-10</w:t>
            </w:r>
          </w:p>
        </w:tc>
        <w:tc>
          <w:tcPr>
            <w:tcW w:type="dxa" w:w="225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2009-02</w:t>
            </w:r>
          </w:p>
        </w:tc>
      </w:tr>
      <w:tr>
        <w:trPr>
          <w:cantSplit/>
        </w:trPr>
        <w:tc>
          <w:tcPr>
            <w:tcW w:type="dxa" w:w="203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S&amp;P 500</w:t>
            </w:r>
          </w:p>
        </w:tc>
        <w:tc>
          <w:tcPr>
            <w:tcW w:type="dxa" w:w="248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-52.6%</w:t>
            </w:r>
          </w:p>
        </w:tc>
        <w:tc>
          <w:tcPr>
            <w:tcW w:type="dxa" w:w="225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2007-10</w:t>
            </w:r>
          </w:p>
        </w:tc>
        <w:tc>
          <w:tcPr>
            <w:tcW w:type="dxa" w:w="225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2009-02</w:t>
            </w:r>
          </w:p>
        </w:tc>
      </w:tr>
      <w:tr>
        <w:trPr>
          <w:cantSplit/>
        </w:trPr>
        <w:tc>
          <w:tcPr>
            <w:tcW w:type="dxa" w:w="203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NASDAQ</w:t>
            </w:r>
          </w:p>
        </w:tc>
        <w:tc>
          <w:tcPr>
            <w:tcW w:type="dxa" w:w="248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-51.8%</w:t>
            </w:r>
          </w:p>
        </w:tc>
        <w:tc>
          <w:tcPr>
            <w:tcW w:type="dxa" w:w="225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2007-10</w:t>
            </w:r>
          </w:p>
        </w:tc>
        <w:tc>
          <w:tcPr>
            <w:tcW w:type="dxa" w:w="225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2009-02</w:t>
            </w:r>
          </w:p>
        </w:tc>
      </w:tr>
    </w:tbl>
    <w:p>
      <w:pPr>
        <w:spacing w:after="120"/>
      </w:pPr>
    </w:p>
    <w:p>
      <w:pPr>
        <w:spacing w:after="120" w:line="276"/>
        <w:jc w:val="both"/>
      </w:pPr>
      <w:r>
        <w:rPr>
          <w:rFonts w:ascii="Calibri" w:cs="Calibri" w:eastAsia="Calibri" w:hAnsi="Calibri"/>
          <w:b/>
          <w:bCs/>
        </w:rPr>
        <w:t xml:space="preserve">Largest fall over each series' full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0"/>
        <w:gridCol w:w="2482"/>
        <w:gridCol w:w="2256"/>
        <w:gridCol w:w="2258"/>
      </w:tblGrid>
      <w:tr>
        <w:trPr>
          <w:cantSplit/>
        </w:trPr>
        <w:tc>
          <w:tcPr>
            <w:tcW w:type="dxa" w:w="2030"/>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Series</w:t>
            </w:r>
          </w:p>
        </w:tc>
        <w:tc>
          <w:tcPr>
            <w:tcW w:type="dxa" w:w="2482"/>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Max drawdown</w:t>
            </w:r>
          </w:p>
        </w:tc>
        <w:tc>
          <w:tcPr>
            <w:tcW w:type="dxa" w:w="2256"/>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Peak month</w:t>
            </w:r>
          </w:p>
        </w:tc>
        <w:tc>
          <w:tcPr>
            <w:tcW w:type="dxa" w:w="2258"/>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Trough month</w:t>
            </w:r>
          </w:p>
        </w:tc>
      </w:tr>
      <w:tr>
        <w:trPr>
          <w:cantSplit/>
        </w:trPr>
        <w:tc>
          <w:tcPr>
            <w:tcW w:type="dxa" w:w="203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IBM</w:t>
            </w:r>
          </w:p>
        </w:tc>
        <w:tc>
          <w:tcPr>
            <w:tcW w:type="dxa" w:w="248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-62.8%</w:t>
            </w:r>
          </w:p>
        </w:tc>
        <w:tc>
          <w:tcPr>
            <w:tcW w:type="dxa" w:w="225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1991-02</w:t>
            </w:r>
          </w:p>
        </w:tc>
        <w:tc>
          <w:tcPr>
            <w:tcW w:type="dxa" w:w="225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1993-09</w:t>
            </w:r>
          </w:p>
        </w:tc>
      </w:tr>
      <w:tr>
        <w:trPr>
          <w:cantSplit/>
        </w:trPr>
        <w:tc>
          <w:tcPr>
            <w:tcW w:type="dxa" w:w="203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AAPL</w:t>
            </w:r>
          </w:p>
        </w:tc>
        <w:tc>
          <w:tcPr>
            <w:tcW w:type="dxa" w:w="248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-79.6%</w:t>
            </w:r>
          </w:p>
        </w:tc>
        <w:tc>
          <w:tcPr>
            <w:tcW w:type="dxa" w:w="225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1991-03</w:t>
            </w:r>
          </w:p>
        </w:tc>
        <w:tc>
          <w:tcPr>
            <w:tcW w:type="dxa" w:w="225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1997-12</w:t>
            </w:r>
          </w:p>
        </w:tc>
      </w:tr>
      <w:tr>
        <w:trPr>
          <w:cantSplit/>
        </w:trPr>
        <w:tc>
          <w:tcPr>
            <w:tcW w:type="dxa" w:w="203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MSFT</w:t>
            </w:r>
          </w:p>
        </w:tc>
        <w:tc>
          <w:tcPr>
            <w:tcW w:type="dxa" w:w="248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-66.9%</w:t>
            </w:r>
          </w:p>
        </w:tc>
        <w:tc>
          <w:tcPr>
            <w:tcW w:type="dxa" w:w="225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1999-12</w:t>
            </w:r>
          </w:p>
        </w:tc>
        <w:tc>
          <w:tcPr>
            <w:tcW w:type="dxa" w:w="225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2009-02</w:t>
            </w:r>
          </w:p>
        </w:tc>
      </w:tr>
      <w:tr>
        <w:trPr>
          <w:cantSplit/>
        </w:trPr>
        <w:tc>
          <w:tcPr>
            <w:tcW w:type="dxa" w:w="203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XRX</w:t>
            </w:r>
          </w:p>
        </w:tc>
        <w:tc>
          <w:tcPr>
            <w:tcW w:type="dxa" w:w="248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-92.1%</w:t>
            </w:r>
          </w:p>
        </w:tc>
        <w:tc>
          <w:tcPr>
            <w:tcW w:type="dxa" w:w="225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1999-01</w:t>
            </w:r>
          </w:p>
        </w:tc>
        <w:tc>
          <w:tcPr>
            <w:tcW w:type="dxa" w:w="225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2000-12</w:t>
            </w:r>
          </w:p>
        </w:tc>
      </w:tr>
      <w:tr>
        <w:trPr>
          <w:cantSplit/>
        </w:trPr>
        <w:tc>
          <w:tcPr>
            <w:tcW w:type="dxa" w:w="203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AMZN</w:t>
            </w:r>
          </w:p>
        </w:tc>
        <w:tc>
          <w:tcPr>
            <w:tcW w:type="dxa" w:w="248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-93.1%</w:t>
            </w:r>
          </w:p>
        </w:tc>
        <w:tc>
          <w:tcPr>
            <w:tcW w:type="dxa" w:w="225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1999-03</w:t>
            </w:r>
          </w:p>
        </w:tc>
        <w:tc>
          <w:tcPr>
            <w:tcW w:type="dxa" w:w="225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2001-09</w:t>
            </w:r>
          </w:p>
        </w:tc>
      </w:tr>
      <w:tr>
        <w:trPr>
          <w:cantSplit/>
        </w:trPr>
        <w:tc>
          <w:tcPr>
            <w:tcW w:type="dxa" w:w="203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GOOGL</w:t>
            </w:r>
          </w:p>
        </w:tc>
        <w:tc>
          <w:tcPr>
            <w:tcW w:type="dxa" w:w="248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-58.6%</w:t>
            </w:r>
          </w:p>
        </w:tc>
        <w:tc>
          <w:tcPr>
            <w:tcW w:type="dxa" w:w="225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2007-10</w:t>
            </w:r>
          </w:p>
        </w:tc>
        <w:tc>
          <w:tcPr>
            <w:tcW w:type="dxa" w:w="225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2008-11</w:t>
            </w:r>
          </w:p>
        </w:tc>
      </w:tr>
      <w:tr>
        <w:trPr>
          <w:cantSplit/>
        </w:trPr>
        <w:tc>
          <w:tcPr>
            <w:tcW w:type="dxa" w:w="203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ADBE</w:t>
            </w:r>
          </w:p>
        </w:tc>
        <w:tc>
          <w:tcPr>
            <w:tcW w:type="dxa" w:w="248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-75.3%</w:t>
            </w:r>
          </w:p>
        </w:tc>
        <w:tc>
          <w:tcPr>
            <w:tcW w:type="dxa" w:w="225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2000-09</w:t>
            </w:r>
          </w:p>
        </w:tc>
        <w:tc>
          <w:tcPr>
            <w:tcW w:type="dxa" w:w="225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2002-09</w:t>
            </w:r>
          </w:p>
        </w:tc>
      </w:tr>
      <w:tr>
        <w:trPr>
          <w:cantSplit/>
        </w:trPr>
        <w:tc>
          <w:tcPr>
            <w:tcW w:type="dxa" w:w="203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S&amp;P 500</w:t>
            </w:r>
          </w:p>
        </w:tc>
        <w:tc>
          <w:tcPr>
            <w:tcW w:type="dxa" w:w="248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-52.6%</w:t>
            </w:r>
          </w:p>
        </w:tc>
        <w:tc>
          <w:tcPr>
            <w:tcW w:type="dxa" w:w="225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2007-10</w:t>
            </w:r>
          </w:p>
        </w:tc>
        <w:tc>
          <w:tcPr>
            <w:tcW w:type="dxa" w:w="225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2009-02</w:t>
            </w:r>
          </w:p>
        </w:tc>
      </w:tr>
      <w:tr>
        <w:trPr>
          <w:cantSplit/>
        </w:trPr>
        <w:tc>
          <w:tcPr>
            <w:tcW w:type="dxa" w:w="203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NASDAQ</w:t>
            </w:r>
          </w:p>
        </w:tc>
        <w:tc>
          <w:tcPr>
            <w:tcW w:type="dxa" w:w="248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-75.0%</w:t>
            </w:r>
          </w:p>
        </w:tc>
        <w:tc>
          <w:tcPr>
            <w:tcW w:type="dxa" w:w="225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2000-02</w:t>
            </w:r>
          </w:p>
        </w:tc>
        <w:tc>
          <w:tcPr>
            <w:tcW w:type="dxa" w:w="225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2002-09</w:t>
            </w:r>
          </w:p>
        </w:tc>
      </w:tr>
    </w:tbl>
    <w:p>
      <w:pPr>
        <w:spacing w:after="120"/>
      </w:pPr>
    </w:p>
    <w:p>
      <w:pPr>
        <w:spacing w:after="120" w:line="276"/>
        <w:jc w:val="both"/>
      </w:pPr>
      <w:r>
        <w:rPr>
          <w:rFonts w:ascii="Calibri" w:cs="Calibri" w:eastAsia="Calibri" w:hAnsi="Calibri"/>
          <w:b/>
          <w:bCs/>
        </w:rPr>
        <w:t xml:space="preserve">Observed facts.</w:t>
      </w:r>
    </w:p>
    <w:p>
      <w:pPr>
        <w:pStyle w:val="ListParagraph"/>
        <w:numPr>
          <w:ilvl w:val="0"/>
          <w:numId w:val="6"/>
        </w:numPr>
        <w:spacing w:after="60"/>
      </w:pPr>
      <w:r>
        <w:rPr>
          <w:rFonts w:ascii="Calibri" w:cs="Calibri" w:eastAsia="Calibri" w:hAnsi="Calibri"/>
        </w:rPr>
        <w:t xml:space="preserve">Volatility (common window): S&amp;P 500 </w:t>
      </w:r>
      <w:r>
        <w:rPr>
          <w:rFonts w:ascii="Calibri" w:cs="Calibri" w:eastAsia="Calibri" w:hAnsi="Calibri"/>
          <w:b/>
          <w:bCs/>
        </w:rPr>
        <w:t xml:space="preserve">14.7 %</w:t>
      </w:r>
      <w:r>
        <w:rPr>
          <w:rFonts w:ascii="Calibri" w:cs="Calibri" w:eastAsia="Calibri" w:hAnsi="Calibri"/>
        </w:rPr>
        <w:t xml:space="preserve">, NASDAQ </w:t>
      </w:r>
      <w:r>
        <w:rPr>
          <w:rFonts w:ascii="Calibri" w:cs="Calibri" w:eastAsia="Calibri" w:hAnsi="Calibri"/>
          <w:b/>
          <w:bCs/>
        </w:rPr>
        <w:t xml:space="preserve">17.5 %</w:t>
      </w:r>
      <w:r>
        <w:rPr>
          <w:rFonts w:ascii="Calibri" w:cs="Calibri" w:eastAsia="Calibri" w:hAnsi="Calibri"/>
        </w:rPr>
        <w:t xml:space="preserve">; the holdings ranged from </w:t>
      </w:r>
      <w:r>
        <w:rPr>
          <w:rFonts w:ascii="Calibri" w:cs="Calibri" w:eastAsia="Calibri" w:hAnsi="Calibri"/>
          <w:b/>
          <w:bCs/>
        </w:rPr>
        <w:t xml:space="preserve">20.9 %</w:t>
      </w:r>
      <w:r>
        <w:rPr>
          <w:rFonts w:ascii="Calibri" w:cs="Calibri" w:eastAsia="Calibri" w:hAnsi="Calibri"/>
        </w:rPr>
        <w:t xml:space="preserve"> (IBM) to </w:t>
      </w:r>
      <w:r>
        <w:rPr>
          <w:rFonts w:ascii="Calibri" w:cs="Calibri" w:eastAsia="Calibri" w:hAnsi="Calibri"/>
          <w:b/>
          <w:bCs/>
        </w:rPr>
        <w:t xml:space="preserve">36.3 %</w:t>
      </w:r>
      <w:r>
        <w:rPr>
          <w:rFonts w:ascii="Calibri" w:cs="Calibri" w:eastAsia="Calibri" w:hAnsi="Calibri"/>
        </w:rPr>
        <w:t xml:space="preserve"> (Amazon). Xerox (</w:t>
      </w:r>
      <w:r>
        <w:rPr>
          <w:rFonts w:ascii="Calibri" w:cs="Calibri" w:eastAsia="Calibri" w:hAnsi="Calibri"/>
          <w:b/>
          <w:bCs/>
        </w:rPr>
        <w:t xml:space="preserve">35.2 %</w:t>
      </w:r>
      <w:r>
        <w:rPr>
          <w:rFonts w:ascii="Calibri" w:cs="Calibri" w:eastAsia="Calibri" w:hAnsi="Calibri"/>
        </w:rPr>
        <w:t xml:space="preserve">) and Apple (</w:t>
      </w:r>
      <w:r>
        <w:rPr>
          <w:rFonts w:ascii="Calibri" w:cs="Calibri" w:eastAsia="Calibri" w:hAnsi="Calibri"/>
          <w:b/>
          <w:bCs/>
        </w:rPr>
        <w:t xml:space="preserve">33.1 %</w:t>
      </w:r>
      <w:r>
        <w:rPr>
          <w:rFonts w:ascii="Calibri" w:cs="Calibri" w:eastAsia="Calibri" w:hAnsi="Calibri"/>
        </w:rPr>
        <w:t xml:space="preserve">) were also high.</w:t>
      </w:r>
    </w:p>
    <w:p>
      <w:pPr>
        <w:pStyle w:val="ListParagraph"/>
        <w:numPr>
          <w:ilvl w:val="0"/>
          <w:numId w:val="6"/>
        </w:numPr>
        <w:spacing w:after="60"/>
      </w:pPr>
      <w:r>
        <w:rPr>
          <w:rFonts w:ascii="Calibri" w:cs="Calibri" w:eastAsia="Calibri" w:hAnsi="Calibri"/>
        </w:rPr>
        <w:t xml:space="preserve">Largest falls (common window): Xerox </w:t>
      </w:r>
      <w:r>
        <w:rPr>
          <w:rFonts w:ascii="Calibri" w:cs="Calibri" w:eastAsia="Calibri" w:hAnsi="Calibri"/>
          <w:b/>
          <w:bCs/>
        </w:rPr>
        <w:t xml:space="preserve">−75.5 %</w:t>
      </w:r>
      <w:r>
        <w:rPr>
          <w:rFonts w:ascii="Calibri" w:cs="Calibri" w:eastAsia="Calibri" w:hAnsi="Calibri"/>
        </w:rPr>
        <w:t xml:space="preserve">, Adobe </w:t>
      </w:r>
      <w:r>
        <w:rPr>
          <w:rFonts w:ascii="Calibri" w:cs="Calibri" w:eastAsia="Calibri" w:hAnsi="Calibri"/>
          <w:b/>
          <w:bCs/>
        </w:rPr>
        <w:t xml:space="preserve">−65.1 %</w:t>
      </w:r>
      <w:r>
        <w:rPr>
          <w:rFonts w:ascii="Calibri" w:cs="Calibri" w:eastAsia="Calibri" w:hAnsi="Calibri"/>
        </w:rPr>
        <w:t xml:space="preserve">, Alphabet </w:t>
      </w:r>
      <w:r>
        <w:rPr>
          <w:rFonts w:ascii="Calibri" w:cs="Calibri" w:eastAsia="Calibri" w:hAnsi="Calibri"/>
          <w:b/>
          <w:bCs/>
        </w:rPr>
        <w:t xml:space="preserve">−58.6 %</w:t>
      </w:r>
      <w:r>
        <w:rPr>
          <w:rFonts w:ascii="Calibri" w:cs="Calibri" w:eastAsia="Calibri" w:hAnsi="Calibri"/>
        </w:rPr>
        <w:t xml:space="preserve">, Apple </w:t>
      </w:r>
      <w:r>
        <w:rPr>
          <w:rFonts w:ascii="Calibri" w:cs="Calibri" w:eastAsia="Calibri" w:hAnsi="Calibri"/>
          <w:b/>
          <w:bCs/>
        </w:rPr>
        <w:t xml:space="preserve">−56.9 %</w:t>
      </w:r>
      <w:r>
        <w:rPr>
          <w:rFonts w:ascii="Calibri" w:cs="Calibri" w:eastAsia="Calibri" w:hAnsi="Calibri"/>
        </w:rPr>
        <w:t xml:space="preserve">, Microsoft </w:t>
      </w:r>
      <w:r>
        <w:rPr>
          <w:rFonts w:ascii="Calibri" w:cs="Calibri" w:eastAsia="Calibri" w:hAnsi="Calibri"/>
          <w:b/>
          <w:bCs/>
        </w:rPr>
        <w:t xml:space="preserve">−55.2 %</w:t>
      </w:r>
      <w:r>
        <w:rPr>
          <w:rFonts w:ascii="Calibri" w:cs="Calibri" w:eastAsia="Calibri" w:hAnsi="Calibri"/>
        </w:rPr>
        <w:t xml:space="preserve">, Amazon </w:t>
      </w:r>
      <w:r>
        <w:rPr>
          <w:rFonts w:ascii="Calibri" w:cs="Calibri" w:eastAsia="Calibri" w:hAnsi="Calibri"/>
          <w:b/>
          <w:bCs/>
        </w:rPr>
        <w:t xml:space="preserve">−54.2 %</w:t>
      </w:r>
      <w:r>
        <w:rPr>
          <w:rFonts w:ascii="Calibri" w:cs="Calibri" w:eastAsia="Calibri" w:hAnsi="Calibri"/>
        </w:rPr>
        <w:t xml:space="preserve">, against </w:t>
      </w:r>
      <w:r>
        <w:rPr>
          <w:rFonts w:ascii="Calibri" w:cs="Calibri" w:eastAsia="Calibri" w:hAnsi="Calibri"/>
          <w:b/>
          <w:bCs/>
        </w:rPr>
        <w:t xml:space="preserve">−52.6 %</w:t>
      </w:r>
      <w:r>
        <w:rPr>
          <w:rFonts w:ascii="Calibri" w:cs="Calibri" w:eastAsia="Calibri" w:hAnsi="Calibri"/>
        </w:rPr>
        <w:t xml:space="preserve"> for the S&amp;P 500. IBM's largest fall (</w:t>
      </w:r>
      <w:r>
        <w:rPr>
          <w:rFonts w:ascii="Calibri" w:cs="Calibri" w:eastAsia="Calibri" w:hAnsi="Calibri"/>
          <w:b/>
          <w:bCs/>
        </w:rPr>
        <w:t xml:space="preserve">−37.2 %</w:t>
      </w:r>
      <w:r>
        <w:rPr>
          <w:rFonts w:ascii="Calibri" w:cs="Calibri" w:eastAsia="Calibri" w:hAnsi="Calibri"/>
        </w:rPr>
        <w:t xml:space="preserve">) was the smallest. Six of the seven holdings fell further than the S&amp;P 500 at their worst point.</w:t>
      </w:r>
    </w:p>
    <w:p>
      <w:pPr>
        <w:pStyle w:val="ListParagraph"/>
        <w:numPr>
          <w:ilvl w:val="0"/>
          <w:numId w:val="6"/>
        </w:numPr>
        <w:spacing w:after="60"/>
      </w:pPr>
      <w:r>
        <w:rPr>
          <w:rFonts w:ascii="Calibri" w:cs="Calibri" w:eastAsia="Calibri" w:hAnsi="Calibri"/>
        </w:rPr>
        <w:t xml:space="preserve">Six holdings reached their peak in 2007 and their low between November 2008 and March 2009. IBM's largest fall was a different, slower episode (March 2013 to January 2016).</w:t>
      </w:r>
    </w:p>
    <w:p>
      <w:pPr>
        <w:pStyle w:val="ListParagraph"/>
        <w:numPr>
          <w:ilvl w:val="0"/>
          <w:numId w:val="6"/>
        </w:numPr>
        <w:spacing w:after="60"/>
      </w:pPr>
      <w:r>
        <w:rPr>
          <w:rFonts w:ascii="Calibri" w:cs="Calibri" w:eastAsia="Calibri" w:hAnsi="Calibri"/>
        </w:rPr>
        <w:t xml:space="preserve">Over the full history, Amazon fell </w:t>
      </w:r>
      <w:r>
        <w:rPr>
          <w:rFonts w:ascii="Calibri" w:cs="Calibri" w:eastAsia="Calibri" w:hAnsi="Calibri"/>
          <w:b/>
          <w:bCs/>
        </w:rPr>
        <w:t xml:space="preserve">93.1 %</w:t>
      </w:r>
      <w:r>
        <w:rPr>
          <w:rFonts w:ascii="Calibri" w:cs="Calibri" w:eastAsia="Calibri" w:hAnsi="Calibri"/>
        </w:rPr>
        <w:t xml:space="preserve"> (March 1999 to September 2001) and Xerox </w:t>
      </w:r>
      <w:r>
        <w:rPr>
          <w:rFonts w:ascii="Calibri" w:cs="Calibri" w:eastAsia="Calibri" w:hAnsi="Calibri"/>
          <w:b/>
          <w:bCs/>
        </w:rPr>
        <w:t xml:space="preserve">92.1 %</w:t>
      </w:r>
      <w:r>
        <w:rPr>
          <w:rFonts w:ascii="Calibri" w:cs="Calibri" w:eastAsia="Calibri" w:hAnsi="Calibri"/>
        </w:rPr>
        <w:t xml:space="preserve"> (January 1999 to December 2000) before the data show any recovery.</w:t>
      </w:r>
    </w:p>
    <w:p>
      <w:pPr>
        <w:pStyle w:val="ListParagraph"/>
        <w:numPr>
          <w:ilvl w:val="0"/>
          <w:numId w:val="6"/>
        </w:numPr>
        <w:spacing w:after="60"/>
      </w:pPr>
      <w:r>
        <w:rPr>
          <w:rFonts w:ascii="Calibri" w:cs="Calibri" w:eastAsia="Calibri" w:hAnsi="Calibri"/>
        </w:rPr>
        <w:t xml:space="preserve">Box plot and histograms: all holdings have a positive median monthly return, but their monthly returns are much more spread out than the indices', with long tails on both sides.</w:t>
      </w:r>
    </w:p>
    <w:p>
      <w:pPr>
        <w:spacing w:after="120" w:line="276"/>
        <w:jc w:val="both"/>
      </w:pPr>
      <w:r>
        <w:rPr>
          <w:rFonts w:ascii="Calibri" w:cs="Calibri" w:eastAsia="Calibri" w:hAnsi="Calibri"/>
          <w:b/>
          <w:bCs/>
        </w:rPr>
        <w:t xml:space="preserve">Interpretation.</w:t>
      </w:r>
      <w:r>
        <w:rPr>
          <w:rFonts w:ascii="Calibri" w:cs="Calibri" w:eastAsia="Calibri" w:hAnsi="Calibri"/>
        </w:rPr>
        <w:t xml:space="preserve"> High growth and high risk came together. Apple's, Amazon's and Alphabet's gains required living through falls of more than half their value. This is a statement about past prices; it does not explain </w:t>
      </w:r>
      <w:r>
        <w:rPr>
          <w:rFonts w:ascii="Calibri" w:cs="Calibri" w:eastAsia="Calibri" w:hAnsi="Calibri"/>
          <w:i/>
          <w:iCs/>
        </w:rPr>
        <w:t xml:space="preserve">why</w:t>
      </w:r>
      <w:r>
        <w:rPr>
          <w:rFonts w:ascii="Calibri" w:cs="Calibri" w:eastAsia="Calibri" w:hAnsi="Calibri"/>
        </w:rPr>
        <w:t xml:space="preserve"> the falls happened.</w:t>
      </w:r>
    </w:p>
    <w:p>
      <w:pPr>
        <w:spacing w:after="120" w:line="276"/>
        <w:jc w:val="both"/>
      </w:pPr>
      <w:r>
        <w:rPr>
          <w:rFonts w:ascii="Calibri" w:cs="Calibri" w:eastAsia="Calibri" w:hAnsi="Calibri"/>
          <w:b/>
          <w:bCs/>
        </w:rPr>
        <w:t xml:space="preserve">Limitation.</w:t>
      </w:r>
      <w:r>
        <w:rPr>
          <w:rFonts w:ascii="Calibri" w:cs="Calibri" w:eastAsia="Calibri" w:hAnsi="Calibri"/>
        </w:rPr>
        <w:t xml:space="preserve"> Drawdowns use month-end prices; daily prices would show deeper short-lived falls.</w:t>
      </w:r>
    </w:p>
    <w:p>
      <w:pPr>
        <w:pStyle w:val="Heading2"/>
        <w:keepNext/>
        <w:spacing w:after="80" w:before="220"/>
      </w:pPr>
      <w:bookmarkStart w:name="sec21" w:id="21"/>
      <w:r>
        <w:rPr>
          <w:rFonts w:ascii="Calibri" w:cs="Calibri" w:eastAsia="Calibri" w:hAnsi="Calibri"/>
          <w:b/>
          <w:bCs/>
          <w:color w:val="2F5496"/>
          <w:sz w:val="25"/>
          <w:szCs w:val="25"/>
        </w:rPr>
        <w:t xml:space="preserve">9.3 Q3. Which holdings delivered the most growth for the risk taken?</w:t>
      </w:r>
      <w:bookmarkEnd w:id="21"/>
    </w:p>
    <w:p>
      <w:pPr>
        <w:spacing w:after="120" w:line="276"/>
        <w:jc w:val="both"/>
      </w:pPr>
      <w:r>
        <w:rPr>
          <w:rFonts w:ascii="Calibri" w:cs="Calibri" w:eastAsia="Calibri" w:hAnsi="Calibri"/>
          <w:b/>
          <w:bCs/>
        </w:rPr>
        <w:t xml:space="preserve">Method:</w:t>
      </w:r>
      <w:r>
        <w:rPr>
          <w:rFonts w:ascii="Calibri" w:cs="Calibri" w:eastAsia="Calibri" w:hAnsi="Calibri"/>
        </w:rPr>
        <w:t xml:space="preserve"> return-to-risk ratio = CAGR ÷ annualised volatility (risk-free rate assumed 0). Fig 3 above shows the same information: points high and to the left are better.</w:t>
      </w:r>
    </w:p>
    <w:p>
      <w:pPr>
        <w:spacing w:after="120" w:line="276"/>
        <w:jc w:val="both"/>
      </w:pPr>
      <w:r>
        <w:rPr>
          <w:rFonts w:ascii="Calibri" w:cs="Calibri" w:eastAsia="Calibri" w:hAnsi="Calibri"/>
          <w:b/>
          <w:bCs/>
        </w:rPr>
        <w:t xml:space="preserve">Return-to-risk ratio (CAGR ÷ volatility), common window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20"/>
                <w:szCs w:val="20"/>
              </w:rPr>
              <w:t xml:space="preserve">Series</w:t>
            </w:r>
          </w:p>
        </w:tc>
        <w:tc>
          <w:tcPr>
            <w:tcW w:type="dxa" w:w="4513"/>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20"/>
                <w:szCs w:val="20"/>
              </w:rPr>
              <w:t xml:space="preserve">Return / risk</w:t>
            </w:r>
          </w:p>
        </w:tc>
      </w:tr>
      <w:tr>
        <w:trPr>
          <w:cantSplit/>
        </w:trPr>
        <w:tc>
          <w:tcPr>
            <w:tcW w:type="dxa" w:w="45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AAPL</w:t>
            </w:r>
          </w:p>
        </w:tc>
        <w:tc>
          <w:tcPr>
            <w:tcW w:type="dxa" w:w="45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1.09</w:t>
            </w:r>
          </w:p>
        </w:tc>
      </w:tr>
      <w:tr>
        <w:trPr>
          <w:cantSplit/>
        </w:trPr>
        <w:tc>
          <w:tcPr>
            <w:tcW w:type="dxa" w:w="45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GOOGL</w:t>
            </w:r>
          </w:p>
        </w:tc>
        <w:tc>
          <w:tcPr>
            <w:tcW w:type="dxa" w:w="45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0.73</w:t>
            </w:r>
          </w:p>
        </w:tc>
      </w:tr>
      <w:tr>
        <w:trPr>
          <w:cantSplit/>
        </w:trPr>
        <w:tc>
          <w:tcPr>
            <w:tcW w:type="dxa" w:w="45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MSFT</w:t>
            </w:r>
          </w:p>
        </w:tc>
        <w:tc>
          <w:tcPr>
            <w:tcW w:type="dxa" w:w="45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0.72</w:t>
            </w:r>
          </w:p>
        </w:tc>
      </w:tr>
      <w:tr>
        <w:trPr>
          <w:cantSplit/>
        </w:trPr>
        <w:tc>
          <w:tcPr>
            <w:tcW w:type="dxa" w:w="45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AMZN</w:t>
            </w:r>
          </w:p>
        </w:tc>
        <w:tc>
          <w:tcPr>
            <w:tcW w:type="dxa" w:w="45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0.69</w:t>
            </w:r>
          </w:p>
        </w:tc>
      </w:tr>
      <w:tr>
        <w:trPr>
          <w:cantSplit/>
        </w:trPr>
        <w:tc>
          <w:tcPr>
            <w:tcW w:type="dxa" w:w="45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NASDAQ</w:t>
            </w:r>
          </w:p>
        </w:tc>
        <w:tc>
          <w:tcPr>
            <w:tcW w:type="dxa" w:w="45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0.60</w:t>
            </w:r>
          </w:p>
        </w:tc>
      </w:tr>
      <w:tr>
        <w:trPr>
          <w:cantSplit/>
        </w:trPr>
        <w:tc>
          <w:tcPr>
            <w:tcW w:type="dxa" w:w="45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ADBE</w:t>
            </w:r>
          </w:p>
        </w:tc>
        <w:tc>
          <w:tcPr>
            <w:tcW w:type="dxa" w:w="45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0.56</w:t>
            </w:r>
          </w:p>
        </w:tc>
      </w:tr>
      <w:tr>
        <w:trPr>
          <w:cantSplit/>
        </w:trPr>
        <w:tc>
          <w:tcPr>
            <w:tcW w:type="dxa" w:w="45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S&amp;P 500</w:t>
            </w:r>
          </w:p>
        </w:tc>
        <w:tc>
          <w:tcPr>
            <w:tcW w:type="dxa" w:w="45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0.49</w:t>
            </w:r>
          </w:p>
        </w:tc>
      </w:tr>
      <w:tr>
        <w:trPr>
          <w:cantSplit/>
        </w:trPr>
        <w:tc>
          <w:tcPr>
            <w:tcW w:type="dxa" w:w="45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IBM</w:t>
            </w:r>
          </w:p>
        </w:tc>
        <w:tc>
          <w:tcPr>
            <w:tcW w:type="dxa" w:w="45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0.29</w:t>
            </w:r>
          </w:p>
        </w:tc>
      </w:tr>
      <w:tr>
        <w:trPr>
          <w:cantSplit/>
        </w:trPr>
        <w:tc>
          <w:tcPr>
            <w:tcW w:type="dxa" w:w="45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XRX</w:t>
            </w:r>
          </w:p>
        </w:tc>
        <w:tc>
          <w:tcPr>
            <w:tcW w:type="dxa" w:w="451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-0.07</w:t>
            </w:r>
          </w:p>
        </w:tc>
      </w:tr>
    </w:tbl>
    <w:p>
      <w:pPr>
        <w:spacing w:after="120"/>
      </w:pPr>
    </w:p>
    <w:p>
      <w:pPr>
        <w:spacing w:after="120" w:line="276"/>
        <w:jc w:val="both"/>
      </w:pPr>
      <w:r>
        <w:rPr>
          <w:rFonts w:ascii="Calibri" w:cs="Calibri" w:eastAsia="Calibri" w:hAnsi="Calibri"/>
          <w:b/>
          <w:bCs/>
        </w:rPr>
        <w:t xml:space="preserve">Observed facts.</w:t>
      </w:r>
      <w:r>
        <w:rPr>
          <w:rFonts w:ascii="Calibri" w:cs="Calibri" w:eastAsia="Calibri" w:hAnsi="Calibri"/>
        </w:rPr>
        <w:t xml:space="preserve"> Apple had the best ratio (</w:t>
      </w:r>
      <w:r>
        <w:rPr>
          <w:rFonts w:ascii="Calibri" w:cs="Calibri" w:eastAsia="Calibri" w:hAnsi="Calibri"/>
          <w:b/>
          <w:bCs/>
        </w:rPr>
        <w:t xml:space="preserve">1.09</w:t>
      </w:r>
      <w:r>
        <w:rPr>
          <w:rFonts w:ascii="Calibri" w:cs="Calibri" w:eastAsia="Calibri" w:hAnsi="Calibri"/>
        </w:rPr>
        <w:t xml:space="preserve">), followed by Alphabet (</w:t>
      </w:r>
      <w:r>
        <w:rPr>
          <w:rFonts w:ascii="Calibri" w:cs="Calibri" w:eastAsia="Calibri" w:hAnsi="Calibri"/>
          <w:b/>
          <w:bCs/>
        </w:rPr>
        <w:t xml:space="preserve">0.73</w:t>
      </w:r>
      <w:r>
        <w:rPr>
          <w:rFonts w:ascii="Calibri" w:cs="Calibri" w:eastAsia="Calibri" w:hAnsi="Calibri"/>
        </w:rPr>
        <w:t xml:space="preserve">), Microsoft (</w:t>
      </w:r>
      <w:r>
        <w:rPr>
          <w:rFonts w:ascii="Calibri" w:cs="Calibri" w:eastAsia="Calibri" w:hAnsi="Calibri"/>
          <w:b/>
          <w:bCs/>
        </w:rPr>
        <w:t xml:space="preserve">0.72</w:t>
      </w:r>
      <w:r>
        <w:rPr>
          <w:rFonts w:ascii="Calibri" w:cs="Calibri" w:eastAsia="Calibri" w:hAnsi="Calibri"/>
        </w:rPr>
        <w:t xml:space="preserve">) and Amazon (</w:t>
      </w:r>
      <w:r>
        <w:rPr>
          <w:rFonts w:ascii="Calibri" w:cs="Calibri" w:eastAsia="Calibri" w:hAnsi="Calibri"/>
          <w:b/>
          <w:bCs/>
        </w:rPr>
        <w:t xml:space="preserve">0.69</w:t>
      </w:r>
      <w:r>
        <w:rPr>
          <w:rFonts w:ascii="Calibri" w:cs="Calibri" w:eastAsia="Calibri" w:hAnsi="Calibri"/>
        </w:rPr>
        <w:t xml:space="preserve">). NASDAQ scored </w:t>
      </w:r>
      <w:r>
        <w:rPr>
          <w:rFonts w:ascii="Calibri" w:cs="Calibri" w:eastAsia="Calibri" w:hAnsi="Calibri"/>
          <w:b/>
          <w:bCs/>
        </w:rPr>
        <w:t xml:space="preserve">0.60</w:t>
      </w:r>
      <w:r>
        <w:rPr>
          <w:rFonts w:ascii="Calibri" w:cs="Calibri" w:eastAsia="Calibri" w:hAnsi="Calibri"/>
        </w:rPr>
        <w:t xml:space="preserve">, Adobe </w:t>
      </w:r>
      <w:r>
        <w:rPr>
          <w:rFonts w:ascii="Calibri" w:cs="Calibri" w:eastAsia="Calibri" w:hAnsi="Calibri"/>
          <w:b/>
          <w:bCs/>
        </w:rPr>
        <w:t xml:space="preserve">0.56</w:t>
      </w:r>
      <w:r>
        <w:rPr>
          <w:rFonts w:ascii="Calibri" w:cs="Calibri" w:eastAsia="Calibri" w:hAnsi="Calibri"/>
        </w:rPr>
        <w:t xml:space="preserve">, the S&amp;P 500 </w:t>
      </w:r>
      <w:r>
        <w:rPr>
          <w:rFonts w:ascii="Calibri" w:cs="Calibri" w:eastAsia="Calibri" w:hAnsi="Calibri"/>
          <w:b/>
          <w:bCs/>
        </w:rPr>
        <w:t xml:space="preserve">0.49</w:t>
      </w:r>
      <w:r>
        <w:rPr>
          <w:rFonts w:ascii="Calibri" w:cs="Calibri" w:eastAsia="Calibri" w:hAnsi="Calibri"/>
        </w:rPr>
        <w:t xml:space="preserve">, IBM </w:t>
      </w:r>
      <w:r>
        <w:rPr>
          <w:rFonts w:ascii="Calibri" w:cs="Calibri" w:eastAsia="Calibri" w:hAnsi="Calibri"/>
          <w:b/>
          <w:bCs/>
        </w:rPr>
        <w:t xml:space="preserve">0.29</w:t>
      </w:r>
      <w:r>
        <w:rPr>
          <w:rFonts w:ascii="Calibri" w:cs="Calibri" w:eastAsia="Calibri" w:hAnsi="Calibri"/>
        </w:rPr>
        <w:t xml:space="preserve"> and Xerox </w:t>
      </w:r>
      <w:r>
        <w:rPr>
          <w:rFonts w:ascii="Calibri" w:cs="Calibri" w:eastAsia="Calibri" w:hAnsi="Calibri"/>
          <w:b/>
          <w:bCs/>
        </w:rPr>
        <w:t xml:space="preserve">−0.07</w:t>
      </w:r>
      <w:r>
        <w:rPr>
          <w:rFonts w:ascii="Calibri" w:cs="Calibri" w:eastAsia="Calibri" w:hAnsi="Calibri"/>
        </w:rPr>
        <w:t xml:space="preserve">.</w:t>
      </w:r>
    </w:p>
    <w:p>
      <w:pPr>
        <w:spacing w:after="120" w:line="276"/>
        <w:jc w:val="both"/>
      </w:pPr>
      <w:r>
        <w:rPr>
          <w:rFonts w:ascii="Calibri" w:cs="Calibri" w:eastAsia="Calibri" w:hAnsi="Calibri"/>
          <w:b/>
          <w:bCs/>
        </w:rPr>
        <w:t xml:space="preserve">Interpretation.</w:t>
      </w:r>
      <w:r>
        <w:rPr>
          <w:rFonts w:ascii="Calibri" w:cs="Calibri" w:eastAsia="Calibri" w:hAnsi="Calibri"/>
        </w:rPr>
        <w:t xml:space="preserve"> Taking more volatility did not guarantee a better outcome: Xerox was among the most volatile holdings but grew negatively. Amazon's very high growth came with the highest volatility, so its ratio is below Alphabet's and Microsoft's. Apple stands out because its growth was much larger than its risk. The ratio uses a 0 % risk-free rate, so absolute values are simplified; the </w:t>
      </w:r>
      <w:r>
        <w:rPr>
          <w:rFonts w:ascii="Calibri" w:cs="Calibri" w:eastAsia="Calibri" w:hAnsi="Calibri"/>
          <w:i/>
          <w:iCs/>
        </w:rPr>
        <w:t xml:space="preserve">ranking</w:t>
      </w:r>
      <w:r>
        <w:rPr>
          <w:rFonts w:ascii="Calibri" w:cs="Calibri" w:eastAsia="Calibri" w:hAnsi="Calibri"/>
        </w:rPr>
        <w:t xml:space="preserve"> is what matters here.</w:t>
      </w:r>
    </w:p>
    <w:p>
      <w:pPr>
        <w:pStyle w:val="Heading2"/>
        <w:keepNext/>
        <w:spacing w:after="80" w:before="220"/>
      </w:pPr>
      <w:bookmarkStart w:name="sec22" w:id="22"/>
      <w:r>
        <w:rPr>
          <w:rFonts w:ascii="Calibri" w:cs="Calibri" w:eastAsia="Calibri" w:hAnsi="Calibri"/>
          <w:b/>
          <w:bCs/>
          <w:color w:val="2F5496"/>
          <w:sz w:val="25"/>
          <w:szCs w:val="25"/>
        </w:rPr>
        <w:t xml:space="preserve">9.4 Q4. How strongly does each holding follow the market?</w:t>
      </w:r>
      <w:bookmarkEnd w:id="22"/>
    </w:p>
    <w:p>
      <w:pPr>
        <w:spacing w:after="120" w:line="276"/>
        <w:jc w:val="both"/>
      </w:pPr>
      <w:r>
        <w:rPr>
          <w:rFonts w:ascii="Calibri" w:cs="Calibri" w:eastAsia="Calibri" w:hAnsi="Calibri"/>
          <w:b/>
          <w:bCs/>
        </w:rPr>
        <w:t xml:space="preserve">Method:</w:t>
      </w:r>
      <w:r>
        <w:rPr>
          <w:rFonts w:ascii="Calibri" w:cs="Calibri" w:eastAsia="Calibri" w:hAnsi="Calibri"/>
        </w:rPr>
        <w:t xml:space="preserve"> beta against the S&amp;P 500 (Fig 7) and a scatter of each holding's monthly return against the market's monthly return, with a fitted line whose slope is the beta (Fig 8).</w:t>
      </w:r>
    </w:p>
    <w:p>
      <w:pPr>
        <w:keepNext/>
        <w:spacing w:after="40" w:before="120"/>
        <w:jc w:val="center"/>
      </w:pPr>
      <w:r>
        <w:drawing>
          <wp:inline distT="0" distB="0" distL="0" distR="0">
            <wp:extent cx="4953000" cy="3171825"/>
            <wp:effectExtent t="0" r="0" b="0" l="0"/>
            <wp:docPr id="7" name="Fig 7. Beta versus the S&amp;P 500" descr="Fig 7. Beta versus the S&amp;P 500" title="Fig 7. Beta versus the S&amp;P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31718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Fig 7. Beta versus the S&amp;P 500</w:t>
      </w:r>
    </w:p>
    <w:p>
      <w:pPr>
        <w:spacing w:after="120" w:line="276"/>
        <w:jc w:val="both"/>
      </w:pPr>
      <w:r>
        <w:rPr>
          <w:rFonts w:ascii="Calibri" w:cs="Calibri" w:eastAsia="Calibri" w:hAnsi="Calibri"/>
          <w:i/>
          <w:iCs/>
        </w:rPr>
        <w:t xml:space="preserve">Figure 7. Beta versus the S&amp;P 500</w:t>
      </w:r>
    </w:p>
    <w:p>
      <w:pPr>
        <w:keepNext/>
        <w:spacing w:after="40" w:before="120"/>
        <w:jc w:val="center"/>
      </w:pPr>
      <w:r>
        <w:drawing>
          <wp:inline distT="0" distB="0" distL="0" distR="0">
            <wp:extent cx="4953000" cy="4038600"/>
            <wp:effectExtent t="0" r="0" b="0" l="0"/>
            <wp:docPr id="8" name="Fig 8. Monthly return of each series against the S&amp;P 500" descr="Fig 8. Monthly return of each series against the S&amp;P 500" title="Fig 8. Monthly return of each series against the S&amp;P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40386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Fig 8. Monthly return of each series against the S&amp;P 500</w:t>
      </w:r>
    </w:p>
    <w:p>
      <w:pPr>
        <w:spacing w:after="120" w:line="276"/>
        <w:jc w:val="both"/>
      </w:pPr>
      <w:r>
        <w:rPr>
          <w:rFonts w:ascii="Calibri" w:cs="Calibri" w:eastAsia="Calibri" w:hAnsi="Calibri"/>
          <w:i/>
          <w:iCs/>
        </w:rPr>
        <w:t xml:space="preserve">Figure 8. Monthly return of each series against the S&amp;P 500</w:t>
      </w:r>
    </w:p>
    <w:p>
      <w:pPr>
        <w:spacing w:after="120" w:line="276"/>
        <w:jc w:val="both"/>
      </w:pPr>
      <w:r>
        <w:rPr>
          <w:rFonts w:ascii="Calibri" w:cs="Calibri" w:eastAsia="Calibri" w:hAnsi="Calibri"/>
          <w:b/>
          <w:bCs/>
        </w:rPr>
        <w:t xml:space="preserve">Beta and correlation with the S&amp;P 500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99"/>
        <w:gridCol w:w="1469"/>
        <w:gridCol w:w="2938"/>
        <w:gridCol w:w="2520"/>
      </w:tblGrid>
      <w:tr>
        <w:trPr>
          <w:cantSplit/>
        </w:trPr>
        <w:tc>
          <w:tcPr>
            <w:tcW w:type="dxa" w:w="2099"/>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Holding</w:t>
            </w:r>
          </w:p>
        </w:tc>
        <w:tc>
          <w:tcPr>
            <w:tcW w:type="dxa" w:w="1469"/>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Beta</w:t>
            </w:r>
          </w:p>
        </w:tc>
        <w:tc>
          <w:tcPr>
            <w:tcW w:type="dxa" w:w="2938"/>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Correlation with S&amp;P 500</w:t>
            </w:r>
          </w:p>
        </w:tc>
        <w:tc>
          <w:tcPr>
            <w:tcW w:type="dxa" w:w="2520"/>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Share explained (corr²)</w:t>
            </w:r>
          </w:p>
        </w:tc>
      </w:tr>
      <w:tr>
        <w:trPr>
          <w:cantSplit/>
        </w:trPr>
        <w:tc>
          <w:tcPr>
            <w:tcW w:type="dxa" w:w="209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IBM</w:t>
            </w:r>
          </w:p>
        </w:tc>
        <w:tc>
          <w:tcPr>
            <w:tcW w:type="dxa" w:w="146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0.82</w:t>
            </w:r>
          </w:p>
        </w:tc>
        <w:tc>
          <w:tcPr>
            <w:tcW w:type="dxa" w:w="293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0.58</w:t>
            </w:r>
          </w:p>
        </w:tc>
        <w:tc>
          <w:tcPr>
            <w:tcW w:type="dxa" w:w="252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0.34</w:t>
            </w:r>
          </w:p>
        </w:tc>
      </w:tr>
      <w:tr>
        <w:trPr>
          <w:cantSplit/>
        </w:trPr>
        <w:tc>
          <w:tcPr>
            <w:tcW w:type="dxa" w:w="209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AAPL</w:t>
            </w:r>
          </w:p>
        </w:tc>
        <w:tc>
          <w:tcPr>
            <w:tcW w:type="dxa" w:w="146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1.25</w:t>
            </w:r>
          </w:p>
        </w:tc>
        <w:tc>
          <w:tcPr>
            <w:tcW w:type="dxa" w:w="293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0.56</w:t>
            </w:r>
          </w:p>
        </w:tc>
        <w:tc>
          <w:tcPr>
            <w:tcW w:type="dxa" w:w="252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0.31</w:t>
            </w:r>
          </w:p>
        </w:tc>
      </w:tr>
      <w:tr>
        <w:trPr>
          <w:cantSplit/>
        </w:trPr>
        <w:tc>
          <w:tcPr>
            <w:tcW w:type="dxa" w:w="209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MSFT</w:t>
            </w:r>
          </w:p>
        </w:tc>
        <w:tc>
          <w:tcPr>
            <w:tcW w:type="dxa" w:w="146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0.99</w:t>
            </w:r>
          </w:p>
        </w:tc>
        <w:tc>
          <w:tcPr>
            <w:tcW w:type="dxa" w:w="293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0.64</w:t>
            </w:r>
          </w:p>
        </w:tc>
        <w:tc>
          <w:tcPr>
            <w:tcW w:type="dxa" w:w="252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0.41</w:t>
            </w:r>
          </w:p>
        </w:tc>
      </w:tr>
      <w:tr>
        <w:trPr>
          <w:cantSplit/>
        </w:trPr>
        <w:tc>
          <w:tcPr>
            <w:tcW w:type="dxa" w:w="209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XRX</w:t>
            </w:r>
          </w:p>
        </w:tc>
        <w:tc>
          <w:tcPr>
            <w:tcW w:type="dxa" w:w="146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1.57</w:t>
            </w:r>
          </w:p>
        </w:tc>
        <w:tc>
          <w:tcPr>
            <w:tcW w:type="dxa" w:w="293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0.66</w:t>
            </w:r>
          </w:p>
        </w:tc>
        <w:tc>
          <w:tcPr>
            <w:tcW w:type="dxa" w:w="252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0.43</w:t>
            </w:r>
          </w:p>
        </w:tc>
      </w:tr>
      <w:tr>
        <w:trPr>
          <w:cantSplit/>
        </w:trPr>
        <w:tc>
          <w:tcPr>
            <w:tcW w:type="dxa" w:w="209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AMZN</w:t>
            </w:r>
          </w:p>
        </w:tc>
        <w:tc>
          <w:tcPr>
            <w:tcW w:type="dxa" w:w="146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1.20</w:t>
            </w:r>
          </w:p>
        </w:tc>
        <w:tc>
          <w:tcPr>
            <w:tcW w:type="dxa" w:w="293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0.49</w:t>
            </w:r>
          </w:p>
        </w:tc>
        <w:tc>
          <w:tcPr>
            <w:tcW w:type="dxa" w:w="252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0.24</w:t>
            </w:r>
          </w:p>
        </w:tc>
      </w:tr>
      <w:tr>
        <w:trPr>
          <w:cantSplit/>
        </w:trPr>
        <w:tc>
          <w:tcPr>
            <w:tcW w:type="dxa" w:w="209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GOOGL</w:t>
            </w:r>
          </w:p>
        </w:tc>
        <w:tc>
          <w:tcPr>
            <w:tcW w:type="dxa" w:w="146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1.08</w:t>
            </w:r>
          </w:p>
        </w:tc>
        <w:tc>
          <w:tcPr>
            <w:tcW w:type="dxa" w:w="293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0.53</w:t>
            </w:r>
          </w:p>
        </w:tc>
        <w:tc>
          <w:tcPr>
            <w:tcW w:type="dxa" w:w="252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0.28</w:t>
            </w:r>
          </w:p>
        </w:tc>
      </w:tr>
      <w:tr>
        <w:trPr>
          <w:cantSplit/>
        </w:trPr>
        <w:tc>
          <w:tcPr>
            <w:tcW w:type="dxa" w:w="209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ADBE</w:t>
            </w:r>
          </w:p>
        </w:tc>
        <w:tc>
          <w:tcPr>
            <w:tcW w:type="dxa" w:w="146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1.36</w:t>
            </w:r>
          </w:p>
        </w:tc>
        <w:tc>
          <w:tcPr>
            <w:tcW w:type="dxa" w:w="293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0.68</w:t>
            </w:r>
          </w:p>
        </w:tc>
        <w:tc>
          <w:tcPr>
            <w:tcW w:type="dxa" w:w="252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0.46</w:t>
            </w:r>
          </w:p>
        </w:tc>
      </w:tr>
    </w:tbl>
    <w:p>
      <w:pPr>
        <w:spacing w:after="120"/>
      </w:pPr>
    </w:p>
    <w:p>
      <w:pPr>
        <w:spacing w:after="120" w:line="276"/>
        <w:jc w:val="both"/>
      </w:pPr>
      <w:r>
        <w:rPr>
          <w:rFonts w:ascii="Calibri" w:cs="Calibri" w:eastAsia="Calibri" w:hAnsi="Calibri"/>
          <w:b/>
          <w:bCs/>
        </w:rPr>
        <w:t xml:space="preserve">Observed facts.</w:t>
      </w:r>
      <w:r>
        <w:rPr>
          <w:rFonts w:ascii="Calibri" w:cs="Calibri" w:eastAsia="Calibri" w:hAnsi="Calibri"/>
        </w:rPr>
        <w:t xml:space="preserve"> Beta ranged from </w:t>
      </w:r>
      <w:r>
        <w:rPr>
          <w:rFonts w:ascii="Calibri" w:cs="Calibri" w:eastAsia="Calibri" w:hAnsi="Calibri"/>
          <w:b/>
          <w:bCs/>
        </w:rPr>
        <w:t xml:space="preserve">0.82</w:t>
      </w:r>
      <w:r>
        <w:rPr>
          <w:rFonts w:ascii="Calibri" w:cs="Calibri" w:eastAsia="Calibri" w:hAnsi="Calibri"/>
        </w:rPr>
        <w:t xml:space="preserve"> (IBM) and </w:t>
      </w:r>
      <w:r>
        <w:rPr>
          <w:rFonts w:ascii="Calibri" w:cs="Calibri" w:eastAsia="Calibri" w:hAnsi="Calibri"/>
          <w:b/>
          <w:bCs/>
        </w:rPr>
        <w:t xml:space="preserve">0.99</w:t>
      </w:r>
      <w:r>
        <w:rPr>
          <w:rFonts w:ascii="Calibri" w:cs="Calibri" w:eastAsia="Calibri" w:hAnsi="Calibri"/>
        </w:rPr>
        <w:t xml:space="preserve"> (Microsoft) up to </w:t>
      </w:r>
      <w:r>
        <w:rPr>
          <w:rFonts w:ascii="Calibri" w:cs="Calibri" w:eastAsia="Calibri" w:hAnsi="Calibri"/>
          <w:b/>
          <w:bCs/>
        </w:rPr>
        <w:t xml:space="preserve">1.36</w:t>
      </w:r>
      <w:r>
        <w:rPr>
          <w:rFonts w:ascii="Calibri" w:cs="Calibri" w:eastAsia="Calibri" w:hAnsi="Calibri"/>
        </w:rPr>
        <w:t xml:space="preserve"> (Adobe) and </w:t>
      </w:r>
      <w:r>
        <w:rPr>
          <w:rFonts w:ascii="Calibri" w:cs="Calibri" w:eastAsia="Calibri" w:hAnsi="Calibri"/>
          <w:b/>
          <w:bCs/>
        </w:rPr>
        <w:t xml:space="preserve">1.57</w:t>
      </w:r>
      <w:r>
        <w:rPr>
          <w:rFonts w:ascii="Calibri" w:cs="Calibri" w:eastAsia="Calibri" w:hAnsi="Calibri"/>
        </w:rPr>
        <w:t xml:space="preserve"> (Xerox); Apple </w:t>
      </w:r>
      <w:r>
        <w:rPr>
          <w:rFonts w:ascii="Calibri" w:cs="Calibri" w:eastAsia="Calibri" w:hAnsi="Calibri"/>
          <w:b/>
          <w:bCs/>
        </w:rPr>
        <w:t xml:space="preserve">1.25</w:t>
      </w:r>
      <w:r>
        <w:rPr>
          <w:rFonts w:ascii="Calibri" w:cs="Calibri" w:eastAsia="Calibri" w:hAnsi="Calibri"/>
        </w:rPr>
        <w:t xml:space="preserve">, Amazon </w:t>
      </w:r>
      <w:r>
        <w:rPr>
          <w:rFonts w:ascii="Calibri" w:cs="Calibri" w:eastAsia="Calibri" w:hAnsi="Calibri"/>
          <w:b/>
          <w:bCs/>
        </w:rPr>
        <w:t xml:space="preserve">1.20</w:t>
      </w:r>
      <w:r>
        <w:rPr>
          <w:rFonts w:ascii="Calibri" w:cs="Calibri" w:eastAsia="Calibri" w:hAnsi="Calibri"/>
        </w:rPr>
        <w:t xml:space="preserve">, Alphabet </w:t>
      </w:r>
      <w:r>
        <w:rPr>
          <w:rFonts w:ascii="Calibri" w:cs="Calibri" w:eastAsia="Calibri" w:hAnsi="Calibri"/>
          <w:b/>
          <w:bCs/>
        </w:rPr>
        <w:t xml:space="preserve">1.08</w:t>
      </w:r>
      <w:r>
        <w:rPr>
          <w:rFonts w:ascii="Calibri" w:cs="Calibri" w:eastAsia="Calibri" w:hAnsi="Calibri"/>
        </w:rPr>
        <w:t xml:space="preserve">. Correlations with the S&amp;P 500 were between </w:t>
      </w:r>
      <w:r>
        <w:rPr>
          <w:rFonts w:ascii="Calibri" w:cs="Calibri" w:eastAsia="Calibri" w:hAnsi="Calibri"/>
          <w:b/>
          <w:bCs/>
        </w:rPr>
        <w:t xml:space="preserve">0.49</w:t>
      </w:r>
      <w:r>
        <w:rPr>
          <w:rFonts w:ascii="Calibri" w:cs="Calibri" w:eastAsia="Calibri" w:hAnsi="Calibri"/>
        </w:rPr>
        <w:t xml:space="preserve"> (Amazon) and </w:t>
      </w:r>
      <w:r>
        <w:rPr>
          <w:rFonts w:ascii="Calibri" w:cs="Calibri" w:eastAsia="Calibri" w:hAnsi="Calibri"/>
          <w:b/>
          <w:bCs/>
        </w:rPr>
        <w:t xml:space="preserve">0.68</w:t>
      </w:r>
      <w:r>
        <w:rPr>
          <w:rFonts w:ascii="Calibri" w:cs="Calibri" w:eastAsia="Calibri" w:hAnsi="Calibri"/>
        </w:rPr>
        <w:t xml:space="preserve"> (Adobe). Squared, this means the market explains roughly </w:t>
      </w:r>
      <w:r>
        <w:rPr>
          <w:rFonts w:ascii="Calibri" w:cs="Calibri" w:eastAsia="Calibri" w:hAnsi="Calibri"/>
          <w:b/>
          <w:bCs/>
        </w:rPr>
        <w:t xml:space="preserve">24 %</w:t>
      </w:r>
      <w:r>
        <w:rPr>
          <w:rFonts w:ascii="Calibri" w:cs="Calibri" w:eastAsia="Calibri" w:hAnsi="Calibri"/>
        </w:rPr>
        <w:t xml:space="preserve"> (Amazon) to </w:t>
      </w:r>
      <w:r>
        <w:rPr>
          <w:rFonts w:ascii="Calibri" w:cs="Calibri" w:eastAsia="Calibri" w:hAnsi="Calibri"/>
          <w:b/>
          <w:bCs/>
        </w:rPr>
        <w:t xml:space="preserve">46 %</w:t>
      </w:r>
      <w:r>
        <w:rPr>
          <w:rFonts w:ascii="Calibri" w:cs="Calibri" w:eastAsia="Calibri" w:hAnsi="Calibri"/>
        </w:rPr>
        <w:t xml:space="preserve"> (Adobe) of each holding's monthly movement.</w:t>
      </w:r>
    </w:p>
    <w:p>
      <w:pPr>
        <w:spacing w:after="120" w:line="276"/>
        <w:jc w:val="both"/>
      </w:pPr>
      <w:r>
        <w:rPr>
          <w:rFonts w:ascii="Calibri" w:cs="Calibri" w:eastAsia="Calibri" w:hAnsi="Calibri"/>
          <w:b/>
          <w:bCs/>
        </w:rPr>
        <w:t xml:space="preserve">Interpretation.</w:t>
      </w:r>
      <w:r>
        <w:rPr>
          <w:rFonts w:ascii="Calibri" w:cs="Calibri" w:eastAsia="Calibri" w:hAnsi="Calibri"/>
        </w:rPr>
        <w:t xml:space="preserve"> Most holdings amplify market moves (beta above 1); only IBM and, marginally, Microsoft were at or below the market. Because the market explains less than half of each holding's movement, a large part of the risk is specific to the company. Xerox had the highest beta and still lost value, so high market sensitivity was not rewarded in this sample.</w:t>
      </w:r>
    </w:p>
    <w:p>
      <w:pPr>
        <w:spacing w:after="120" w:line="276"/>
        <w:jc w:val="both"/>
      </w:pPr>
      <w:r>
        <w:rPr>
          <w:rFonts w:ascii="Calibri" w:cs="Calibri" w:eastAsia="Calibri" w:hAnsi="Calibri"/>
          <w:b/>
          <w:bCs/>
        </w:rPr>
        <w:t xml:space="preserve">Limitation.</w:t>
      </w:r>
      <w:r>
        <w:rPr>
          <w:rFonts w:ascii="Calibri" w:cs="Calibri" w:eastAsia="Calibri" w:hAnsi="Calibri"/>
        </w:rPr>
        <w:t xml:space="preserve"> Beta and correlation describe how returns moved together in the past; they do not show that the market </w:t>
      </w:r>
      <w:r>
        <w:rPr>
          <w:rFonts w:ascii="Calibri" w:cs="Calibri" w:eastAsia="Calibri" w:hAnsi="Calibri"/>
          <w:i/>
          <w:iCs/>
        </w:rPr>
        <w:t xml:space="preserve">causes</w:t>
      </w:r>
      <w:r>
        <w:rPr>
          <w:rFonts w:ascii="Calibri" w:cs="Calibri" w:eastAsia="Calibri" w:hAnsi="Calibri"/>
        </w:rPr>
        <w:t xml:space="preserve"> a company's movements.</w:t>
      </w:r>
    </w:p>
    <w:p>
      <w:pPr>
        <w:pStyle w:val="Heading2"/>
        <w:keepNext/>
        <w:spacing w:after="80" w:before="220"/>
      </w:pPr>
      <w:bookmarkStart w:name="sec23" w:id="23"/>
      <w:r>
        <w:rPr>
          <w:rFonts w:ascii="Calibri" w:cs="Calibri" w:eastAsia="Calibri" w:hAnsi="Calibri"/>
          <w:b/>
          <w:bCs/>
          <w:color w:val="2F5496"/>
          <w:sz w:val="25"/>
          <w:szCs w:val="25"/>
        </w:rPr>
        <w:t xml:space="preserve">9.5 Q5. How did the holdings behave in past market-stress periods?</w:t>
      </w:r>
      <w:bookmarkEnd w:id="23"/>
    </w:p>
    <w:p>
      <w:pPr>
        <w:spacing w:after="120" w:line="276"/>
        <w:jc w:val="both"/>
      </w:pPr>
      <w:r>
        <w:rPr>
          <w:rFonts w:ascii="Calibri" w:cs="Calibri" w:eastAsia="Calibri" w:hAnsi="Calibri"/>
          <w:b/>
          <w:bCs/>
        </w:rPr>
        <w:t xml:space="preserve">Method:</w:t>
      </w:r>
      <w:r>
        <w:rPr>
          <w:rFonts w:ascii="Calibri" w:cs="Calibri" w:eastAsia="Calibri" w:hAnsi="Calibri"/>
        </w:rPr>
        <w:t xml:space="preserve"> three stress windows were fixed </w:t>
      </w:r>
      <w:r>
        <w:rPr>
          <w:rFonts w:ascii="Calibri" w:cs="Calibri" w:eastAsia="Calibri" w:hAnsi="Calibri"/>
          <w:i/>
          <w:iCs/>
        </w:rPr>
        <w:t xml:space="preserve">in advance</w:t>
      </w:r>
      <w:r>
        <w:rPr>
          <w:rFonts w:ascii="Calibri" w:cs="Calibri" w:eastAsia="Calibri" w:hAnsi="Calibri"/>
        </w:rPr>
        <w:t xml:space="preserve">, chosen as well-known market episodes, not selected after seeing the results: dot-com (Jan 2000 – Dec 2002), financial crisis (Oct 2007 – Mar 2009) and the early-2022 slide (Dec 2021 – Jun 2022). For each window the table shows the </w:t>
      </w:r>
      <w:r>
        <w:rPr>
          <w:rFonts w:ascii="Calibri" w:cs="Calibri" w:eastAsia="Calibri" w:hAnsi="Calibri"/>
          <w:b/>
          <w:bCs/>
        </w:rPr>
        <w:t xml:space="preserve">largest fall from a high reached inside that window</w:t>
      </w:r>
      <w:r>
        <w:rPr>
          <w:rFonts w:ascii="Calibri" w:cs="Calibri" w:eastAsia="Calibri" w:hAnsi="Calibri"/>
        </w:rPr>
        <w:t xml:space="preserve">. Alphabet did not yet have a price in the first window.</w:t>
      </w:r>
    </w:p>
    <w:p>
      <w:pPr>
        <w:keepNext/>
        <w:spacing w:after="40" w:before="120"/>
        <w:jc w:val="center"/>
      </w:pPr>
      <w:r>
        <w:drawing>
          <wp:inline distT="0" distB="0" distL="0" distR="0">
            <wp:extent cx="4953000" cy="2914650"/>
            <wp:effectExtent t="0" r="0" b="0" l="0"/>
            <wp:docPr id="9" name="Fig 9. Largest fall inside each stress window" descr="Fig 9. Largest fall inside each stress window" title="Fig 9. Largest fall inside each stres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29146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Fig 9. Largest fall inside each stress window</w:t>
      </w:r>
    </w:p>
    <w:p>
      <w:pPr>
        <w:spacing w:after="120" w:line="276"/>
        <w:jc w:val="both"/>
      </w:pPr>
      <w:r>
        <w:rPr>
          <w:rFonts w:ascii="Calibri" w:cs="Calibri" w:eastAsia="Calibri" w:hAnsi="Calibri"/>
          <w:i/>
          <w:iCs/>
        </w:rPr>
        <w:t xml:space="preserve">Figure 9. Largest fall inside each stress window</w:t>
      </w:r>
    </w:p>
    <w:p>
      <w:pPr>
        <w:spacing w:after="120" w:line="276"/>
        <w:jc w:val="both"/>
      </w:pPr>
      <w:r>
        <w:rPr>
          <w:rFonts w:ascii="Calibri" w:cs="Calibri" w:eastAsia="Calibri" w:hAnsi="Calibri"/>
          <w:b/>
          <w:bCs/>
        </w:rPr>
        <w:t xml:space="preserve">Largest fall inside each stress window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206"/>
        <w:gridCol w:w="2406"/>
        <w:gridCol w:w="2609"/>
      </w:tblGrid>
      <w:tr>
        <w:trPr>
          <w:cantSplit/>
        </w:trPr>
        <w:tc>
          <w:tcPr>
            <w:tcW w:type="dxa" w:w="1805"/>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Series</w:t>
            </w:r>
          </w:p>
        </w:tc>
        <w:tc>
          <w:tcPr>
            <w:tcW w:type="dxa" w:w="2206"/>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Dot-com (2000-01 to 2002-12)</w:t>
            </w:r>
          </w:p>
        </w:tc>
        <w:tc>
          <w:tcPr>
            <w:tcW w:type="dxa" w:w="2406"/>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Financial crisis (2007-10 to 2009-03)</w:t>
            </w:r>
          </w:p>
        </w:tc>
        <w:tc>
          <w:tcPr>
            <w:tcW w:type="dxa" w:w="2609"/>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Early-2022 slide (2021-12 to 2022-06)</w:t>
            </w:r>
          </w:p>
        </w:tc>
      </w:tr>
      <w:tr>
        <w:trPr>
          <w:cantSplit/>
        </w:trPr>
        <w:tc>
          <w:tcPr>
            <w:tcW w:type="dxa" w:w="180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IBM</w:t>
            </w:r>
          </w:p>
        </w:tc>
        <w:tc>
          <w:tcPr>
            <w:tcW w:type="dxa" w:w="220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-55.3%</w:t>
            </w:r>
          </w:p>
        </w:tc>
        <w:tc>
          <w:tcPr>
            <w:tcW w:type="dxa" w:w="240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-36.5%</w:t>
            </w:r>
          </w:p>
        </w:tc>
        <w:tc>
          <w:tcPr>
            <w:tcW w:type="dxa" w:w="260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-8.3%</w:t>
            </w:r>
          </w:p>
        </w:tc>
      </w:tr>
      <w:tr>
        <w:trPr>
          <w:cantSplit/>
        </w:trPr>
        <w:tc>
          <w:tcPr>
            <w:tcW w:type="dxa" w:w="180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AAPL</w:t>
            </w:r>
          </w:p>
        </w:tc>
        <w:tc>
          <w:tcPr>
            <w:tcW w:type="dxa" w:w="220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-78.9%</w:t>
            </w:r>
          </w:p>
        </w:tc>
        <w:tc>
          <w:tcPr>
            <w:tcW w:type="dxa" w:w="240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-56.9%</w:t>
            </w:r>
          </w:p>
        </w:tc>
        <w:tc>
          <w:tcPr>
            <w:tcW w:type="dxa" w:w="260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-22.4%</w:t>
            </w:r>
          </w:p>
        </w:tc>
      </w:tr>
      <w:tr>
        <w:trPr>
          <w:cantSplit/>
        </w:trPr>
        <w:tc>
          <w:tcPr>
            <w:tcW w:type="dxa" w:w="180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MSFT</w:t>
            </w:r>
          </w:p>
        </w:tc>
        <w:tc>
          <w:tcPr>
            <w:tcW w:type="dxa" w:w="220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-59.2%</w:t>
            </w:r>
          </w:p>
        </w:tc>
        <w:tc>
          <w:tcPr>
            <w:tcW w:type="dxa" w:w="240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-55.2%</w:t>
            </w:r>
          </w:p>
        </w:tc>
        <w:tc>
          <w:tcPr>
            <w:tcW w:type="dxa" w:w="260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-23.4%</w:t>
            </w:r>
          </w:p>
        </w:tc>
      </w:tr>
      <w:tr>
        <w:trPr>
          <w:cantSplit/>
        </w:trPr>
        <w:tc>
          <w:tcPr>
            <w:tcW w:type="dxa" w:w="180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XRX</w:t>
            </w:r>
          </w:p>
        </w:tc>
        <w:tc>
          <w:tcPr>
            <w:tcW w:type="dxa" w:w="220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-82.5%</w:t>
            </w:r>
          </w:p>
        </w:tc>
        <w:tc>
          <w:tcPr>
            <w:tcW w:type="dxa" w:w="240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-73.4%</w:t>
            </w:r>
          </w:p>
        </w:tc>
        <w:tc>
          <w:tcPr>
            <w:tcW w:type="dxa" w:w="260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-28.5%</w:t>
            </w:r>
          </w:p>
        </w:tc>
      </w:tr>
      <w:tr>
        <w:trPr>
          <w:cantSplit/>
        </w:trPr>
        <w:tc>
          <w:tcPr>
            <w:tcW w:type="dxa" w:w="180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AMZN</w:t>
            </w:r>
          </w:p>
        </w:tc>
        <w:tc>
          <w:tcPr>
            <w:tcW w:type="dxa" w:w="220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-91.3%</w:t>
            </w:r>
          </w:p>
        </w:tc>
        <w:tc>
          <w:tcPr>
            <w:tcW w:type="dxa" w:w="240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-53.9%</w:t>
            </w:r>
          </w:p>
        </w:tc>
        <w:tc>
          <w:tcPr>
            <w:tcW w:type="dxa" w:w="260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-35.6%</w:t>
            </w:r>
          </w:p>
        </w:tc>
      </w:tr>
      <w:tr>
        <w:trPr>
          <w:cantSplit/>
        </w:trPr>
        <w:tc>
          <w:tcPr>
            <w:tcW w:type="dxa" w:w="180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GOOGL</w:t>
            </w:r>
          </w:p>
        </w:tc>
        <w:tc>
          <w:tcPr>
            <w:tcW w:type="dxa" w:w="220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n/a (no price yet)</w:t>
            </w:r>
          </w:p>
        </w:tc>
        <w:tc>
          <w:tcPr>
            <w:tcW w:type="dxa" w:w="240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-58.6%</w:t>
            </w:r>
          </w:p>
        </w:tc>
        <w:tc>
          <w:tcPr>
            <w:tcW w:type="dxa" w:w="260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-22.7%</w:t>
            </w:r>
          </w:p>
        </w:tc>
      </w:tr>
      <w:tr>
        <w:trPr>
          <w:cantSplit/>
        </w:trPr>
        <w:tc>
          <w:tcPr>
            <w:tcW w:type="dxa" w:w="180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ADBE</w:t>
            </w:r>
          </w:p>
        </w:tc>
        <w:tc>
          <w:tcPr>
            <w:tcW w:type="dxa" w:w="220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-75.3%</w:t>
            </w:r>
          </w:p>
        </w:tc>
        <w:tc>
          <w:tcPr>
            <w:tcW w:type="dxa" w:w="240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-65.1%</w:t>
            </w:r>
          </w:p>
        </w:tc>
        <w:tc>
          <w:tcPr>
            <w:tcW w:type="dxa" w:w="260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-35.5%</w:t>
            </w:r>
          </w:p>
        </w:tc>
      </w:tr>
      <w:tr>
        <w:trPr>
          <w:cantSplit/>
        </w:trPr>
        <w:tc>
          <w:tcPr>
            <w:tcW w:type="dxa" w:w="180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S&amp;P 500</w:t>
            </w:r>
          </w:p>
        </w:tc>
        <w:tc>
          <w:tcPr>
            <w:tcW w:type="dxa" w:w="220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-46.3%</w:t>
            </w:r>
          </w:p>
        </w:tc>
        <w:tc>
          <w:tcPr>
            <w:tcW w:type="dxa" w:w="240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-52.6%</w:t>
            </w:r>
          </w:p>
        </w:tc>
        <w:tc>
          <w:tcPr>
            <w:tcW w:type="dxa" w:w="260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-19.8%</w:t>
            </w:r>
          </w:p>
        </w:tc>
      </w:tr>
      <w:tr>
        <w:trPr>
          <w:cantSplit/>
        </w:trPr>
        <w:tc>
          <w:tcPr>
            <w:tcW w:type="dxa" w:w="180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NASDAQ</w:t>
            </w:r>
          </w:p>
        </w:tc>
        <w:tc>
          <w:tcPr>
            <w:tcW w:type="dxa" w:w="220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-75.0%</w:t>
            </w:r>
          </w:p>
        </w:tc>
        <w:tc>
          <w:tcPr>
            <w:tcW w:type="dxa" w:w="240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-51.8%</w:t>
            </w:r>
          </w:p>
        </w:tc>
        <w:tc>
          <w:tcPr>
            <w:tcW w:type="dxa" w:w="260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-28.5%</w:t>
            </w:r>
          </w:p>
        </w:tc>
      </w:tr>
    </w:tbl>
    <w:p>
      <w:pPr>
        <w:spacing w:after="120"/>
      </w:pPr>
    </w:p>
    <w:p>
      <w:pPr>
        <w:spacing w:after="120" w:line="276"/>
        <w:jc w:val="both"/>
      </w:pPr>
      <w:r>
        <w:rPr>
          <w:rFonts w:ascii="Calibri" w:cs="Calibri" w:eastAsia="Calibri" w:hAnsi="Calibri"/>
          <w:b/>
          <w:bCs/>
        </w:rPr>
        <w:t xml:space="preserve">Does a higher beta go with a deeper fall?</w:t>
      </w:r>
      <w:r>
        <w:rPr>
          <w:rFonts w:ascii="Calibri" w:cs="Calibri" w:eastAsia="Calibri" w:hAnsi="Calibri"/>
        </w:rPr>
        <w:t xml:space="preserve"> (descriptive: only 6–7 holdings)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47"/>
        <w:gridCol w:w="2243"/>
        <w:gridCol w:w="2294"/>
        <w:gridCol w:w="2042"/>
      </w:tblGrid>
      <w:tr>
        <w:trPr>
          <w:cantSplit/>
        </w:trPr>
        <w:tc>
          <w:tcPr>
            <w:tcW w:type="dxa" w:w="2447"/>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Window</w:t>
            </w:r>
          </w:p>
        </w:tc>
        <w:tc>
          <w:tcPr>
            <w:tcW w:type="dxa" w:w="2243"/>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Holdings used</w:t>
            </w:r>
          </w:p>
        </w:tc>
        <w:tc>
          <w:tcPr>
            <w:tcW w:type="dxa" w:w="2294"/>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Spearman ρ (beta vs size of fall)</w:t>
            </w:r>
          </w:p>
        </w:tc>
        <w:tc>
          <w:tcPr>
            <w:tcW w:type="dxa" w:w="2042"/>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p-value</w:t>
            </w:r>
          </w:p>
        </w:tc>
      </w:tr>
      <w:tr>
        <w:trPr>
          <w:cantSplit/>
        </w:trPr>
        <w:tc>
          <w:tcPr>
            <w:tcW w:type="dxa" w:w="244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Dot-com</w:t>
            </w:r>
          </w:p>
        </w:tc>
        <w:tc>
          <w:tcPr>
            <w:tcW w:type="dxa" w:w="224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6</w:t>
            </w:r>
          </w:p>
        </w:tc>
        <w:tc>
          <w:tcPr>
            <w:tcW w:type="dxa" w:w="229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0.60</w:t>
            </w:r>
          </w:p>
        </w:tc>
        <w:tc>
          <w:tcPr>
            <w:tcW w:type="dxa" w:w="204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0.208</w:t>
            </w:r>
          </w:p>
        </w:tc>
      </w:tr>
      <w:tr>
        <w:trPr>
          <w:cantSplit/>
        </w:trPr>
        <w:tc>
          <w:tcPr>
            <w:tcW w:type="dxa" w:w="244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Financial crisis</w:t>
            </w:r>
          </w:p>
        </w:tc>
        <w:tc>
          <w:tcPr>
            <w:tcW w:type="dxa" w:w="224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7</w:t>
            </w:r>
          </w:p>
        </w:tc>
        <w:tc>
          <w:tcPr>
            <w:tcW w:type="dxa" w:w="229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0.82</w:t>
            </w:r>
          </w:p>
        </w:tc>
        <w:tc>
          <w:tcPr>
            <w:tcW w:type="dxa" w:w="204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0.023</w:t>
            </w:r>
          </w:p>
        </w:tc>
      </w:tr>
      <w:tr>
        <w:trPr>
          <w:cantSplit/>
        </w:trPr>
        <w:tc>
          <w:tcPr>
            <w:tcW w:type="dxa" w:w="244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Early 2022</w:t>
            </w:r>
          </w:p>
        </w:tc>
        <w:tc>
          <w:tcPr>
            <w:tcW w:type="dxa" w:w="224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7</w:t>
            </w:r>
          </w:p>
        </w:tc>
        <w:tc>
          <w:tcPr>
            <w:tcW w:type="dxa" w:w="2294"/>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0.54</w:t>
            </w:r>
          </w:p>
        </w:tc>
        <w:tc>
          <w:tcPr>
            <w:tcW w:type="dxa" w:w="204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0.215</w:t>
            </w:r>
          </w:p>
        </w:tc>
      </w:tr>
    </w:tbl>
    <w:p>
      <w:pPr>
        <w:spacing w:after="120"/>
      </w:pPr>
    </w:p>
    <w:p>
      <w:pPr>
        <w:spacing w:after="120" w:line="276"/>
        <w:jc w:val="both"/>
      </w:pPr>
      <w:r>
        <w:rPr>
          <w:rFonts w:ascii="Calibri" w:cs="Calibri" w:eastAsia="Calibri" w:hAnsi="Calibri"/>
          <w:b/>
          <w:bCs/>
        </w:rPr>
        <w:t xml:space="preserve">Observed facts.</w:t>
      </w:r>
    </w:p>
    <w:p>
      <w:pPr>
        <w:pStyle w:val="ListParagraph"/>
        <w:numPr>
          <w:ilvl w:val="0"/>
          <w:numId w:val="6"/>
        </w:numPr>
        <w:spacing w:after="60"/>
      </w:pPr>
      <w:r>
        <w:rPr>
          <w:rFonts w:ascii="Calibri" w:cs="Calibri" w:eastAsia="Calibri" w:hAnsi="Calibri"/>
        </w:rPr>
        <w:t xml:space="preserve">Every holding and both indices fell in every window.</w:t>
      </w:r>
    </w:p>
    <w:p>
      <w:pPr>
        <w:pStyle w:val="ListParagraph"/>
        <w:numPr>
          <w:ilvl w:val="0"/>
          <w:numId w:val="6"/>
        </w:numPr>
        <w:spacing w:after="60"/>
      </w:pPr>
      <w:r>
        <w:rPr>
          <w:rFonts w:ascii="Calibri" w:cs="Calibri" w:eastAsia="Calibri" w:hAnsi="Calibri"/>
        </w:rPr>
        <w:t xml:space="preserve">Dot-com window: Amazon </w:t>
      </w:r>
      <w:r>
        <w:rPr>
          <w:rFonts w:ascii="Calibri" w:cs="Calibri" w:eastAsia="Calibri" w:hAnsi="Calibri"/>
          <w:b/>
          <w:bCs/>
        </w:rPr>
        <w:t xml:space="preserve">−91.3 %</w:t>
      </w:r>
      <w:r>
        <w:rPr>
          <w:rFonts w:ascii="Calibri" w:cs="Calibri" w:eastAsia="Calibri" w:hAnsi="Calibri"/>
        </w:rPr>
        <w:t xml:space="preserve">, Xerox </w:t>
      </w:r>
      <w:r>
        <w:rPr>
          <w:rFonts w:ascii="Calibri" w:cs="Calibri" w:eastAsia="Calibri" w:hAnsi="Calibri"/>
          <w:b/>
          <w:bCs/>
        </w:rPr>
        <w:t xml:space="preserve">−82.5 %</w:t>
      </w:r>
      <w:r>
        <w:rPr>
          <w:rFonts w:ascii="Calibri" w:cs="Calibri" w:eastAsia="Calibri" w:hAnsi="Calibri"/>
        </w:rPr>
        <w:t xml:space="preserve">, Apple </w:t>
      </w:r>
      <w:r>
        <w:rPr>
          <w:rFonts w:ascii="Calibri" w:cs="Calibri" w:eastAsia="Calibri" w:hAnsi="Calibri"/>
          <w:b/>
          <w:bCs/>
        </w:rPr>
        <w:t xml:space="preserve">−78.9 %</w:t>
      </w:r>
      <w:r>
        <w:rPr>
          <w:rFonts w:ascii="Calibri" w:cs="Calibri" w:eastAsia="Calibri" w:hAnsi="Calibri"/>
        </w:rPr>
        <w:t xml:space="preserve">, Adobe </w:t>
      </w:r>
      <w:r>
        <w:rPr>
          <w:rFonts w:ascii="Calibri" w:cs="Calibri" w:eastAsia="Calibri" w:hAnsi="Calibri"/>
          <w:b/>
          <w:bCs/>
        </w:rPr>
        <w:t xml:space="preserve">−75.3 %</w:t>
      </w:r>
      <w:r>
        <w:rPr>
          <w:rFonts w:ascii="Calibri" w:cs="Calibri" w:eastAsia="Calibri" w:hAnsi="Calibri"/>
        </w:rPr>
        <w:t xml:space="preserve">, Microsoft </w:t>
      </w:r>
      <w:r>
        <w:rPr>
          <w:rFonts w:ascii="Calibri" w:cs="Calibri" w:eastAsia="Calibri" w:hAnsi="Calibri"/>
          <w:b/>
          <w:bCs/>
        </w:rPr>
        <w:t xml:space="preserve">−59.2 %</w:t>
      </w:r>
      <w:r>
        <w:rPr>
          <w:rFonts w:ascii="Calibri" w:cs="Calibri" w:eastAsia="Calibri" w:hAnsi="Calibri"/>
        </w:rPr>
        <w:t xml:space="preserve">, IBM </w:t>
      </w:r>
      <w:r>
        <w:rPr>
          <w:rFonts w:ascii="Calibri" w:cs="Calibri" w:eastAsia="Calibri" w:hAnsi="Calibri"/>
          <w:b/>
          <w:bCs/>
        </w:rPr>
        <w:t xml:space="preserve">−55.3 %</w:t>
      </w:r>
      <w:r>
        <w:rPr>
          <w:rFonts w:ascii="Calibri" w:cs="Calibri" w:eastAsia="Calibri" w:hAnsi="Calibri"/>
        </w:rPr>
        <w:t xml:space="preserve">, against </w:t>
      </w:r>
      <w:r>
        <w:rPr>
          <w:rFonts w:ascii="Calibri" w:cs="Calibri" w:eastAsia="Calibri" w:hAnsi="Calibri"/>
          <w:b/>
          <w:bCs/>
        </w:rPr>
        <w:t xml:space="preserve">−46.3 %</w:t>
      </w:r>
      <w:r>
        <w:rPr>
          <w:rFonts w:ascii="Calibri" w:cs="Calibri" w:eastAsia="Calibri" w:hAnsi="Calibri"/>
        </w:rPr>
        <w:t xml:space="preserve"> for the S&amp;P 500 and </w:t>
      </w:r>
      <w:r>
        <w:rPr>
          <w:rFonts w:ascii="Calibri" w:cs="Calibri" w:eastAsia="Calibri" w:hAnsi="Calibri"/>
          <w:b/>
          <w:bCs/>
        </w:rPr>
        <w:t xml:space="preserve">−75.0 %</w:t>
      </w:r>
      <w:r>
        <w:rPr>
          <w:rFonts w:ascii="Calibri" w:cs="Calibri" w:eastAsia="Calibri" w:hAnsi="Calibri"/>
        </w:rPr>
        <w:t xml:space="preserve"> for NASDAQ.</w:t>
      </w:r>
    </w:p>
    <w:p>
      <w:pPr>
        <w:pStyle w:val="ListParagraph"/>
        <w:numPr>
          <w:ilvl w:val="0"/>
          <w:numId w:val="6"/>
        </w:numPr>
        <w:spacing w:after="60"/>
      </w:pPr>
      <w:r>
        <w:rPr>
          <w:rFonts w:ascii="Calibri" w:cs="Calibri" w:eastAsia="Calibri" w:hAnsi="Calibri"/>
        </w:rPr>
        <w:t xml:space="preserve">Financial-crisis window: falls ranged from </w:t>
      </w:r>
      <w:r>
        <w:rPr>
          <w:rFonts w:ascii="Calibri" w:cs="Calibri" w:eastAsia="Calibri" w:hAnsi="Calibri"/>
          <w:b/>
          <w:bCs/>
        </w:rPr>
        <w:t xml:space="preserve">−36.5 %</w:t>
      </w:r>
      <w:r>
        <w:rPr>
          <w:rFonts w:ascii="Calibri" w:cs="Calibri" w:eastAsia="Calibri" w:hAnsi="Calibri"/>
        </w:rPr>
        <w:t xml:space="preserve"> (IBM) to </w:t>
      </w:r>
      <w:r>
        <w:rPr>
          <w:rFonts w:ascii="Calibri" w:cs="Calibri" w:eastAsia="Calibri" w:hAnsi="Calibri"/>
          <w:b/>
          <w:bCs/>
        </w:rPr>
        <w:t xml:space="preserve">−73.4 %</w:t>
      </w:r>
      <w:r>
        <w:rPr>
          <w:rFonts w:ascii="Calibri" w:cs="Calibri" w:eastAsia="Calibri" w:hAnsi="Calibri"/>
        </w:rPr>
        <w:t xml:space="preserve"> (Xerox); S&amp;P 500 </w:t>
      </w:r>
      <w:r>
        <w:rPr>
          <w:rFonts w:ascii="Calibri" w:cs="Calibri" w:eastAsia="Calibri" w:hAnsi="Calibri"/>
          <w:b/>
          <w:bCs/>
        </w:rPr>
        <w:t xml:space="preserve">−52.6 %</w:t>
      </w:r>
      <w:r>
        <w:rPr>
          <w:rFonts w:ascii="Calibri" w:cs="Calibri" w:eastAsia="Calibri" w:hAnsi="Calibri"/>
        </w:rPr>
        <w:t xml:space="preserve">.</w:t>
      </w:r>
    </w:p>
    <w:p>
      <w:pPr>
        <w:pStyle w:val="ListParagraph"/>
        <w:numPr>
          <w:ilvl w:val="0"/>
          <w:numId w:val="6"/>
        </w:numPr>
        <w:spacing w:after="60"/>
      </w:pPr>
      <w:r>
        <w:rPr>
          <w:rFonts w:ascii="Calibri" w:cs="Calibri" w:eastAsia="Calibri" w:hAnsi="Calibri"/>
        </w:rPr>
        <w:t xml:space="preserve">Early 2022: S&amp;P 500 </w:t>
      </w:r>
      <w:r>
        <w:rPr>
          <w:rFonts w:ascii="Calibri" w:cs="Calibri" w:eastAsia="Calibri" w:hAnsi="Calibri"/>
          <w:b/>
          <w:bCs/>
        </w:rPr>
        <w:t xml:space="preserve">−19.8 %</w:t>
      </w:r>
      <w:r>
        <w:rPr>
          <w:rFonts w:ascii="Calibri" w:cs="Calibri" w:eastAsia="Calibri" w:hAnsi="Calibri"/>
        </w:rPr>
        <w:t xml:space="preserve">; Amazon </w:t>
      </w:r>
      <w:r>
        <w:rPr>
          <w:rFonts w:ascii="Calibri" w:cs="Calibri" w:eastAsia="Calibri" w:hAnsi="Calibri"/>
          <w:b/>
          <w:bCs/>
        </w:rPr>
        <w:t xml:space="preserve">−35.6 %</w:t>
      </w:r>
      <w:r>
        <w:rPr>
          <w:rFonts w:ascii="Calibri" w:cs="Calibri" w:eastAsia="Calibri" w:hAnsi="Calibri"/>
        </w:rPr>
        <w:t xml:space="preserve">, Adobe </w:t>
      </w:r>
      <w:r>
        <w:rPr>
          <w:rFonts w:ascii="Calibri" w:cs="Calibri" w:eastAsia="Calibri" w:hAnsi="Calibri"/>
          <w:b/>
          <w:bCs/>
        </w:rPr>
        <w:t xml:space="preserve">−35.5 %</w:t>
      </w:r>
      <w:r>
        <w:rPr>
          <w:rFonts w:ascii="Calibri" w:cs="Calibri" w:eastAsia="Calibri" w:hAnsi="Calibri"/>
        </w:rPr>
        <w:t xml:space="preserve">, Xerox </w:t>
      </w:r>
      <w:r>
        <w:rPr>
          <w:rFonts w:ascii="Calibri" w:cs="Calibri" w:eastAsia="Calibri" w:hAnsi="Calibri"/>
          <w:b/>
          <w:bCs/>
        </w:rPr>
        <w:t xml:space="preserve">−28.5 %</w:t>
      </w:r>
      <w:r>
        <w:rPr>
          <w:rFonts w:ascii="Calibri" w:cs="Calibri" w:eastAsia="Calibri" w:hAnsi="Calibri"/>
        </w:rPr>
        <w:t xml:space="preserve">, Microsoft </w:t>
      </w:r>
      <w:r>
        <w:rPr>
          <w:rFonts w:ascii="Calibri" w:cs="Calibri" w:eastAsia="Calibri" w:hAnsi="Calibri"/>
          <w:b/>
          <w:bCs/>
        </w:rPr>
        <w:t xml:space="preserve">−23.4 %</w:t>
      </w:r>
      <w:r>
        <w:rPr>
          <w:rFonts w:ascii="Calibri" w:cs="Calibri" w:eastAsia="Calibri" w:hAnsi="Calibri"/>
        </w:rPr>
        <w:t xml:space="preserve">, Alphabet </w:t>
      </w:r>
      <w:r>
        <w:rPr>
          <w:rFonts w:ascii="Calibri" w:cs="Calibri" w:eastAsia="Calibri" w:hAnsi="Calibri"/>
          <w:b/>
          <w:bCs/>
        </w:rPr>
        <w:t xml:space="preserve">−22.7 %</w:t>
      </w:r>
      <w:r>
        <w:rPr>
          <w:rFonts w:ascii="Calibri" w:cs="Calibri" w:eastAsia="Calibri" w:hAnsi="Calibri"/>
        </w:rPr>
        <w:t xml:space="preserve">, Apple </w:t>
      </w:r>
      <w:r>
        <w:rPr>
          <w:rFonts w:ascii="Calibri" w:cs="Calibri" w:eastAsia="Calibri" w:hAnsi="Calibri"/>
          <w:b/>
          <w:bCs/>
        </w:rPr>
        <w:t xml:space="preserve">−22.4 %</w:t>
      </w:r>
      <w:r>
        <w:rPr>
          <w:rFonts w:ascii="Calibri" w:cs="Calibri" w:eastAsia="Calibri" w:hAnsi="Calibri"/>
        </w:rPr>
        <w:t xml:space="preserve">, IBM </w:t>
      </w:r>
      <w:r>
        <w:rPr>
          <w:rFonts w:ascii="Calibri" w:cs="Calibri" w:eastAsia="Calibri" w:hAnsi="Calibri"/>
          <w:b/>
          <w:bCs/>
        </w:rPr>
        <w:t xml:space="preserve">−8.3 %</w:t>
      </w:r>
      <w:r>
        <w:rPr>
          <w:rFonts w:ascii="Calibri" w:cs="Calibri" w:eastAsia="Calibri" w:hAnsi="Calibri"/>
        </w:rPr>
        <w:t xml:space="preserve">. (The window ends in June 2022, a partial month.)</w:t>
      </w:r>
    </w:p>
    <w:p>
      <w:pPr>
        <w:pStyle w:val="ListParagraph"/>
        <w:numPr>
          <w:ilvl w:val="0"/>
          <w:numId w:val="6"/>
        </w:numPr>
        <w:spacing w:after="60"/>
      </w:pPr>
      <w:r>
        <w:rPr>
          <w:rFonts w:ascii="Calibri" w:cs="Calibri" w:eastAsia="Calibri" w:hAnsi="Calibri"/>
        </w:rPr>
        <w:t xml:space="preserve">In the financial-crisis window, holdings with a higher beta fell further (Spearman ρ = </w:t>
      </w:r>
      <w:r>
        <w:rPr>
          <w:rFonts w:ascii="Calibri" w:cs="Calibri" w:eastAsia="Calibri" w:hAnsi="Calibri"/>
          <w:b/>
          <w:bCs/>
        </w:rPr>
        <w:t xml:space="preserve">0.82</w:t>
      </w:r>
      <w:r>
        <w:rPr>
          <w:rFonts w:ascii="Calibri" w:cs="Calibri" w:eastAsia="Calibri" w:hAnsi="Calibri"/>
        </w:rPr>
        <w:t xml:space="preserve">, p = </w:t>
      </w:r>
      <w:r>
        <w:rPr>
          <w:rFonts w:ascii="Calibri" w:cs="Calibri" w:eastAsia="Calibri" w:hAnsi="Calibri"/>
          <w:b/>
          <w:bCs/>
        </w:rPr>
        <w:t xml:space="preserve">0.023</w:t>
      </w:r>
      <w:r>
        <w:rPr>
          <w:rFonts w:ascii="Calibri" w:cs="Calibri" w:eastAsia="Calibri" w:hAnsi="Calibri"/>
        </w:rPr>
        <w:t xml:space="preserve">, 7 holdings). In the dot-com and 2022 windows the relationship was in the same direction but weaker and not statistically clear (ρ = </w:t>
      </w:r>
      <w:r>
        <w:rPr>
          <w:rFonts w:ascii="Calibri" w:cs="Calibri" w:eastAsia="Calibri" w:hAnsi="Calibri"/>
          <w:b/>
          <w:bCs/>
        </w:rPr>
        <w:t xml:space="preserve">0.60</w:t>
      </w:r>
      <w:r>
        <w:rPr>
          <w:rFonts w:ascii="Calibri" w:cs="Calibri" w:eastAsia="Calibri" w:hAnsi="Calibri"/>
        </w:rPr>
        <w:t xml:space="preserve">, p = </w:t>
      </w:r>
      <w:r>
        <w:rPr>
          <w:rFonts w:ascii="Calibri" w:cs="Calibri" w:eastAsia="Calibri" w:hAnsi="Calibri"/>
          <w:b/>
          <w:bCs/>
        </w:rPr>
        <w:t xml:space="preserve">0.208</w:t>
      </w:r>
      <w:r>
        <w:rPr>
          <w:rFonts w:ascii="Calibri" w:cs="Calibri" w:eastAsia="Calibri" w:hAnsi="Calibri"/>
        </w:rPr>
        <w:t xml:space="preserve"> and ρ = </w:t>
      </w:r>
      <w:r>
        <w:rPr>
          <w:rFonts w:ascii="Calibri" w:cs="Calibri" w:eastAsia="Calibri" w:hAnsi="Calibri"/>
          <w:b/>
          <w:bCs/>
        </w:rPr>
        <w:t xml:space="preserve">0.54</w:t>
      </w:r>
      <w:r>
        <w:rPr>
          <w:rFonts w:ascii="Calibri" w:cs="Calibri" w:eastAsia="Calibri" w:hAnsi="Calibri"/>
        </w:rPr>
        <w:t xml:space="preserve">, p = </w:t>
      </w:r>
      <w:r>
        <w:rPr>
          <w:rFonts w:ascii="Calibri" w:cs="Calibri" w:eastAsia="Calibri" w:hAnsi="Calibri"/>
          <w:b/>
          <w:bCs/>
        </w:rPr>
        <w:t xml:space="preserve">0.215</w:t>
      </w:r>
      <w:r>
        <w:rPr>
          <w:rFonts w:ascii="Calibri" w:cs="Calibri" w:eastAsia="Calibri" w:hAnsi="Calibri"/>
        </w:rPr>
        <w:t xml:space="preserve">).</w:t>
      </w:r>
    </w:p>
    <w:p>
      <w:pPr>
        <w:spacing w:after="120" w:line="276"/>
        <w:jc w:val="both"/>
      </w:pPr>
      <w:r>
        <w:rPr>
          <w:rFonts w:ascii="Calibri" w:cs="Calibri" w:eastAsia="Calibri" w:hAnsi="Calibri"/>
          <w:b/>
          <w:bCs/>
        </w:rPr>
        <w:t xml:space="preserve">Interpretation.</w:t>
      </w:r>
      <w:r>
        <w:rPr>
          <w:rFonts w:ascii="Calibri" w:cs="Calibri" w:eastAsia="Calibri" w:hAnsi="Calibri"/>
        </w:rPr>
        <w:t xml:space="preserve"> None of the holdings protected the club in a market-wide fall; the least affected (IBM) still lost more than a third of its value in the financial-crisis window. A higher beta was </w:t>
      </w:r>
      <w:r>
        <w:rPr>
          <w:rFonts w:ascii="Calibri" w:cs="Calibri" w:eastAsia="Calibri" w:hAnsi="Calibri"/>
          <w:i/>
          <w:iCs/>
        </w:rPr>
        <w:t xml:space="preserve">associated</w:t>
      </w:r>
      <w:r>
        <w:rPr>
          <w:rFonts w:ascii="Calibri" w:cs="Calibri" w:eastAsia="Calibri" w:hAnsi="Calibri"/>
        </w:rPr>
        <w:t xml:space="preserve"> with deeper falls, which fits the idea that beta gives a rough warning of stress behaviour, but with so few holdings this is only a hypothesis to test further.</w:t>
      </w:r>
    </w:p>
    <w:p>
      <w:pPr>
        <w:pStyle w:val="Heading2"/>
        <w:keepNext/>
        <w:spacing w:after="80" w:before="220"/>
      </w:pPr>
      <w:bookmarkStart w:name="sec24" w:id="24"/>
      <w:r>
        <w:rPr>
          <w:rFonts w:ascii="Calibri" w:cs="Calibri" w:eastAsia="Calibri" w:hAnsi="Calibri"/>
          <w:b/>
          <w:bCs/>
          <w:color w:val="2F5496"/>
          <w:sz w:val="25"/>
          <w:szCs w:val="25"/>
        </w:rPr>
        <w:t xml:space="preserve">9.6 Q6. Does holding all seven together reduce risk?</w:t>
      </w:r>
      <w:bookmarkEnd w:id="24"/>
    </w:p>
    <w:p>
      <w:pPr>
        <w:spacing w:after="120" w:line="276"/>
        <w:jc w:val="both"/>
      </w:pPr>
      <w:r>
        <w:rPr>
          <w:rFonts w:ascii="Calibri" w:cs="Calibri" w:eastAsia="Calibri" w:hAnsi="Calibri"/>
          <w:b/>
          <w:bCs/>
        </w:rPr>
        <w:t xml:space="preserve">Method:</w:t>
      </w:r>
      <w:r>
        <w:rPr>
          <w:rFonts w:ascii="Calibri" w:cs="Calibri" w:eastAsia="Calibri" w:hAnsi="Calibri"/>
        </w:rPr>
        <w:t xml:space="preserve"> correlation matrix of monthly returns (Fig 10); a hypothetical </w:t>
      </w:r>
      <w:r>
        <w:rPr>
          <w:rFonts w:ascii="Calibri" w:cs="Calibri" w:eastAsia="Calibri" w:hAnsi="Calibri"/>
          <w:b/>
          <w:bCs/>
        </w:rPr>
        <w:t xml:space="preserve">equal-weight basket</w:t>
      </w:r>
      <w:r>
        <w:rPr>
          <w:rFonts w:ascii="Calibri" w:cs="Calibri" w:eastAsia="Calibri" w:hAnsi="Calibri"/>
        </w:rPr>
        <w:t xml:space="preserve"> that holds the seven stocks in equal parts and is rebalanced monthly (Fig 12). The basket ignores trading costs and taxes.</w:t>
      </w:r>
    </w:p>
    <w:p>
      <w:pPr>
        <w:keepNext/>
        <w:spacing w:after="40" w:before="120"/>
        <w:jc w:val="center"/>
      </w:pPr>
      <w:r>
        <w:drawing>
          <wp:inline distT="0" distB="0" distL="0" distR="0">
            <wp:extent cx="4953000" cy="4295775"/>
            <wp:effectExtent t="0" r="0" b="0" l="0"/>
            <wp:docPr id="10" name="Fig 10. Correlation of monthly returns" descr="Fig 10. Correlation of monthly returns" title="Fig 10. Correlation of monthly retu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953000" cy="42957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Fig 10. Correlation of monthly returns</w:t>
      </w:r>
    </w:p>
    <w:p>
      <w:pPr>
        <w:spacing w:after="120" w:line="276"/>
        <w:jc w:val="both"/>
      </w:pPr>
      <w:r>
        <w:rPr>
          <w:rFonts w:ascii="Calibri" w:cs="Calibri" w:eastAsia="Calibri" w:hAnsi="Calibri"/>
          <w:i/>
          <w:iCs/>
        </w:rPr>
        <w:t xml:space="preserve">Figure 10. Correlation of monthly returns</w:t>
      </w:r>
    </w:p>
    <w:p>
      <w:pPr>
        <w:keepNext/>
        <w:spacing w:after="40" w:before="120"/>
        <w:jc w:val="center"/>
      </w:pPr>
      <w:r>
        <w:drawing>
          <wp:inline distT="0" distB="0" distL="0" distR="0">
            <wp:extent cx="4953000" cy="2971800"/>
            <wp:effectExtent t="0" r="0" b="0" l="0"/>
            <wp:docPr id="11" name="Fig 12. Equal-weight basket versus the indices (growth of 100, log scale)" descr="Fig 12. Equal-weight basket versus the indices (growth of 100, log scale)" title="Fig 12. Equal-weight basket versus the indices (growth of 100,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53000" cy="29718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Fig 12. Equal-weight basket versus the indices (growth of 100, log scale)</w:t>
      </w:r>
    </w:p>
    <w:p>
      <w:pPr>
        <w:spacing w:after="120" w:line="276"/>
        <w:jc w:val="both"/>
      </w:pPr>
      <w:r>
        <w:rPr>
          <w:rFonts w:ascii="Calibri" w:cs="Calibri" w:eastAsia="Calibri" w:hAnsi="Calibri"/>
          <w:i/>
          <w:iCs/>
        </w:rPr>
        <w:t xml:space="preserve">Figure 12. Equal-weight basket versus the indices (growth of 100, log scale)</w:t>
      </w:r>
    </w:p>
    <w:p>
      <w:pPr>
        <w:spacing w:after="120" w:line="276"/>
        <w:jc w:val="both"/>
      </w:pPr>
      <w:r>
        <w:rPr>
          <w:rFonts w:ascii="Calibri" w:cs="Calibri" w:eastAsia="Calibri" w:hAnsi="Calibri"/>
          <w:b/>
          <w:bCs/>
        </w:rPr>
        <w:t xml:space="preserve">Diversification results</w:t>
      </w:r>
      <w:r>
        <w:rPr>
          <w:rFonts w:ascii="Calibri" w:cs="Calibri" w:eastAsia="Calibri" w:hAnsi="Calibri"/>
        </w:rPr>
        <w:t xml:space="preserve"> (volatility, CAGR and drawdown as fractions, e.g. 0.204 = 20.4 %)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903"/>
        <w:gridCol w:w="2123"/>
      </w:tblGrid>
      <w:tr>
        <w:trPr>
          <w:cantSplit/>
        </w:trPr>
        <w:tc>
          <w:tcPr>
            <w:tcW w:type="dxa" w:w="6903"/>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20"/>
                <w:szCs w:val="20"/>
              </w:rPr>
              <w:t xml:space="preserve">Measure</w:t>
            </w:r>
          </w:p>
        </w:tc>
        <w:tc>
          <w:tcPr>
            <w:tcW w:type="dxa" w:w="2123"/>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20"/>
                <w:szCs w:val="20"/>
              </w:rPr>
              <w:t xml:space="preserve">Result</w:t>
            </w:r>
          </w:p>
        </w:tc>
      </w:tr>
      <w:tr>
        <w:trPr>
          <w:cantSplit/>
        </w:trPr>
        <w:tc>
          <w:tcPr>
            <w:tcW w:type="dxa" w:w="690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Average pairwise correlation (all months)</w:t>
            </w:r>
          </w:p>
        </w:tc>
        <w:tc>
          <w:tcPr>
            <w:tcW w:type="dxa" w:w="212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0.386</w:t>
            </w:r>
          </w:p>
        </w:tc>
      </w:tr>
      <w:tr>
        <w:trPr>
          <w:cantSplit/>
        </w:trPr>
        <w:tc>
          <w:tcPr>
            <w:tcW w:type="dxa" w:w="690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Average pairwise correlation (financial-crisis window)</w:t>
            </w:r>
          </w:p>
        </w:tc>
        <w:tc>
          <w:tcPr>
            <w:tcW w:type="dxa" w:w="212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0.465</w:t>
            </w:r>
          </w:p>
        </w:tc>
      </w:tr>
      <w:tr>
        <w:trPr>
          <w:cantSplit/>
        </w:trPr>
        <w:tc>
          <w:tcPr>
            <w:tcW w:type="dxa" w:w="690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Months in the crisis window</w:t>
            </w:r>
          </w:p>
        </w:tc>
        <w:tc>
          <w:tcPr>
            <w:tcW w:type="dxa" w:w="212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18</w:t>
            </w:r>
          </w:p>
        </w:tc>
      </w:tr>
      <w:tr>
        <w:trPr>
          <w:cantSplit/>
        </w:trPr>
        <w:tc>
          <w:tcPr>
            <w:tcW w:type="dxa" w:w="690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Average volatility of the 7 single stocks</w:t>
            </w:r>
          </w:p>
        </w:tc>
        <w:tc>
          <w:tcPr>
            <w:tcW w:type="dxa" w:w="212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0.297</w:t>
            </w:r>
          </w:p>
        </w:tc>
      </w:tr>
      <w:tr>
        <w:trPr>
          <w:cantSplit/>
        </w:trPr>
        <w:tc>
          <w:tcPr>
            <w:tcW w:type="dxa" w:w="690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Volatility of the equal-weight basket</w:t>
            </w:r>
          </w:p>
        </w:tc>
        <w:tc>
          <w:tcPr>
            <w:tcW w:type="dxa" w:w="212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0.204</w:t>
            </w:r>
          </w:p>
        </w:tc>
      </w:tr>
      <w:tr>
        <w:trPr>
          <w:cantSplit/>
        </w:trPr>
        <w:tc>
          <w:tcPr>
            <w:tcW w:type="dxa" w:w="690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Basket volatility is lower by (share)</w:t>
            </w:r>
          </w:p>
        </w:tc>
        <w:tc>
          <w:tcPr>
            <w:tcW w:type="dxa" w:w="212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0.312</w:t>
            </w:r>
          </w:p>
        </w:tc>
      </w:tr>
      <w:tr>
        <w:trPr>
          <w:cantSplit/>
        </w:trPr>
        <w:tc>
          <w:tcPr>
            <w:tcW w:type="dxa" w:w="690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Basket CAGR</w:t>
            </w:r>
          </w:p>
        </w:tc>
        <w:tc>
          <w:tcPr>
            <w:tcW w:type="dxa" w:w="212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0.193</w:t>
            </w:r>
          </w:p>
        </w:tc>
      </w:tr>
      <w:tr>
        <w:trPr>
          <w:cantSplit/>
        </w:trPr>
        <w:tc>
          <w:tcPr>
            <w:tcW w:type="dxa" w:w="690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Basket maximum drawdown</w:t>
            </w:r>
          </w:p>
        </w:tc>
        <w:tc>
          <w:tcPr>
            <w:tcW w:type="dxa" w:w="212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-0.487</w:t>
            </w:r>
          </w:p>
        </w:tc>
      </w:tr>
      <w:tr>
        <w:trPr>
          <w:cantSplit/>
        </w:trPr>
        <w:tc>
          <w:tcPr>
            <w:tcW w:type="dxa" w:w="690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S&amp;P 500 maximum drawdown</w:t>
            </w:r>
          </w:p>
        </w:tc>
        <w:tc>
          <w:tcPr>
            <w:tcW w:type="dxa" w:w="212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-0.526</w:t>
            </w:r>
          </w:p>
        </w:tc>
      </w:tr>
      <w:tr>
        <w:trPr>
          <w:cantSplit/>
        </w:trPr>
        <w:tc>
          <w:tcPr>
            <w:tcW w:type="dxa" w:w="690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Basket return / risk</w:t>
            </w:r>
          </w:p>
        </w:tc>
        <w:tc>
          <w:tcPr>
            <w:tcW w:type="dxa" w:w="212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20"/>
                <w:szCs w:val="20"/>
              </w:rPr>
              <w:t xml:space="preserve">0.944</w:t>
            </w:r>
          </w:p>
        </w:tc>
      </w:tr>
    </w:tbl>
    <w:p>
      <w:pPr>
        <w:spacing w:after="120"/>
      </w:pPr>
    </w:p>
    <w:p>
      <w:pPr>
        <w:spacing w:after="120" w:line="276"/>
        <w:jc w:val="both"/>
      </w:pPr>
      <w:r>
        <w:rPr>
          <w:rFonts w:ascii="Calibri" w:cs="Calibri" w:eastAsia="Calibri" w:hAnsi="Calibri"/>
          <w:b/>
          <w:bCs/>
        </w:rPr>
        <w:t xml:space="preserve">Observed facts.</w:t>
      </w:r>
      <w:r>
        <w:rPr>
          <w:rFonts w:ascii="Calibri" w:cs="Calibri" w:eastAsia="Calibri" w:hAnsi="Calibri"/>
        </w:rPr>
        <w:t xml:space="preserve"> The seven holdings are only moderately correlated with each other (average pairwise correlation </w:t>
      </w:r>
      <w:r>
        <w:rPr>
          <w:rFonts w:ascii="Calibri" w:cs="Calibri" w:eastAsia="Calibri" w:hAnsi="Calibri"/>
          <w:b/>
          <w:bCs/>
        </w:rPr>
        <w:t xml:space="preserve">0.39</w:t>
      </w:r>
      <w:r>
        <w:rPr>
          <w:rFonts w:ascii="Calibri" w:cs="Calibri" w:eastAsia="Calibri" w:hAnsi="Calibri"/>
        </w:rPr>
        <w:t xml:space="preserve">; lowest pairs Xerox–Amazon </w:t>
      </w:r>
      <w:r>
        <w:rPr>
          <w:rFonts w:ascii="Calibri" w:cs="Calibri" w:eastAsia="Calibri" w:hAnsi="Calibri"/>
          <w:b/>
          <w:bCs/>
        </w:rPr>
        <w:t xml:space="preserve">0.25</w:t>
      </w:r>
      <w:r>
        <w:rPr>
          <w:rFonts w:ascii="Calibri" w:cs="Calibri" w:eastAsia="Calibri" w:hAnsi="Calibri"/>
        </w:rPr>
        <w:t xml:space="preserve">, IBM–Alphabet </w:t>
      </w:r>
      <w:r>
        <w:rPr>
          <w:rFonts w:ascii="Calibri" w:cs="Calibri" w:eastAsia="Calibri" w:hAnsi="Calibri"/>
          <w:b/>
          <w:bCs/>
        </w:rPr>
        <w:t xml:space="preserve">0.28</w:t>
      </w:r>
      <w:r>
        <w:rPr>
          <w:rFonts w:ascii="Calibri" w:cs="Calibri" w:eastAsia="Calibri" w:hAnsi="Calibri"/>
        </w:rPr>
        <w:t xml:space="preserve">, Xerox–Alphabet </w:t>
      </w:r>
      <w:r>
        <w:rPr>
          <w:rFonts w:ascii="Calibri" w:cs="Calibri" w:eastAsia="Calibri" w:hAnsi="Calibri"/>
          <w:b/>
          <w:bCs/>
        </w:rPr>
        <w:t xml:space="preserve">0.30</w:t>
      </w:r>
      <w:r>
        <w:rPr>
          <w:rFonts w:ascii="Calibri" w:cs="Calibri" w:eastAsia="Calibri" w:hAnsi="Calibri"/>
        </w:rPr>
        <w:t xml:space="preserve">). The equal-weight basket had volatility of </w:t>
      </w:r>
      <w:r>
        <w:rPr>
          <w:rFonts w:ascii="Calibri" w:cs="Calibri" w:eastAsia="Calibri" w:hAnsi="Calibri"/>
          <w:b/>
          <w:bCs/>
        </w:rPr>
        <w:t xml:space="preserve">20.4 %</w:t>
      </w:r>
      <w:r>
        <w:rPr>
          <w:rFonts w:ascii="Calibri" w:cs="Calibri" w:eastAsia="Calibri" w:hAnsi="Calibri"/>
        </w:rPr>
        <w:t xml:space="preserve">, which is about </w:t>
      </w:r>
      <w:r>
        <w:rPr>
          <w:rFonts w:ascii="Calibri" w:cs="Calibri" w:eastAsia="Calibri" w:hAnsi="Calibri"/>
          <w:b/>
          <w:bCs/>
        </w:rPr>
        <w:t xml:space="preserve">31 %</w:t>
      </w:r>
      <w:r>
        <w:rPr>
          <w:rFonts w:ascii="Calibri" w:cs="Calibri" w:eastAsia="Calibri" w:hAnsi="Calibri"/>
        </w:rPr>
        <w:t xml:space="preserve"> lower than the </w:t>
      </w:r>
      <w:r>
        <w:rPr>
          <w:rFonts w:ascii="Calibri" w:cs="Calibri" w:eastAsia="Calibri" w:hAnsi="Calibri"/>
          <w:b/>
          <w:bCs/>
        </w:rPr>
        <w:t xml:space="preserve">29.7 %</w:t>
      </w:r>
      <w:r>
        <w:rPr>
          <w:rFonts w:ascii="Calibri" w:cs="Calibri" w:eastAsia="Calibri" w:hAnsi="Calibri"/>
        </w:rPr>
        <w:t xml:space="preserve"> average volatility of the seven single stocks. Its CAGR was </w:t>
      </w:r>
      <w:r>
        <w:rPr>
          <w:rFonts w:ascii="Calibri" w:cs="Calibri" w:eastAsia="Calibri" w:hAnsi="Calibri"/>
          <w:b/>
          <w:bCs/>
        </w:rPr>
        <w:t xml:space="preserve">19.3 %</w:t>
      </w:r>
      <w:r>
        <w:rPr>
          <w:rFonts w:ascii="Calibri" w:cs="Calibri" w:eastAsia="Calibri" w:hAnsi="Calibri"/>
        </w:rPr>
        <w:t xml:space="preserve">, a little above the simple average of the seven single-stock CAGRs (</w:t>
      </w:r>
      <w:r>
        <w:rPr>
          <w:rFonts w:ascii="Calibri" w:cs="Calibri" w:eastAsia="Calibri" w:hAnsi="Calibri"/>
          <w:b/>
          <w:bCs/>
        </w:rPr>
        <w:t xml:space="preserve">17.0 %</w:t>
      </w:r>
      <w:r>
        <w:rPr>
          <w:rFonts w:ascii="Calibri" w:cs="Calibri" w:eastAsia="Calibri" w:hAnsi="Calibri"/>
        </w:rPr>
        <w:t xml:space="preserve">); its largest fall was </w:t>
      </w:r>
      <w:r>
        <w:rPr>
          <w:rFonts w:ascii="Calibri" w:cs="Calibri" w:eastAsia="Calibri" w:hAnsi="Calibri"/>
          <w:b/>
          <w:bCs/>
        </w:rPr>
        <w:t xml:space="preserve">−48.7 %</w:t>
      </w:r>
      <w:r>
        <w:rPr>
          <w:rFonts w:ascii="Calibri" w:cs="Calibri" w:eastAsia="Calibri" w:hAnsi="Calibri"/>
        </w:rPr>
        <w:t xml:space="preserve"> (S&amp;P 500: </w:t>
      </w:r>
      <w:r>
        <w:rPr>
          <w:rFonts w:ascii="Calibri" w:cs="Calibri" w:eastAsia="Calibri" w:hAnsi="Calibri"/>
          <w:b/>
          <w:bCs/>
        </w:rPr>
        <w:t xml:space="preserve">−52.6 %</w:t>
      </w:r>
      <w:r>
        <w:rPr>
          <w:rFonts w:ascii="Calibri" w:cs="Calibri" w:eastAsia="Calibri" w:hAnsi="Calibri"/>
        </w:rPr>
        <w:t xml:space="preserve">) and its return-to-risk ratio </w:t>
      </w:r>
      <w:r>
        <w:rPr>
          <w:rFonts w:ascii="Calibri" w:cs="Calibri" w:eastAsia="Calibri" w:hAnsi="Calibri"/>
          <w:b/>
          <w:bCs/>
        </w:rPr>
        <w:t xml:space="preserve">0.94</w:t>
      </w:r>
      <w:r>
        <w:rPr>
          <w:rFonts w:ascii="Calibri" w:cs="Calibri" w:eastAsia="Calibri" w:hAnsi="Calibri"/>
        </w:rPr>
        <w:t xml:space="preserve">. In the 18 months of the financial-crisis window the average pairwise correlation rose to </w:t>
      </w:r>
      <w:r>
        <w:rPr>
          <w:rFonts w:ascii="Calibri" w:cs="Calibri" w:eastAsia="Calibri" w:hAnsi="Calibri"/>
          <w:b/>
          <w:bCs/>
        </w:rPr>
        <w:t xml:space="preserve">0.47</w:t>
      </w:r>
      <w:r>
        <w:rPr>
          <w:rFonts w:ascii="Calibri" w:cs="Calibri" w:eastAsia="Calibri" w:hAnsi="Calibri"/>
        </w:rPr>
        <w:t xml:space="preserve">.</w:t>
      </w:r>
    </w:p>
    <w:p>
      <w:pPr>
        <w:spacing w:after="120" w:line="276"/>
        <w:jc w:val="both"/>
      </w:pPr>
      <w:r>
        <w:rPr>
          <w:rFonts w:ascii="Calibri" w:cs="Calibri" w:eastAsia="Calibri" w:hAnsi="Calibri"/>
          <w:b/>
          <w:bCs/>
        </w:rPr>
        <w:t xml:space="preserve">Interpretation.</w:t>
      </w:r>
      <w:r>
        <w:rPr>
          <w:rFonts w:ascii="Calibri" w:cs="Calibri" w:eastAsia="Calibri" w:hAnsi="Calibri"/>
        </w:rPr>
        <w:t xml:space="preserve"> Combining the seven reduced volatility noticeably without lowering growth below the single-stock average, which supports keeping a basket rather than concentrating in a few names. But the basket still lost almost half its value at its worst point, so diversification </w:t>
      </w:r>
      <w:r>
        <w:rPr>
          <w:rFonts w:ascii="Calibri" w:cs="Calibri" w:eastAsia="Calibri" w:hAnsi="Calibri"/>
          <w:i/>
          <w:iCs/>
        </w:rPr>
        <w:t xml:space="preserve">within</w:t>
      </w:r>
      <w:r>
        <w:rPr>
          <w:rFonts w:ascii="Calibri" w:cs="Calibri" w:eastAsia="Calibri" w:hAnsi="Calibri"/>
        </w:rPr>
        <w:t xml:space="preserve"> technology shares did not remove the risk of a large fall. The higher correlation in the crisis window is consistent with diversification weakening when markets fall, but 18 months is a small sample.</w:t>
      </w:r>
    </w:p>
    <w:p>
      <w:pPr>
        <w:spacing w:after="120" w:line="276"/>
        <w:jc w:val="both"/>
      </w:pPr>
      <w:r>
        <w:rPr>
          <w:rFonts w:ascii="Calibri" w:cs="Calibri" w:eastAsia="Calibri" w:hAnsi="Calibri"/>
          <w:b/>
          <w:bCs/>
        </w:rPr>
        <w:t xml:space="preserve">Limitations.</w:t>
      </w:r>
      <w:r>
        <w:rPr>
          <w:rFonts w:ascii="Calibri" w:cs="Calibri" w:eastAsia="Calibri" w:hAnsi="Calibri"/>
        </w:rPr>
        <w:t xml:space="preserve"> The basket is hypothetical (monthly rebalancing, no costs or taxes) and is measured over a period in which these particular companies did well.</w:t>
      </w:r>
    </w:p>
    <w:p>
      <w:pPr>
        <w:pStyle w:val="Heading2"/>
        <w:keepNext/>
        <w:spacing w:after="80" w:before="220"/>
      </w:pPr>
      <w:bookmarkStart w:name="sec25" w:id="25"/>
      <w:r>
        <w:rPr>
          <w:rFonts w:ascii="Calibri" w:cs="Calibri" w:eastAsia="Calibri" w:hAnsi="Calibri"/>
          <w:b/>
          <w:bCs/>
          <w:color w:val="2F5496"/>
          <w:sz w:val="25"/>
          <w:szCs w:val="25"/>
        </w:rPr>
        <w:t xml:space="preserve">9.7 Q7. How consistent were returns from year to year?</w:t>
      </w:r>
      <w:bookmarkEnd w:id="25"/>
    </w:p>
    <w:p>
      <w:pPr>
        <w:spacing w:after="120" w:line="276"/>
        <w:jc w:val="both"/>
      </w:pPr>
      <w:r>
        <w:rPr>
          <w:rFonts w:ascii="Calibri" w:cs="Calibri" w:eastAsia="Calibri" w:hAnsi="Calibri"/>
          <w:b/>
          <w:bCs/>
        </w:rPr>
        <w:t xml:space="preserve">Method:</w:t>
      </w:r>
      <w:r>
        <w:rPr>
          <w:rFonts w:ascii="Calibri" w:cs="Calibri" w:eastAsia="Calibri" w:hAnsi="Calibri"/>
        </w:rPr>
        <w:t xml:space="preserve"> calendar-year return = December price ÷ previous December price − 1, for full years only (Fig 11). The partial year 2022 is excluded.</w:t>
      </w:r>
    </w:p>
    <w:p>
      <w:pPr>
        <w:keepNext/>
        <w:spacing w:after="40" w:before="120"/>
        <w:jc w:val="center"/>
      </w:pPr>
      <w:r>
        <w:drawing>
          <wp:inline distT="0" distB="0" distL="0" distR="0">
            <wp:extent cx="4953000" cy="2752725"/>
            <wp:effectExtent t="0" r="0" b="0" l="0"/>
            <wp:docPr id="12" name="Fig 11. Calendar-year returns, 1991 – 2021 (full years only)" descr="Fig 11. Calendar-year returns, 1991 – 2021 (full years only)" title="Fig 11. Calendar-year returns, 1991 – 2021 (full years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53000" cy="27527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Fig 11. Calendar-year returns, 1991 – 2021 (full years only)</w:t>
      </w:r>
    </w:p>
    <w:p>
      <w:pPr>
        <w:spacing w:after="120" w:line="276"/>
        <w:jc w:val="both"/>
      </w:pPr>
      <w:r>
        <w:rPr>
          <w:rFonts w:ascii="Calibri" w:cs="Calibri" w:eastAsia="Calibri" w:hAnsi="Calibri"/>
          <w:i/>
          <w:iCs/>
        </w:rPr>
        <w:t xml:space="preserve">Figure 11. Calendar-year returns, 1991 – 2021 (full years only)</w:t>
      </w:r>
    </w:p>
    <w:p>
      <w:pPr>
        <w:spacing w:after="120" w:line="276"/>
        <w:jc w:val="both"/>
      </w:pPr>
      <w:r>
        <w:rPr>
          <w:rFonts w:ascii="Calibri" w:cs="Calibri" w:eastAsia="Calibri" w:hAnsi="Calibri"/>
          <w:b/>
          <w:bCs/>
        </w:rPr>
        <w:t xml:space="preserve">Consistency of calendar-year returns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1"/>
        <w:gridCol w:w="1112"/>
        <w:gridCol w:w="1529"/>
        <w:gridCol w:w="1529"/>
        <w:gridCol w:w="1835"/>
        <w:gridCol w:w="1770"/>
      </w:tblGrid>
      <w:tr>
        <w:trPr>
          <w:cantSplit/>
        </w:trPr>
        <w:tc>
          <w:tcPr>
            <w:tcW w:type="dxa" w:w="1251"/>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Series</w:t>
            </w:r>
          </w:p>
        </w:tc>
        <w:tc>
          <w:tcPr>
            <w:tcW w:type="dxa" w:w="1112"/>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Full years</w:t>
            </w:r>
          </w:p>
        </w:tc>
        <w:tc>
          <w:tcPr>
            <w:tcW w:type="dxa" w:w="1529"/>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Positive years</w:t>
            </w:r>
          </w:p>
        </w:tc>
        <w:tc>
          <w:tcPr>
            <w:tcW w:type="dxa" w:w="1529"/>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Share positive</w:t>
            </w:r>
          </w:p>
        </w:tc>
        <w:tc>
          <w:tcPr>
            <w:tcW w:type="dxa" w:w="1835"/>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Best year</w:t>
            </w:r>
          </w:p>
        </w:tc>
        <w:tc>
          <w:tcPr>
            <w:tcW w:type="dxa" w:w="1770"/>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Worst year</w:t>
            </w:r>
          </w:p>
        </w:tc>
      </w:tr>
      <w:tr>
        <w:trPr>
          <w:cantSplit/>
        </w:trPr>
        <w:tc>
          <w:tcPr>
            <w:tcW w:type="dxa" w:w="125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IBM</w:t>
            </w:r>
          </w:p>
        </w:tc>
        <w:tc>
          <w:tcPr>
            <w:tcW w:type="dxa" w:w="111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31</w:t>
            </w:r>
          </w:p>
        </w:tc>
        <w:tc>
          <w:tcPr>
            <w:tcW w:type="dxa" w:w="152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19</w:t>
            </w:r>
          </w:p>
        </w:tc>
        <w:tc>
          <w:tcPr>
            <w:tcW w:type="dxa" w:w="152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61.3%</w:t>
            </w:r>
          </w:p>
        </w:tc>
        <w:tc>
          <w:tcPr>
            <w:tcW w:type="dxa" w:w="183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1998 (+77.5%)</w:t>
            </w:r>
          </w:p>
        </w:tc>
        <w:tc>
          <w:tcPr>
            <w:tcW w:type="dxa" w:w="177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1992 (-40.0%)</w:t>
            </w:r>
          </w:p>
        </w:tc>
      </w:tr>
      <w:tr>
        <w:trPr>
          <w:cantSplit/>
        </w:trPr>
        <w:tc>
          <w:tcPr>
            <w:tcW w:type="dxa" w:w="125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AAPL</w:t>
            </w:r>
          </w:p>
        </w:tc>
        <w:tc>
          <w:tcPr>
            <w:tcW w:type="dxa" w:w="111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31</w:t>
            </w:r>
          </w:p>
        </w:tc>
        <w:tc>
          <w:tcPr>
            <w:tcW w:type="dxa" w:w="152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22</w:t>
            </w:r>
          </w:p>
        </w:tc>
        <w:tc>
          <w:tcPr>
            <w:tcW w:type="dxa" w:w="152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71.0%</w:t>
            </w:r>
          </w:p>
        </w:tc>
        <w:tc>
          <w:tcPr>
            <w:tcW w:type="dxa" w:w="183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1998 (+211.9%)</w:t>
            </w:r>
          </w:p>
        </w:tc>
        <w:tc>
          <w:tcPr>
            <w:tcW w:type="dxa" w:w="177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2000 (-71.1%)</w:t>
            </w:r>
          </w:p>
        </w:tc>
      </w:tr>
      <w:tr>
        <w:trPr>
          <w:cantSplit/>
        </w:trPr>
        <w:tc>
          <w:tcPr>
            <w:tcW w:type="dxa" w:w="125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MSFT</w:t>
            </w:r>
          </w:p>
        </w:tc>
        <w:tc>
          <w:tcPr>
            <w:tcW w:type="dxa" w:w="111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31</w:t>
            </w:r>
          </w:p>
        </w:tc>
        <w:tc>
          <w:tcPr>
            <w:tcW w:type="dxa" w:w="152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24</w:t>
            </w:r>
          </w:p>
        </w:tc>
        <w:tc>
          <w:tcPr>
            <w:tcW w:type="dxa" w:w="152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77.4%</w:t>
            </w:r>
          </w:p>
        </w:tc>
        <w:tc>
          <w:tcPr>
            <w:tcW w:type="dxa" w:w="183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1991 (+121.8%)</w:t>
            </w:r>
          </w:p>
        </w:tc>
        <w:tc>
          <w:tcPr>
            <w:tcW w:type="dxa" w:w="177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2000 (-62.8%)</w:t>
            </w:r>
          </w:p>
        </w:tc>
      </w:tr>
      <w:tr>
        <w:trPr>
          <w:cantSplit/>
        </w:trPr>
        <w:tc>
          <w:tcPr>
            <w:tcW w:type="dxa" w:w="125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XRX</w:t>
            </w:r>
          </w:p>
        </w:tc>
        <w:tc>
          <w:tcPr>
            <w:tcW w:type="dxa" w:w="111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31</w:t>
            </w:r>
          </w:p>
        </w:tc>
        <w:tc>
          <w:tcPr>
            <w:tcW w:type="dxa" w:w="152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19</w:t>
            </w:r>
          </w:p>
        </w:tc>
        <w:tc>
          <w:tcPr>
            <w:tcW w:type="dxa" w:w="152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61.3%</w:t>
            </w:r>
          </w:p>
        </w:tc>
        <w:tc>
          <w:tcPr>
            <w:tcW w:type="dxa" w:w="183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2001 (+127.2%)</w:t>
            </w:r>
          </w:p>
        </w:tc>
        <w:tc>
          <w:tcPr>
            <w:tcW w:type="dxa" w:w="177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2000 (-78.7%)</w:t>
            </w:r>
          </w:p>
        </w:tc>
      </w:tr>
      <w:tr>
        <w:trPr>
          <w:cantSplit/>
        </w:trPr>
        <w:tc>
          <w:tcPr>
            <w:tcW w:type="dxa" w:w="125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AMZN</w:t>
            </w:r>
          </w:p>
        </w:tc>
        <w:tc>
          <w:tcPr>
            <w:tcW w:type="dxa" w:w="111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24</w:t>
            </w:r>
          </w:p>
        </w:tc>
        <w:tc>
          <w:tcPr>
            <w:tcW w:type="dxa" w:w="152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17</w:t>
            </w:r>
          </w:p>
        </w:tc>
        <w:tc>
          <w:tcPr>
            <w:tcW w:type="dxa" w:w="152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70.8%</w:t>
            </w:r>
          </w:p>
        </w:tc>
        <w:tc>
          <w:tcPr>
            <w:tcW w:type="dxa" w:w="183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1998 (+966.4%)</w:t>
            </w:r>
          </w:p>
        </w:tc>
        <w:tc>
          <w:tcPr>
            <w:tcW w:type="dxa" w:w="177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2000 (-79.6%)</w:t>
            </w:r>
          </w:p>
        </w:tc>
      </w:tr>
      <w:tr>
        <w:trPr>
          <w:cantSplit/>
        </w:trPr>
        <w:tc>
          <w:tcPr>
            <w:tcW w:type="dxa" w:w="125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GOOGL</w:t>
            </w:r>
          </w:p>
        </w:tc>
        <w:tc>
          <w:tcPr>
            <w:tcW w:type="dxa" w:w="111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17</w:t>
            </w:r>
          </w:p>
        </w:tc>
        <w:tc>
          <w:tcPr>
            <w:tcW w:type="dxa" w:w="152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13</w:t>
            </w:r>
          </w:p>
        </w:tc>
        <w:tc>
          <w:tcPr>
            <w:tcW w:type="dxa" w:w="152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76.5%</w:t>
            </w:r>
          </w:p>
        </w:tc>
        <w:tc>
          <w:tcPr>
            <w:tcW w:type="dxa" w:w="183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2005 (+115.2%)</w:t>
            </w:r>
          </w:p>
        </w:tc>
        <w:tc>
          <w:tcPr>
            <w:tcW w:type="dxa" w:w="177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2008 (-55.5%)</w:t>
            </w:r>
          </w:p>
        </w:tc>
      </w:tr>
      <w:tr>
        <w:trPr>
          <w:cantSplit/>
        </w:trPr>
        <w:tc>
          <w:tcPr>
            <w:tcW w:type="dxa" w:w="125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ADBE</w:t>
            </w:r>
          </w:p>
        </w:tc>
        <w:tc>
          <w:tcPr>
            <w:tcW w:type="dxa" w:w="111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31</w:t>
            </w:r>
          </w:p>
        </w:tc>
        <w:tc>
          <w:tcPr>
            <w:tcW w:type="dxa" w:w="152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24</w:t>
            </w:r>
          </w:p>
        </w:tc>
        <w:tc>
          <w:tcPr>
            <w:tcW w:type="dxa" w:w="152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77.4%</w:t>
            </w:r>
          </w:p>
        </w:tc>
        <w:tc>
          <w:tcPr>
            <w:tcW w:type="dxa" w:w="183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1999 (+188.6%)</w:t>
            </w:r>
          </w:p>
        </w:tc>
        <w:tc>
          <w:tcPr>
            <w:tcW w:type="dxa" w:w="177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1992 (-51.6%)</w:t>
            </w:r>
          </w:p>
        </w:tc>
      </w:tr>
      <w:tr>
        <w:trPr>
          <w:cantSplit/>
        </w:trPr>
        <w:tc>
          <w:tcPr>
            <w:tcW w:type="dxa" w:w="125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S&amp;P 500</w:t>
            </w:r>
          </w:p>
        </w:tc>
        <w:tc>
          <w:tcPr>
            <w:tcW w:type="dxa" w:w="111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31</w:t>
            </w:r>
          </w:p>
        </w:tc>
        <w:tc>
          <w:tcPr>
            <w:tcW w:type="dxa" w:w="152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23</w:t>
            </w:r>
          </w:p>
        </w:tc>
        <w:tc>
          <w:tcPr>
            <w:tcW w:type="dxa" w:w="152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74.2%</w:t>
            </w:r>
          </w:p>
        </w:tc>
        <w:tc>
          <w:tcPr>
            <w:tcW w:type="dxa" w:w="183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1995 (+34.1%)</w:t>
            </w:r>
          </w:p>
        </w:tc>
        <w:tc>
          <w:tcPr>
            <w:tcW w:type="dxa" w:w="177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2008 (-38.5%)</w:t>
            </w:r>
          </w:p>
        </w:tc>
      </w:tr>
      <w:tr>
        <w:trPr>
          <w:cantSplit/>
        </w:trPr>
        <w:tc>
          <w:tcPr>
            <w:tcW w:type="dxa" w:w="125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NASDAQ</w:t>
            </w:r>
          </w:p>
        </w:tc>
        <w:tc>
          <w:tcPr>
            <w:tcW w:type="dxa" w:w="111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31</w:t>
            </w:r>
          </w:p>
        </w:tc>
        <w:tc>
          <w:tcPr>
            <w:tcW w:type="dxa" w:w="152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24</w:t>
            </w:r>
          </w:p>
        </w:tc>
        <w:tc>
          <w:tcPr>
            <w:tcW w:type="dxa" w:w="152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77.4%</w:t>
            </w:r>
          </w:p>
        </w:tc>
        <w:tc>
          <w:tcPr>
            <w:tcW w:type="dxa" w:w="183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1999 (+85.6%)</w:t>
            </w:r>
          </w:p>
        </w:tc>
        <w:tc>
          <w:tcPr>
            <w:tcW w:type="dxa" w:w="177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2008 (-40.5%)</w:t>
            </w:r>
          </w:p>
        </w:tc>
      </w:tr>
    </w:tbl>
    <w:p>
      <w:pPr>
        <w:spacing w:after="120"/>
      </w:pPr>
    </w:p>
    <w:p>
      <w:pPr>
        <w:spacing w:after="120" w:line="276"/>
        <w:jc w:val="both"/>
      </w:pPr>
      <w:r>
        <w:rPr>
          <w:rFonts w:ascii="Calibri" w:cs="Calibri" w:eastAsia="Calibri" w:hAnsi="Calibri"/>
          <w:b/>
          <w:bCs/>
        </w:rPr>
        <w:t xml:space="preserve">Observed facts.</w:t>
      </w:r>
      <w:r>
        <w:rPr>
          <w:rFonts w:ascii="Calibri" w:cs="Calibri" w:eastAsia="Calibri" w:hAnsi="Calibri"/>
        </w:rPr>
        <w:t xml:space="preserve"> Microsoft and Adobe finished higher in </w:t>
      </w:r>
      <w:r>
        <w:rPr>
          <w:rFonts w:ascii="Calibri" w:cs="Calibri" w:eastAsia="Calibri" w:hAnsi="Calibri"/>
          <w:b/>
          <w:bCs/>
        </w:rPr>
        <w:t xml:space="preserve">24 of 31</w:t>
      </w:r>
      <w:r>
        <w:rPr>
          <w:rFonts w:ascii="Calibri" w:cs="Calibri" w:eastAsia="Calibri" w:hAnsi="Calibri"/>
        </w:rPr>
        <w:t xml:space="preserve"> years (</w:t>
      </w:r>
      <w:r>
        <w:rPr>
          <w:rFonts w:ascii="Calibri" w:cs="Calibri" w:eastAsia="Calibri" w:hAnsi="Calibri"/>
          <w:b/>
          <w:bCs/>
        </w:rPr>
        <w:t xml:space="preserve">77.4 %</w:t>
      </w:r>
      <w:r>
        <w:rPr>
          <w:rFonts w:ascii="Calibri" w:cs="Calibri" w:eastAsia="Calibri" w:hAnsi="Calibri"/>
        </w:rPr>
        <w:t xml:space="preserve">), Alphabet in </w:t>
      </w:r>
      <w:r>
        <w:rPr>
          <w:rFonts w:ascii="Calibri" w:cs="Calibri" w:eastAsia="Calibri" w:hAnsi="Calibri"/>
          <w:b/>
          <w:bCs/>
        </w:rPr>
        <w:t xml:space="preserve">13 of 17</w:t>
      </w:r>
      <w:r>
        <w:rPr>
          <w:rFonts w:ascii="Calibri" w:cs="Calibri" w:eastAsia="Calibri" w:hAnsi="Calibri"/>
        </w:rPr>
        <w:t xml:space="preserve"> (</w:t>
      </w:r>
      <w:r>
        <w:rPr>
          <w:rFonts w:ascii="Calibri" w:cs="Calibri" w:eastAsia="Calibri" w:hAnsi="Calibri"/>
          <w:b/>
          <w:bCs/>
        </w:rPr>
        <w:t xml:space="preserve">76.5 %</w:t>
      </w:r>
      <w:r>
        <w:rPr>
          <w:rFonts w:ascii="Calibri" w:cs="Calibri" w:eastAsia="Calibri" w:hAnsi="Calibri"/>
        </w:rPr>
        <w:t xml:space="preserve">), Apple in </w:t>
      </w:r>
      <w:r>
        <w:rPr>
          <w:rFonts w:ascii="Calibri" w:cs="Calibri" w:eastAsia="Calibri" w:hAnsi="Calibri"/>
          <w:b/>
          <w:bCs/>
        </w:rPr>
        <w:t xml:space="preserve">22 of 31</w:t>
      </w:r>
      <w:r>
        <w:rPr>
          <w:rFonts w:ascii="Calibri" w:cs="Calibri" w:eastAsia="Calibri" w:hAnsi="Calibri"/>
        </w:rPr>
        <w:t xml:space="preserve"> (</w:t>
      </w:r>
      <w:r>
        <w:rPr>
          <w:rFonts w:ascii="Calibri" w:cs="Calibri" w:eastAsia="Calibri" w:hAnsi="Calibri"/>
          <w:b/>
          <w:bCs/>
        </w:rPr>
        <w:t xml:space="preserve">71.0 %</w:t>
      </w:r>
      <w:r>
        <w:rPr>
          <w:rFonts w:ascii="Calibri" w:cs="Calibri" w:eastAsia="Calibri" w:hAnsi="Calibri"/>
        </w:rPr>
        <w:t xml:space="preserve">), Amazon in </w:t>
      </w:r>
      <w:r>
        <w:rPr>
          <w:rFonts w:ascii="Calibri" w:cs="Calibri" w:eastAsia="Calibri" w:hAnsi="Calibri"/>
          <w:b/>
          <w:bCs/>
        </w:rPr>
        <w:t xml:space="preserve">17 of 24</w:t>
      </w:r>
      <w:r>
        <w:rPr>
          <w:rFonts w:ascii="Calibri" w:cs="Calibri" w:eastAsia="Calibri" w:hAnsi="Calibri"/>
        </w:rPr>
        <w:t xml:space="preserve"> (</w:t>
      </w:r>
      <w:r>
        <w:rPr>
          <w:rFonts w:ascii="Calibri" w:cs="Calibri" w:eastAsia="Calibri" w:hAnsi="Calibri"/>
          <w:b/>
          <w:bCs/>
        </w:rPr>
        <w:t xml:space="preserve">70.8 %</w:t>
      </w:r>
      <w:r>
        <w:rPr>
          <w:rFonts w:ascii="Calibri" w:cs="Calibri" w:eastAsia="Calibri" w:hAnsi="Calibri"/>
        </w:rPr>
        <w:t xml:space="preserve">), IBM and Xerox in </w:t>
      </w:r>
      <w:r>
        <w:rPr>
          <w:rFonts w:ascii="Calibri" w:cs="Calibri" w:eastAsia="Calibri" w:hAnsi="Calibri"/>
          <w:b/>
          <w:bCs/>
        </w:rPr>
        <w:t xml:space="preserve">19 of 31</w:t>
      </w:r>
      <w:r>
        <w:rPr>
          <w:rFonts w:ascii="Calibri" w:cs="Calibri" w:eastAsia="Calibri" w:hAnsi="Calibri"/>
        </w:rPr>
        <w:t xml:space="preserve"> (</w:t>
      </w:r>
      <w:r>
        <w:rPr>
          <w:rFonts w:ascii="Calibri" w:cs="Calibri" w:eastAsia="Calibri" w:hAnsi="Calibri"/>
          <w:b/>
          <w:bCs/>
        </w:rPr>
        <w:t xml:space="preserve">61.3 %</w:t>
      </w:r>
      <w:r>
        <w:rPr>
          <w:rFonts w:ascii="Calibri" w:cs="Calibri" w:eastAsia="Calibri" w:hAnsi="Calibri"/>
        </w:rPr>
        <w:t xml:space="preserve">). The S&amp;P 500 was up in </w:t>
      </w:r>
      <w:r>
        <w:rPr>
          <w:rFonts w:ascii="Calibri" w:cs="Calibri" w:eastAsia="Calibri" w:hAnsi="Calibri"/>
          <w:b/>
          <w:bCs/>
        </w:rPr>
        <w:t xml:space="preserve">23 of 31</w:t>
      </w:r>
      <w:r>
        <w:rPr>
          <w:rFonts w:ascii="Calibri" w:cs="Calibri" w:eastAsia="Calibri" w:hAnsi="Calibri"/>
        </w:rPr>
        <w:t xml:space="preserve"> years (</w:t>
      </w:r>
      <w:r>
        <w:rPr>
          <w:rFonts w:ascii="Calibri" w:cs="Calibri" w:eastAsia="Calibri" w:hAnsi="Calibri"/>
          <w:b/>
          <w:bCs/>
        </w:rPr>
        <w:t xml:space="preserve">74.2 %</w:t>
      </w:r>
      <w:r>
        <w:rPr>
          <w:rFonts w:ascii="Calibri" w:cs="Calibri" w:eastAsia="Calibri" w:hAnsi="Calibri"/>
        </w:rPr>
        <w:t xml:space="preserve">). The worst single years were Amazon </w:t>
      </w:r>
      <w:r>
        <w:rPr>
          <w:rFonts w:ascii="Calibri" w:cs="Calibri" w:eastAsia="Calibri" w:hAnsi="Calibri"/>
          <w:b/>
          <w:bCs/>
        </w:rPr>
        <w:t xml:space="preserve">−79.6 %</w:t>
      </w:r>
      <w:r>
        <w:rPr>
          <w:rFonts w:ascii="Calibri" w:cs="Calibri" w:eastAsia="Calibri" w:hAnsi="Calibri"/>
        </w:rPr>
        <w:t xml:space="preserve"> (2000), Xerox </w:t>
      </w:r>
      <w:r>
        <w:rPr>
          <w:rFonts w:ascii="Calibri" w:cs="Calibri" w:eastAsia="Calibri" w:hAnsi="Calibri"/>
          <w:b/>
          <w:bCs/>
        </w:rPr>
        <w:t xml:space="preserve">−78.7 %</w:t>
      </w:r>
      <w:r>
        <w:rPr>
          <w:rFonts w:ascii="Calibri" w:cs="Calibri" w:eastAsia="Calibri" w:hAnsi="Calibri"/>
        </w:rPr>
        <w:t xml:space="preserve"> (2000) and Apple </w:t>
      </w:r>
      <w:r>
        <w:rPr>
          <w:rFonts w:ascii="Calibri" w:cs="Calibri" w:eastAsia="Calibri" w:hAnsi="Calibri"/>
          <w:b/>
          <w:bCs/>
        </w:rPr>
        <w:t xml:space="preserve">−71.1 %</w:t>
      </w:r>
      <w:r>
        <w:rPr>
          <w:rFonts w:ascii="Calibri" w:cs="Calibri" w:eastAsia="Calibri" w:hAnsi="Calibri"/>
        </w:rPr>
        <w:t xml:space="preserve"> (2000); the best was Amazon's </w:t>
      </w:r>
      <w:r>
        <w:rPr>
          <w:rFonts w:ascii="Calibri" w:cs="Calibri" w:eastAsia="Calibri" w:hAnsi="Calibri"/>
          <w:b/>
          <w:bCs/>
        </w:rPr>
        <w:t xml:space="preserve">+966 %</w:t>
      </w:r>
      <w:r>
        <w:rPr>
          <w:rFonts w:ascii="Calibri" w:cs="Calibri" w:eastAsia="Calibri" w:hAnsi="Calibri"/>
        </w:rPr>
        <w:t xml:space="preserve"> in 1998.</w:t>
      </w:r>
    </w:p>
    <w:p>
      <w:pPr>
        <w:spacing w:after="120" w:line="276"/>
        <w:jc w:val="both"/>
      </w:pPr>
      <w:r>
        <w:rPr>
          <w:rFonts w:ascii="Calibri" w:cs="Calibri" w:eastAsia="Calibri" w:hAnsi="Calibri"/>
          <w:b/>
          <w:bCs/>
        </w:rPr>
        <w:t xml:space="preserve">Interpretation.</w:t>
      </w:r>
      <w:r>
        <w:rPr>
          <w:rFonts w:ascii="Calibri" w:cs="Calibri" w:eastAsia="Calibri" w:hAnsi="Calibri"/>
        </w:rPr>
        <w:t xml:space="preserve"> Even the strongest holdings lost money in roughly one year in four, and the worst years were severe and clustered around 2000 and 2008 (see Fig 11). The holdings were not more reliable year to year than the S&amp;P 500 (Microsoft and Adobe only slightly better); their advantage came from larger gains in good years. Different holdings have different numbers of full years, so shares are not perfectly comparable.</w:t>
      </w:r>
    </w:p>
    <w:p>
      <w:pPr>
        <w:pStyle w:val="Heading2"/>
        <w:keepNext/>
        <w:spacing w:after="80" w:before="220"/>
      </w:pPr>
      <w:bookmarkStart w:name="sec26" w:id="26"/>
      <w:r>
        <w:rPr>
          <w:rFonts w:ascii="Calibri" w:cs="Calibri" w:eastAsia="Calibri" w:hAnsi="Calibri"/>
          <w:b/>
          <w:bCs/>
          <w:color w:val="2F5496"/>
          <w:sz w:val="25"/>
          <w:szCs w:val="25"/>
        </w:rPr>
        <w:t xml:space="preserve">9.8 Q8. Which months were unusual, and when?</w:t>
      </w:r>
      <w:bookmarkEnd w:id="26"/>
    </w:p>
    <w:p>
      <w:pPr>
        <w:spacing w:after="120" w:line="276"/>
        <w:jc w:val="both"/>
      </w:pPr>
      <w:r>
        <w:rPr>
          <w:rFonts w:ascii="Calibri" w:cs="Calibri" w:eastAsia="Calibri" w:hAnsi="Calibri"/>
          <w:b/>
          <w:bCs/>
        </w:rPr>
        <w:t xml:space="preserve">Method:</w:t>
      </w:r>
      <w:r>
        <w:rPr>
          <w:rFonts w:ascii="Calibri" w:cs="Calibri" w:eastAsia="Calibri" w:hAnsi="Calibri"/>
        </w:rPr>
        <w:t xml:space="preserve"> a month is flagged if its return is more than 3 standard deviations away from that series' own average monthly return (z-score), over the common window.</w:t>
      </w:r>
    </w:p>
    <w:p>
      <w:pPr>
        <w:spacing w:after="120" w:line="276"/>
        <w:jc w:val="both"/>
      </w:pPr>
      <w:r>
        <w:rPr>
          <w:rFonts w:ascii="Calibri" w:cs="Calibri" w:eastAsia="Calibri" w:hAnsi="Calibri"/>
          <w:b/>
          <w:bCs/>
        </w:rPr>
        <w:t xml:space="preserve">21 unusual months</w:t>
      </w:r>
      <w:r>
        <w:rPr>
          <w:rFonts w:ascii="Calibri" w:cs="Calibri" w:eastAsia="Calibri" w:hAnsi="Calibri"/>
        </w:rPr>
        <w:t xml:space="preserve"> (return more than 3 standard deviations from the series' own average, common window)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37"/>
        <w:gridCol w:w="2375"/>
        <w:gridCol w:w="2137"/>
        <w:gridCol w:w="2377"/>
      </w:tblGrid>
      <w:tr>
        <w:trPr>
          <w:cantSplit/>
        </w:trPr>
        <w:tc>
          <w:tcPr>
            <w:tcW w:type="dxa" w:w="2137"/>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Series</w:t>
            </w:r>
          </w:p>
        </w:tc>
        <w:tc>
          <w:tcPr>
            <w:tcW w:type="dxa" w:w="2375"/>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Month</w:t>
            </w:r>
          </w:p>
        </w:tc>
        <w:tc>
          <w:tcPr>
            <w:tcW w:type="dxa" w:w="2137"/>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Return</w:t>
            </w:r>
          </w:p>
        </w:tc>
        <w:tc>
          <w:tcPr>
            <w:tcW w:type="dxa" w:w="2377"/>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z-score</w:t>
            </w:r>
          </w:p>
        </w:tc>
      </w:tr>
      <w:tr>
        <w:trPr>
          <w:cantSplit/>
        </w:trPr>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GOOGL</w:t>
            </w:r>
          </w:p>
        </w:tc>
        <w:tc>
          <w:tcPr>
            <w:tcW w:type="dxa" w:w="237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2004-10</w:t>
            </w:r>
          </w:p>
        </w:tc>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+47.1%</w:t>
            </w:r>
          </w:p>
        </w:tc>
        <w:tc>
          <w:tcPr>
            <w:tcW w:type="dxa" w:w="237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+5.2</w:t>
            </w:r>
          </w:p>
        </w:tc>
      </w:tr>
      <w:tr>
        <w:trPr>
          <w:cantSplit/>
        </w:trPr>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AMZN</w:t>
            </w:r>
          </w:p>
        </w:tc>
        <w:tc>
          <w:tcPr>
            <w:tcW w:type="dxa" w:w="237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2007-04</w:t>
            </w:r>
          </w:p>
        </w:tc>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+54.1%</w:t>
            </w:r>
          </w:p>
        </w:tc>
        <w:tc>
          <w:tcPr>
            <w:tcW w:type="dxa" w:w="237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+4.9</w:t>
            </w:r>
          </w:p>
        </w:tc>
      </w:tr>
      <w:tr>
        <w:trPr>
          <w:cantSplit/>
        </w:trPr>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XRX</w:t>
            </w:r>
          </w:p>
        </w:tc>
        <w:tc>
          <w:tcPr>
            <w:tcW w:type="dxa" w:w="237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2019-01</w:t>
            </w:r>
          </w:p>
        </w:tc>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+44.6%</w:t>
            </w:r>
          </w:p>
        </w:tc>
        <w:tc>
          <w:tcPr>
            <w:tcW w:type="dxa" w:w="237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+4.4</w:t>
            </w:r>
          </w:p>
        </w:tc>
      </w:tr>
      <w:tr>
        <w:trPr>
          <w:cantSplit/>
        </w:trPr>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S&amp;P 500</w:t>
            </w:r>
          </w:p>
        </w:tc>
        <w:tc>
          <w:tcPr>
            <w:tcW w:type="dxa" w:w="237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2008-10</w:t>
            </w:r>
          </w:p>
        </w:tc>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-16.9%</w:t>
            </w:r>
          </w:p>
        </w:tc>
        <w:tc>
          <w:tcPr>
            <w:tcW w:type="dxa" w:w="237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-4.1</w:t>
            </w:r>
          </w:p>
        </w:tc>
      </w:tr>
      <w:tr>
        <w:trPr>
          <w:cantSplit/>
        </w:trPr>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XRX</w:t>
            </w:r>
          </w:p>
        </w:tc>
        <w:tc>
          <w:tcPr>
            <w:tcW w:type="dxa" w:w="237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2020-03</w:t>
            </w:r>
          </w:p>
        </w:tc>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-41.2%</w:t>
            </w:r>
          </w:p>
        </w:tc>
        <w:tc>
          <w:tcPr>
            <w:tcW w:type="dxa" w:w="237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-4.1</w:t>
            </w:r>
          </w:p>
        </w:tc>
      </w:tr>
      <w:tr>
        <w:trPr>
          <w:cantSplit/>
        </w:trPr>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IBM</w:t>
            </w:r>
          </w:p>
        </w:tc>
        <w:tc>
          <w:tcPr>
            <w:tcW w:type="dxa" w:w="237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2018-10</w:t>
            </w:r>
          </w:p>
        </w:tc>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-23.7%</w:t>
            </w:r>
          </w:p>
        </w:tc>
        <w:tc>
          <w:tcPr>
            <w:tcW w:type="dxa" w:w="237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-4.0</w:t>
            </w:r>
          </w:p>
        </w:tc>
      </w:tr>
      <w:tr>
        <w:trPr>
          <w:cantSplit/>
        </w:trPr>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ADBE</w:t>
            </w:r>
          </w:p>
        </w:tc>
        <w:tc>
          <w:tcPr>
            <w:tcW w:type="dxa" w:w="237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2008-10</w:t>
            </w:r>
          </w:p>
        </w:tc>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-32.5%</w:t>
            </w:r>
          </w:p>
        </w:tc>
        <w:tc>
          <w:tcPr>
            <w:tcW w:type="dxa" w:w="237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-4.0</w:t>
            </w:r>
          </w:p>
        </w:tc>
      </w:tr>
      <w:tr>
        <w:trPr>
          <w:cantSplit/>
        </w:trPr>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AAPL</w:t>
            </w:r>
          </w:p>
        </w:tc>
        <w:tc>
          <w:tcPr>
            <w:tcW w:type="dxa" w:w="237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2008-09</w:t>
            </w:r>
          </w:p>
        </w:tc>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-33.0%</w:t>
            </w:r>
          </w:p>
        </w:tc>
        <w:tc>
          <w:tcPr>
            <w:tcW w:type="dxa" w:w="237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-3.8</w:t>
            </w:r>
          </w:p>
        </w:tc>
      </w:tr>
      <w:tr>
        <w:trPr>
          <w:cantSplit/>
        </w:trPr>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NASDAQ</w:t>
            </w:r>
          </w:p>
        </w:tc>
        <w:tc>
          <w:tcPr>
            <w:tcW w:type="dxa" w:w="237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2008-10</w:t>
            </w:r>
          </w:p>
        </w:tc>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-17.7%</w:t>
            </w:r>
          </w:p>
        </w:tc>
        <w:tc>
          <w:tcPr>
            <w:tcW w:type="dxa" w:w="237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-3.7</w:t>
            </w:r>
          </w:p>
        </w:tc>
      </w:tr>
      <w:tr>
        <w:trPr>
          <w:cantSplit/>
        </w:trPr>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AAPL</w:t>
            </w:r>
          </w:p>
        </w:tc>
        <w:tc>
          <w:tcPr>
            <w:tcW w:type="dxa" w:w="237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2008-01</w:t>
            </w:r>
          </w:p>
        </w:tc>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-31.7%</w:t>
            </w:r>
          </w:p>
        </w:tc>
        <w:tc>
          <w:tcPr>
            <w:tcW w:type="dxa" w:w="237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-3.6</w:t>
            </w:r>
          </w:p>
        </w:tc>
      </w:tr>
      <w:tr>
        <w:trPr>
          <w:cantSplit/>
        </w:trPr>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MSFT</w:t>
            </w:r>
          </w:p>
        </w:tc>
        <w:tc>
          <w:tcPr>
            <w:tcW w:type="dxa" w:w="237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2007-10</w:t>
            </w:r>
          </w:p>
        </w:tc>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+24.9%</w:t>
            </w:r>
          </w:p>
        </w:tc>
        <w:tc>
          <w:tcPr>
            <w:tcW w:type="dxa" w:w="237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+3.6</w:t>
            </w:r>
          </w:p>
        </w:tc>
      </w:tr>
      <w:tr>
        <w:trPr>
          <w:cantSplit/>
        </w:trPr>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IBM</w:t>
            </w:r>
          </w:p>
        </w:tc>
        <w:tc>
          <w:tcPr>
            <w:tcW w:type="dxa" w:w="237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2008-10</w:t>
            </w:r>
          </w:p>
        </w:tc>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-20.5%</w:t>
            </w:r>
          </w:p>
        </w:tc>
        <w:tc>
          <w:tcPr>
            <w:tcW w:type="dxa" w:w="237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-3.5</w:t>
            </w:r>
          </w:p>
        </w:tc>
      </w:tr>
      <w:tr>
        <w:trPr>
          <w:cantSplit/>
        </w:trPr>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XRX</w:t>
            </w:r>
          </w:p>
        </w:tc>
        <w:tc>
          <w:tcPr>
            <w:tcW w:type="dxa" w:w="237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2009-04</w:t>
            </w:r>
          </w:p>
        </w:tc>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+35.4%</w:t>
            </w:r>
          </w:p>
        </w:tc>
        <w:tc>
          <w:tcPr>
            <w:tcW w:type="dxa" w:w="237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+3.4</w:t>
            </w:r>
          </w:p>
        </w:tc>
      </w:tr>
      <w:tr>
        <w:trPr>
          <w:cantSplit/>
        </w:trPr>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AAPL</w:t>
            </w:r>
          </w:p>
        </w:tc>
        <w:tc>
          <w:tcPr>
            <w:tcW w:type="dxa" w:w="237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2004-10</w:t>
            </w:r>
          </w:p>
        </w:tc>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+35.2%</w:t>
            </w:r>
          </w:p>
        </w:tc>
        <w:tc>
          <w:tcPr>
            <w:tcW w:type="dxa" w:w="237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+3.4</w:t>
            </w:r>
          </w:p>
        </w:tc>
      </w:tr>
      <w:tr>
        <w:trPr>
          <w:cantSplit/>
        </w:trPr>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ADBE</w:t>
            </w:r>
          </w:p>
        </w:tc>
        <w:tc>
          <w:tcPr>
            <w:tcW w:type="dxa" w:w="237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2006-05</w:t>
            </w:r>
          </w:p>
        </w:tc>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-27.0%</w:t>
            </w:r>
          </w:p>
        </w:tc>
        <w:tc>
          <w:tcPr>
            <w:tcW w:type="dxa" w:w="237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-3.4</w:t>
            </w:r>
          </w:p>
        </w:tc>
      </w:tr>
      <w:tr>
        <w:trPr>
          <w:cantSplit/>
        </w:trPr>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GOOGL</w:t>
            </w:r>
          </w:p>
        </w:tc>
        <w:tc>
          <w:tcPr>
            <w:tcW w:type="dxa" w:w="237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2008-04</w:t>
            </w:r>
          </w:p>
        </w:tc>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+30.4%</w:t>
            </w:r>
          </w:p>
        </w:tc>
        <w:tc>
          <w:tcPr>
            <w:tcW w:type="dxa" w:w="237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+3.3</w:t>
            </w:r>
          </w:p>
        </w:tc>
      </w:tr>
      <w:tr>
        <w:trPr>
          <w:cantSplit/>
        </w:trPr>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AMZN</w:t>
            </w:r>
          </w:p>
        </w:tc>
        <w:tc>
          <w:tcPr>
            <w:tcW w:type="dxa" w:w="237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2005-07</w:t>
            </w:r>
          </w:p>
        </w:tc>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+36.4%</w:t>
            </w:r>
          </w:p>
        </w:tc>
        <w:tc>
          <w:tcPr>
            <w:tcW w:type="dxa" w:w="237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+3.2</w:t>
            </w:r>
          </w:p>
        </w:tc>
      </w:tr>
      <w:tr>
        <w:trPr>
          <w:cantSplit/>
        </w:trPr>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AMZN</w:t>
            </w:r>
          </w:p>
        </w:tc>
        <w:tc>
          <w:tcPr>
            <w:tcW w:type="dxa" w:w="237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2006-07</w:t>
            </w:r>
          </w:p>
        </w:tc>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-30.5%</w:t>
            </w:r>
          </w:p>
        </w:tc>
        <w:tc>
          <w:tcPr>
            <w:tcW w:type="dxa" w:w="237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-3.1</w:t>
            </w:r>
          </w:p>
        </w:tc>
      </w:tr>
      <w:tr>
        <w:trPr>
          <w:cantSplit/>
        </w:trPr>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ADBE</w:t>
            </w:r>
          </w:p>
        </w:tc>
        <w:tc>
          <w:tcPr>
            <w:tcW w:type="dxa" w:w="237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2009-03</w:t>
            </w:r>
          </w:p>
        </w:tc>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+28.1%</w:t>
            </w:r>
          </w:p>
        </w:tc>
        <w:tc>
          <w:tcPr>
            <w:tcW w:type="dxa" w:w="237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+3.1</w:t>
            </w:r>
          </w:p>
        </w:tc>
      </w:tr>
      <w:tr>
        <w:trPr>
          <w:cantSplit/>
        </w:trPr>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S&amp;P 500</w:t>
            </w:r>
          </w:p>
        </w:tc>
        <w:tc>
          <w:tcPr>
            <w:tcW w:type="dxa" w:w="237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2020-03</w:t>
            </w:r>
          </w:p>
        </w:tc>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-12.5%</w:t>
            </w:r>
          </w:p>
        </w:tc>
        <w:tc>
          <w:tcPr>
            <w:tcW w:type="dxa" w:w="237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-3.1</w:t>
            </w:r>
          </w:p>
        </w:tc>
      </w:tr>
      <w:tr>
        <w:trPr>
          <w:cantSplit/>
        </w:trPr>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ADBE</w:t>
            </w:r>
          </w:p>
        </w:tc>
        <w:tc>
          <w:tcPr>
            <w:tcW w:type="dxa" w:w="237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2009-04</w:t>
            </w:r>
          </w:p>
        </w:tc>
        <w:tc>
          <w:tcPr>
            <w:tcW w:type="dxa" w:w="213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+27.9%</w:t>
            </w:r>
          </w:p>
        </w:tc>
        <w:tc>
          <w:tcPr>
            <w:tcW w:type="dxa" w:w="2377"/>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+3.1</w:t>
            </w:r>
          </w:p>
        </w:tc>
      </w:tr>
    </w:tbl>
    <w:p>
      <w:pPr>
        <w:spacing w:after="120"/>
      </w:pPr>
    </w:p>
    <w:p>
      <w:pPr>
        <w:spacing w:after="120" w:line="276"/>
        <w:jc w:val="both"/>
      </w:pPr>
      <w:r>
        <w:rPr>
          <w:rFonts w:ascii="Calibri" w:cs="Calibri" w:eastAsia="Calibri" w:hAnsi="Calibri"/>
          <w:b/>
          <w:bCs/>
        </w:rPr>
        <w:t xml:space="preserve">Observed facts.</w:t>
      </w:r>
      <w:r>
        <w:rPr>
          <w:rFonts w:ascii="Calibri" w:cs="Calibri" w:eastAsia="Calibri" w:hAnsi="Calibri"/>
        </w:rPr>
        <w:t xml:space="preserve"> </w:t>
      </w:r>
      <w:r>
        <w:rPr>
          <w:rFonts w:ascii="Calibri" w:cs="Calibri" w:eastAsia="Calibri" w:hAnsi="Calibri"/>
          <w:b/>
          <w:bCs/>
        </w:rPr>
        <w:t xml:space="preserve">21</w:t>
      </w:r>
      <w:r>
        <w:rPr>
          <w:rFonts w:ascii="Calibri" w:cs="Calibri" w:eastAsia="Calibri" w:hAnsi="Calibri"/>
        </w:rPr>
        <w:t xml:space="preserve"> of </w:t>
      </w:r>
      <w:r>
        <w:rPr>
          <w:rFonts w:ascii="Calibri" w:cs="Calibri" w:eastAsia="Calibri" w:hAnsi="Calibri"/>
          <w:b/>
          <w:bCs/>
        </w:rPr>
        <w:t xml:space="preserve">1,917</w:t>
      </w:r>
      <w:r>
        <w:rPr>
          <w:rFonts w:ascii="Calibri" w:cs="Calibri" w:eastAsia="Calibri" w:hAnsi="Calibri"/>
        </w:rPr>
        <w:t xml:space="preserve"> monthly returns (</w:t>
      </w:r>
      <w:r>
        <w:rPr>
          <w:rFonts w:ascii="Calibri" w:cs="Calibri" w:eastAsia="Calibri" w:hAnsi="Calibri"/>
          <w:b/>
          <w:bCs/>
        </w:rPr>
        <w:t xml:space="preserve">1.1 %</w:t>
      </w:r>
      <w:r>
        <w:rPr>
          <w:rFonts w:ascii="Calibri" w:cs="Calibri" w:eastAsia="Calibri" w:hAnsi="Calibri"/>
        </w:rPr>
        <w:t xml:space="preserve">) were beyond ±3 standard deviations. </w:t>
      </w:r>
      <w:r>
        <w:rPr>
          <w:rFonts w:ascii="Calibri" w:cs="Calibri" w:eastAsia="Calibri" w:hAnsi="Calibri"/>
          <w:b/>
          <w:bCs/>
        </w:rPr>
        <w:t xml:space="preserve">10</w:t>
      </w:r>
      <w:r>
        <w:rPr>
          <w:rFonts w:ascii="Calibri" w:cs="Calibri" w:eastAsia="Calibri" w:hAnsi="Calibri"/>
        </w:rPr>
        <w:t xml:space="preserve"> of the 21 fall in 2008–2009 (7 in 2008, 3 in 2009), including October 2008, when IBM, Adobe, the S&amp;P 500 and NASDAQ were all flagged. The largest were Alphabet </w:t>
      </w:r>
      <w:r>
        <w:rPr>
          <w:rFonts w:ascii="Calibri" w:cs="Calibri" w:eastAsia="Calibri" w:hAnsi="Calibri"/>
          <w:b/>
          <w:bCs/>
        </w:rPr>
        <w:t xml:space="preserve">+47.1 %</w:t>
      </w:r>
      <w:r>
        <w:rPr>
          <w:rFonts w:ascii="Calibri" w:cs="Calibri" w:eastAsia="Calibri" w:hAnsi="Calibri"/>
        </w:rPr>
        <w:t xml:space="preserve"> (October 2004, its second month in the data), Amazon </w:t>
      </w:r>
      <w:r>
        <w:rPr>
          <w:rFonts w:ascii="Calibri" w:cs="Calibri" w:eastAsia="Calibri" w:hAnsi="Calibri"/>
          <w:b/>
          <w:bCs/>
        </w:rPr>
        <w:t xml:space="preserve">+54.1 %</w:t>
      </w:r>
      <w:r>
        <w:rPr>
          <w:rFonts w:ascii="Calibri" w:cs="Calibri" w:eastAsia="Calibri" w:hAnsi="Calibri"/>
        </w:rPr>
        <w:t xml:space="preserve"> (April 2007), Xerox </w:t>
      </w:r>
      <w:r>
        <w:rPr>
          <w:rFonts w:ascii="Calibri" w:cs="Calibri" w:eastAsia="Calibri" w:hAnsi="Calibri"/>
          <w:b/>
          <w:bCs/>
        </w:rPr>
        <w:t xml:space="preserve">+44.6 %</w:t>
      </w:r>
      <w:r>
        <w:rPr>
          <w:rFonts w:ascii="Calibri" w:cs="Calibri" w:eastAsia="Calibri" w:hAnsi="Calibri"/>
        </w:rPr>
        <w:t xml:space="preserve"> (January 2019) and </w:t>
      </w:r>
      <w:r>
        <w:rPr>
          <w:rFonts w:ascii="Calibri" w:cs="Calibri" w:eastAsia="Calibri" w:hAnsi="Calibri"/>
          <w:b/>
          <w:bCs/>
        </w:rPr>
        <w:t xml:space="preserve">−41.2 %</w:t>
      </w:r>
      <w:r>
        <w:rPr>
          <w:rFonts w:ascii="Calibri" w:cs="Calibri" w:eastAsia="Calibri" w:hAnsi="Calibri"/>
        </w:rPr>
        <w:t xml:space="preserve"> (March 2020), and IBM </w:t>
      </w:r>
      <w:r>
        <w:rPr>
          <w:rFonts w:ascii="Calibri" w:cs="Calibri" w:eastAsia="Calibri" w:hAnsi="Calibri"/>
          <w:b/>
          <w:bCs/>
        </w:rPr>
        <w:t xml:space="preserve">−23.7 %</w:t>
      </w:r>
      <w:r>
        <w:rPr>
          <w:rFonts w:ascii="Calibri" w:cs="Calibri" w:eastAsia="Calibri" w:hAnsi="Calibri"/>
        </w:rPr>
        <w:t xml:space="preserve"> (October 2018).</w:t>
      </w:r>
    </w:p>
    <w:p>
      <w:pPr>
        <w:spacing w:after="120" w:line="276"/>
        <w:jc w:val="both"/>
      </w:pPr>
      <w:r>
        <w:rPr>
          <w:rFonts w:ascii="Calibri" w:cs="Calibri" w:eastAsia="Calibri" w:hAnsi="Calibri"/>
          <w:b/>
          <w:bCs/>
        </w:rPr>
        <w:t xml:space="preserve">Interpretation.</w:t>
      </w:r>
      <w:r>
        <w:rPr>
          <w:rFonts w:ascii="Calibri" w:cs="Calibri" w:eastAsia="Calibri" w:hAnsi="Calibri"/>
        </w:rPr>
        <w:t xml:space="preserve"> Extreme months cluster in the financial crisis, which supports stress testing. The isolated company-specific extremes (for example Xerox in 2019 and 2020, IBM in 2018) are </w:t>
      </w:r>
      <w:r>
        <w:rPr>
          <w:rFonts w:ascii="Calibri" w:cs="Calibri" w:eastAsia="Calibri" w:hAnsi="Calibri"/>
          <w:b/>
          <w:bCs/>
        </w:rPr>
        <w:t xml:space="preserve">hypotheses to investigate</w:t>
      </w:r>
      <w:r>
        <w:rPr>
          <w:rFonts w:ascii="Calibri" w:cs="Calibri" w:eastAsia="Calibri" w:hAnsi="Calibri"/>
        </w:rPr>
        <w:t xml:space="preserve">: the dataset contains no information about earnings releases, corporate actions or news, so it cannot explain them.</w:t>
      </w:r>
    </w:p>
    <w:p>
      <w:pPr>
        <w:pStyle w:val="Heading1"/>
        <w:keepNext/>
        <w:spacing w:after="120" w:before="320"/>
      </w:pPr>
      <w:bookmarkStart w:name="sec27" w:id="27"/>
      <w:r>
        <w:rPr>
          <w:rFonts w:ascii="Calibri" w:cs="Calibri" w:eastAsia="Calibri" w:hAnsi="Calibri"/>
          <w:b/>
          <w:bCs/>
          <w:color w:val="1F3864"/>
          <w:sz w:val="30"/>
          <w:szCs w:val="30"/>
        </w:rPr>
        <w:t xml:space="preserve">10. Key findings</w:t>
      </w:r>
      <w:bookmarkEnd w:id="27"/>
    </w:p>
    <w:p>
      <w:pPr>
        <w:spacing w:after="120" w:line="276"/>
        <w:jc w:val="both"/>
      </w:pPr>
      <w:r>
        <w:rPr>
          <w:rFonts w:ascii="Calibri" w:cs="Calibri" w:eastAsia="Calibri" w:hAnsi="Calibri"/>
          <w:i/>
          <w:iCs/>
        </w:rPr>
        <w:t xml:space="preserve">Observed facts</w:t>
      </w:r>
      <w:r>
        <w:rPr>
          <w:rFonts w:ascii="Calibri" w:cs="Calibri" w:eastAsia="Calibri" w:hAnsi="Calibri"/>
        </w:rPr>
        <w:t xml:space="preserve"> come directly from the calculations above. </w:t>
      </w:r>
      <w:r>
        <w:rPr>
          <w:rFonts w:ascii="Calibri" w:cs="Calibri" w:eastAsia="Calibri" w:hAnsi="Calibri"/>
          <w:i/>
          <w:iCs/>
        </w:rPr>
        <w:t xml:space="preserve">Interpretations</w:t>
      </w:r>
      <w:r>
        <w:rPr>
          <w:rFonts w:ascii="Calibri" w:cs="Calibri" w:eastAsia="Calibri" w:hAnsi="Calibri"/>
        </w:rPr>
        <w:t xml:space="preserve"> are explanations supported by the analysis. </w:t>
      </w:r>
      <w:r>
        <w:rPr>
          <w:rFonts w:ascii="Calibri" w:cs="Calibri" w:eastAsia="Calibri" w:hAnsi="Calibri"/>
          <w:i/>
          <w:iCs/>
        </w:rPr>
        <w:t xml:space="preserve">Hypotheses</w:t>
      </w:r>
      <w:r>
        <w:rPr>
          <w:rFonts w:ascii="Calibri" w:cs="Calibri" w:eastAsia="Calibri" w:hAnsi="Calibri"/>
        </w:rPr>
        <w:t xml:space="preserve"> need further investigation. No causes are claimed where the data cannot show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5"/>
        <w:gridCol w:w="540"/>
        <w:gridCol w:w="1572"/>
        <w:gridCol w:w="1572"/>
        <w:gridCol w:w="491"/>
        <w:gridCol w:w="1572"/>
        <w:gridCol w:w="1572"/>
        <w:gridCol w:w="1462"/>
      </w:tblGrid>
      <w:tr>
        <w:trPr>
          <w:cantSplit/>
        </w:trPr>
        <w:tc>
          <w:tcPr>
            <w:tcW w:type="dxa" w:w="245"/>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ID</w:t>
            </w:r>
          </w:p>
        </w:tc>
        <w:tc>
          <w:tcPr>
            <w:tcW w:type="dxa" w:w="540"/>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Business question</w:t>
            </w:r>
          </w:p>
        </w:tc>
        <w:tc>
          <w:tcPr>
            <w:tcW w:type="dxa" w:w="1572"/>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Finding (observed)</w:t>
            </w:r>
          </w:p>
        </w:tc>
        <w:tc>
          <w:tcPr>
            <w:tcW w:type="dxa" w:w="1572"/>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Numerical evidence</w:t>
            </w:r>
          </w:p>
        </w:tc>
        <w:tc>
          <w:tcPr>
            <w:tcW w:type="dxa" w:w="491"/>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Source</w:t>
            </w:r>
          </w:p>
        </w:tc>
        <w:tc>
          <w:tcPr>
            <w:tcW w:type="dxa" w:w="1572"/>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Interpretation / potential business impact</w:t>
            </w:r>
          </w:p>
        </w:tc>
        <w:tc>
          <w:tcPr>
            <w:tcW w:type="dxa" w:w="1572"/>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Confidence or limitation</w:t>
            </w:r>
          </w:p>
        </w:tc>
        <w:tc>
          <w:tcPr>
            <w:tcW w:type="dxa" w:w="1462"/>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Suggested follow-up</w:t>
            </w:r>
          </w:p>
        </w:tc>
      </w:tr>
      <w:tr>
        <w:trPr>
          <w:cantSplit/>
        </w:trPr>
        <w:tc>
          <w:tcPr>
            <w:tcW w:type="dxa" w:w="24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F1</w:t>
            </w:r>
          </w:p>
        </w:tc>
        <w:tc>
          <w:tcPr>
            <w:tcW w:type="dxa" w:w="54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Q1</w:t>
            </w:r>
          </w:p>
        </w:tc>
        <w:tc>
          <w:tcPr>
            <w:tcW w:type="dxa" w:w="157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Growth was very unequal across holdings</w:t>
            </w:r>
          </w:p>
        </w:tc>
        <w:tc>
          <w:tcPr>
            <w:tcW w:type="dxa" w:w="157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Common-window CAGR: Apple 35.9 %, Amazon 25.0 %, Alphabet 22.1 % … IBM 6.1 %, Xerox −2.5 %; S&amp;P 500 7.2 %</w:t>
            </w:r>
          </w:p>
        </w:tc>
        <w:tc>
          <w:tcPr>
            <w:tcW w:type="dxa" w:w="49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Fig 1, 2; KPI table</w:t>
            </w:r>
          </w:p>
        </w:tc>
        <w:tc>
          <w:tcPr>
            <w:tcW w:type="dxa" w:w="157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Three holdings produced most of the gain; two did not beat the market. Allocation to winners and laggards matters more than owning the sector.</w:t>
            </w:r>
          </w:p>
        </w:tc>
        <w:tc>
          <w:tcPr>
            <w:tcW w:type="dxa" w:w="157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Survivorship bias; possible adjusted-price advantage over indices</w:t>
            </w:r>
          </w:p>
        </w:tc>
        <w:tc>
          <w:tcPr>
            <w:tcW w:type="dxa" w:w="146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Compare with a wider list of tech companies</w:t>
            </w:r>
          </w:p>
        </w:tc>
      </w:tr>
      <w:tr>
        <w:trPr>
          <w:cantSplit/>
        </w:trPr>
        <w:tc>
          <w:tcPr>
            <w:tcW w:type="dxa" w:w="24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F2</w:t>
            </w:r>
          </w:p>
        </w:tc>
        <w:tc>
          <w:tcPr>
            <w:tcW w:type="dxa" w:w="54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Q2</w:t>
            </w:r>
          </w:p>
        </w:tc>
        <w:tc>
          <w:tcPr>
            <w:tcW w:type="dxa" w:w="157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Higher growth came with higher risk; 6 of 7 holdings fell further than the S&amp;P 500 at their worst point</w:t>
            </w:r>
          </w:p>
        </w:tc>
        <w:tc>
          <w:tcPr>
            <w:tcW w:type="dxa" w:w="157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Max drawdown: Xerox −75.5 %, Adobe −65.1 % … IBM −37.2 %; S&amp;P 500 −52.6 %. Amazon −93.1 % over full history</w:t>
            </w:r>
          </w:p>
        </w:tc>
        <w:tc>
          <w:tcPr>
            <w:tcW w:type="dxa" w:w="49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Fig 3, 4, 5, 6</w:t>
            </w:r>
          </w:p>
        </w:tc>
        <w:tc>
          <w:tcPr>
            <w:tcW w:type="dxa" w:w="157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Large positions in these holdings expose the club to falls of more than half their value. Position sizing is a decision, not a detail.</w:t>
            </w:r>
          </w:p>
        </w:tc>
        <w:tc>
          <w:tcPr>
            <w:tcW w:type="dxa" w:w="157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Month-end prices understate daily falls</w:t>
            </w:r>
          </w:p>
        </w:tc>
        <w:tc>
          <w:tcPr>
            <w:tcW w:type="dxa" w:w="146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Test position-size caps (see R1)</w:t>
            </w:r>
          </w:p>
        </w:tc>
      </w:tr>
      <w:tr>
        <w:trPr>
          <w:cantSplit/>
        </w:trPr>
        <w:tc>
          <w:tcPr>
            <w:tcW w:type="dxa" w:w="24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F3</w:t>
            </w:r>
          </w:p>
        </w:tc>
        <w:tc>
          <w:tcPr>
            <w:tcW w:type="dxa" w:w="54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Q3</w:t>
            </w:r>
          </w:p>
        </w:tc>
        <w:tc>
          <w:tcPr>
            <w:tcW w:type="dxa" w:w="157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Return per unit of risk differed widely</w:t>
            </w:r>
          </w:p>
        </w:tc>
        <w:tc>
          <w:tcPr>
            <w:tcW w:type="dxa" w:w="157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Return/risk: Apple 1.09, Alphabet 0.73, Microsoft 0.72, Amazon 0.69 … IBM 0.29, Xerox −0.07; S&amp;P 500 0.49</w:t>
            </w:r>
          </w:p>
        </w:tc>
        <w:tc>
          <w:tcPr>
            <w:tcW w:type="dxa" w:w="49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Fig 3</w:t>
            </w:r>
          </w:p>
        </w:tc>
        <w:tc>
          <w:tcPr>
            <w:tcW w:type="dxa" w:w="157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Taking more volatility was not automatically rewarded (Xerox). Apple earned most per unit of risk.</w:t>
            </w:r>
          </w:p>
        </w:tc>
        <w:tc>
          <w:tcPr>
            <w:tcW w:type="dxa" w:w="157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0 % risk-free rate assumed; one period</w:t>
            </w:r>
          </w:p>
        </w:tc>
        <w:tc>
          <w:tcPr>
            <w:tcW w:type="dxa" w:w="146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Re-test with another period</w:t>
            </w:r>
          </w:p>
        </w:tc>
      </w:tr>
      <w:tr>
        <w:trPr>
          <w:cantSplit/>
        </w:trPr>
        <w:tc>
          <w:tcPr>
            <w:tcW w:type="dxa" w:w="24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F4</w:t>
            </w:r>
          </w:p>
        </w:tc>
        <w:tc>
          <w:tcPr>
            <w:tcW w:type="dxa" w:w="54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Q4</w:t>
            </w:r>
          </w:p>
        </w:tc>
        <w:tc>
          <w:tcPr>
            <w:tcW w:type="dxa" w:w="157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Most holdings amplify market moves, but market explains &lt; half of their movement</w:t>
            </w:r>
          </w:p>
        </w:tc>
        <w:tc>
          <w:tcPr>
            <w:tcW w:type="dxa" w:w="157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Beta 0.82 (IBM) to 1.57 (Xerox); correlation 0.49–0.68; market explains 24 %–46 %</w:t>
            </w:r>
          </w:p>
        </w:tc>
        <w:tc>
          <w:tcPr>
            <w:tcW w:type="dxa" w:w="49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Fig 7, 8</w:t>
            </w:r>
          </w:p>
        </w:tc>
        <w:tc>
          <w:tcPr>
            <w:tcW w:type="dxa" w:w="157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Much of the risk is company-specific, so monitoring individual companies matters.</w:t>
            </w:r>
          </w:p>
        </w:tc>
        <w:tc>
          <w:tcPr>
            <w:tcW w:type="dxa" w:w="157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Association, not causation</w:t>
            </w:r>
          </w:p>
        </w:tc>
        <w:tc>
          <w:tcPr>
            <w:tcW w:type="dxa" w:w="146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Add company-level data (earnings, news)</w:t>
            </w:r>
          </w:p>
        </w:tc>
      </w:tr>
      <w:tr>
        <w:trPr>
          <w:cantSplit/>
        </w:trPr>
        <w:tc>
          <w:tcPr>
            <w:tcW w:type="dxa" w:w="24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F5</w:t>
            </w:r>
          </w:p>
        </w:tc>
        <w:tc>
          <w:tcPr>
            <w:tcW w:type="dxa" w:w="54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Q5</w:t>
            </w:r>
          </w:p>
        </w:tc>
        <w:tc>
          <w:tcPr>
            <w:tcW w:type="dxa" w:w="157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No holding protected the club in market-wide falls; higher beta went with deeper falls in the 2007–09 crisis</w:t>
            </w:r>
          </w:p>
        </w:tc>
        <w:tc>
          <w:tcPr>
            <w:tcW w:type="dxa" w:w="157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Crisis-window falls −36.5 % to −73.4 %; Spearman ρ = 0.82 (p = 0.023, 7 holdings)</w:t>
            </w:r>
          </w:p>
        </w:tc>
        <w:tc>
          <w:tcPr>
            <w:tcW w:type="dxa" w:w="49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Fig 9</w:t>
            </w:r>
          </w:p>
        </w:tc>
        <w:tc>
          <w:tcPr>
            <w:tcW w:type="dxa" w:w="157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Stress losses of more than a third should be expected in a major downturn.</w:t>
            </w:r>
          </w:p>
        </w:tc>
        <w:tc>
          <w:tcPr>
            <w:tcW w:type="dxa" w:w="157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Only 7 holdings; weaker in other windows (hypothesis)</w:t>
            </w:r>
          </w:p>
        </w:tc>
        <w:tc>
          <w:tcPr>
            <w:tcW w:type="dxa" w:w="146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Add more companies and windows</w:t>
            </w:r>
          </w:p>
        </w:tc>
      </w:tr>
      <w:tr>
        <w:trPr>
          <w:cantSplit/>
        </w:trPr>
        <w:tc>
          <w:tcPr>
            <w:tcW w:type="dxa" w:w="24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F6</w:t>
            </w:r>
          </w:p>
        </w:tc>
        <w:tc>
          <w:tcPr>
            <w:tcW w:type="dxa" w:w="54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Q6</w:t>
            </w:r>
          </w:p>
        </w:tc>
        <w:tc>
          <w:tcPr>
            <w:tcW w:type="dxa" w:w="157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Combining the seven lowered volatility by about 31 %</w:t>
            </w:r>
          </w:p>
        </w:tc>
        <w:tc>
          <w:tcPr>
            <w:tcW w:type="dxa" w:w="157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Basket volatility 20.4 % vs 29.7 % average single stock; basket drawdown −48.7 %; avg. correlation 0.39 (0.47 in crisis window)</w:t>
            </w:r>
          </w:p>
        </w:tc>
        <w:tc>
          <w:tcPr>
            <w:tcW w:type="dxa" w:w="49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Fig 10, 12</w:t>
            </w:r>
          </w:p>
        </w:tc>
        <w:tc>
          <w:tcPr>
            <w:tcW w:type="dxa" w:w="157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Keeping a basket reduces risk, but a sector-wide fall still cost almost half the value.</w:t>
            </w:r>
          </w:p>
        </w:tc>
        <w:tc>
          <w:tcPr>
            <w:tcW w:type="dxa" w:w="157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Hypothetical basket; no costs; favourable period</w:t>
            </w:r>
          </w:p>
        </w:tc>
        <w:tc>
          <w:tcPr>
            <w:tcW w:type="dxa" w:w="146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Test adding assets outside the dataset</w:t>
            </w:r>
          </w:p>
        </w:tc>
      </w:tr>
      <w:tr>
        <w:trPr>
          <w:cantSplit/>
        </w:trPr>
        <w:tc>
          <w:tcPr>
            <w:tcW w:type="dxa" w:w="24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F7</w:t>
            </w:r>
          </w:p>
        </w:tc>
        <w:tc>
          <w:tcPr>
            <w:tcW w:type="dxa" w:w="54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Q7</w:t>
            </w:r>
          </w:p>
        </w:tc>
        <w:tc>
          <w:tcPr>
            <w:tcW w:type="dxa" w:w="157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Even strong holdings lost money in about one year in four</w:t>
            </w:r>
          </w:p>
        </w:tc>
        <w:tc>
          <w:tcPr>
            <w:tcW w:type="dxa" w:w="157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Positive years: Microsoft/Adobe 77.4 %, Alphabet 76.5 %, S&amp;P 500 74.2 %, IBM/Xerox 61.3 %</w:t>
            </w:r>
          </w:p>
        </w:tc>
        <w:tc>
          <w:tcPr>
            <w:tcW w:type="dxa" w:w="49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Fig 11</w:t>
            </w:r>
          </w:p>
        </w:tc>
        <w:tc>
          <w:tcPr>
            <w:tcW w:type="dxa" w:w="157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Expect losing years; do not assume steady annual gains.</w:t>
            </w:r>
          </w:p>
        </w:tc>
        <w:tc>
          <w:tcPr>
            <w:tcW w:type="dxa" w:w="157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Different numbers of full years</w:t>
            </w:r>
          </w:p>
        </w:tc>
        <w:tc>
          <w:tcPr>
            <w:tcW w:type="dxa" w:w="146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w:t>
            </w:r>
          </w:p>
        </w:tc>
      </w:tr>
      <w:tr>
        <w:trPr>
          <w:cantSplit/>
        </w:trPr>
        <w:tc>
          <w:tcPr>
            <w:tcW w:type="dxa" w:w="24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F8</w:t>
            </w:r>
          </w:p>
        </w:tc>
        <w:tc>
          <w:tcPr>
            <w:tcW w:type="dxa" w:w="540"/>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Q8</w:t>
            </w:r>
          </w:p>
        </w:tc>
        <w:tc>
          <w:tcPr>
            <w:tcW w:type="dxa" w:w="157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Extreme months cluster in the financial crisis</w:t>
            </w:r>
          </w:p>
        </w:tc>
        <w:tc>
          <w:tcPr>
            <w:tcW w:type="dxa" w:w="157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21 of 1,917 months beyond ±3 SD; 10 in 2008–09</w:t>
            </w:r>
          </w:p>
        </w:tc>
        <w:tc>
          <w:tcPr>
            <w:tcW w:type="dxa" w:w="49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Outlier table</w:t>
            </w:r>
          </w:p>
        </w:tc>
        <w:tc>
          <w:tcPr>
            <w:tcW w:type="dxa" w:w="157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Supports regular stress testing. Isolated company extremes (Xerox 2019/2020, IBM 2018) need explanation.</w:t>
            </w:r>
          </w:p>
        </w:tc>
        <w:tc>
          <w:tcPr>
            <w:tcW w:type="dxa" w:w="157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Causes are </w:t>
            </w:r>
            <w:r>
              <w:rPr>
                <w:rFonts w:ascii="Calibri" w:cs="Calibri" w:eastAsia="Calibri" w:hAnsi="Calibri"/>
                <w:b/>
                <w:bCs/>
                <w:sz w:val="17"/>
                <w:szCs w:val="17"/>
              </w:rPr>
              <w:t xml:space="preserve">not</w:t>
            </w:r>
            <w:r>
              <w:rPr>
                <w:rFonts w:ascii="Calibri" w:cs="Calibri" w:eastAsia="Calibri" w:hAnsi="Calibri"/>
                <w:b w:val="false"/>
                <w:bCs w:val="false"/>
                <w:sz w:val="17"/>
                <w:szCs w:val="17"/>
              </w:rPr>
              <w:t xml:space="preserve"> in the data (hypotheses)</w:t>
            </w:r>
          </w:p>
        </w:tc>
        <w:tc>
          <w:tcPr>
            <w:tcW w:type="dxa" w:w="146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Match flagged months to company events</w:t>
            </w:r>
          </w:p>
        </w:tc>
      </w:tr>
    </w:tbl>
    <w:p>
      <w:pPr>
        <w:spacing w:after="120"/>
      </w:pPr>
    </w:p>
    <w:p>
      <w:pPr>
        <w:pStyle w:val="Heading1"/>
        <w:keepNext/>
        <w:spacing w:after="120" w:before="320"/>
      </w:pPr>
      <w:bookmarkStart w:name="sec28" w:id="28"/>
      <w:r>
        <w:rPr>
          <w:rFonts w:ascii="Calibri" w:cs="Calibri" w:eastAsia="Calibri" w:hAnsi="Calibri"/>
          <w:b/>
          <w:bCs/>
          <w:color w:val="1F3864"/>
          <w:sz w:val="30"/>
          <w:szCs w:val="30"/>
        </w:rPr>
        <w:t xml:space="preserve">11. Business insights and potential impact</w:t>
      </w:r>
      <w:bookmarkEnd w:id="28"/>
    </w:p>
    <w:p>
      <w:pPr>
        <w:spacing w:after="120" w:line="276"/>
        <w:jc w:val="both"/>
      </w:pPr>
      <w:r>
        <w:rPr>
          <w:rFonts w:ascii="Calibri" w:cs="Calibri" w:eastAsia="Calibri" w:hAnsi="Calibri"/>
        </w:rPr>
        <w:t xml:space="preserve">What the data </w:t>
      </w:r>
      <w:r>
        <w:rPr>
          <w:rFonts w:ascii="Calibri" w:cs="Calibri" w:eastAsia="Calibri" w:hAnsi="Calibri"/>
          <w:b/>
          <w:bCs/>
        </w:rPr>
        <w:t xml:space="preserve">shows</w:t>
      </w:r>
      <w:r>
        <w:rPr>
          <w:rFonts w:ascii="Calibri" w:cs="Calibri" w:eastAsia="Calibri" w:hAnsi="Calibri"/>
        </w:rPr>
        <w:t xml:space="preserve">, what it </w:t>
      </w:r>
      <w:r>
        <w:rPr>
          <w:rFonts w:ascii="Calibri" w:cs="Calibri" w:eastAsia="Calibri" w:hAnsi="Calibri"/>
          <w:b/>
          <w:bCs/>
        </w:rPr>
        <w:t xml:space="preserve">suggests</w:t>
      </w:r>
      <w:r>
        <w:rPr>
          <w:rFonts w:ascii="Calibri" w:cs="Calibri" w:eastAsia="Calibri" w:hAnsi="Calibri"/>
        </w:rPr>
        <w:t xml:space="preserve"> and what still has to be </w:t>
      </w:r>
      <w:r>
        <w:rPr>
          <w:rFonts w:ascii="Calibri" w:cs="Calibri" w:eastAsia="Calibri" w:hAnsi="Calibri"/>
          <w:b/>
          <w:bCs/>
        </w:rPr>
        <w:t xml:space="preserve">investigated</w:t>
      </w:r>
      <w:r>
        <w:rPr>
          <w:rFonts w:ascii="Calibri" w:cs="Calibri" w:eastAsia="Calibri" w:hAnsi="Calibri"/>
        </w:rPr>
        <w:t xml:space="preserve"> (all figures are those in Section 9 and the findings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5"/>
        <w:gridCol w:w="2533"/>
        <w:gridCol w:w="2533"/>
        <w:gridCol w:w="2535"/>
      </w:tblGrid>
      <w:tr>
        <w:trPr>
          <w:cantSplit/>
        </w:trPr>
        <w:tc>
          <w:tcPr>
            <w:tcW w:type="dxa" w:w="1425"/>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Theme</w:t>
            </w:r>
          </w:p>
        </w:tc>
        <w:tc>
          <w:tcPr>
            <w:tcW w:type="dxa" w:w="2533"/>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Observed fact (from the data)</w:t>
            </w:r>
          </w:p>
        </w:tc>
        <w:tc>
          <w:tcPr>
            <w:tcW w:type="dxa" w:w="2533"/>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Interpretation (supported by the analysis)</w:t>
            </w:r>
          </w:p>
        </w:tc>
        <w:tc>
          <w:tcPr>
            <w:tcW w:type="dxa" w:w="2535"/>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Hypothesis / needs investigation</w:t>
            </w:r>
          </w:p>
        </w:tc>
      </w:tr>
      <w:tr>
        <w:trPr>
          <w:cantSplit/>
        </w:trPr>
        <w:tc>
          <w:tcPr>
            <w:tcW w:type="dxa" w:w="142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Value creation</w:t>
            </w:r>
          </w:p>
        </w:tc>
        <w:tc>
          <w:tcPr>
            <w:tcW w:type="dxa" w:w="253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Growth was very unequal: Apple, Amazon and Alphabet grew fastest, IBM and Xerox did not beat the S&amp;P 500 (F1)</w:t>
            </w:r>
          </w:p>
        </w:tc>
        <w:tc>
          <w:tcPr>
            <w:tcW w:type="dxa" w:w="253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Choosing and sizing holdings matters more than simply owning the sector</w:t>
            </w:r>
          </w:p>
        </w:tc>
        <w:tc>
          <w:tcPr>
            <w:tcW w:type="dxa" w:w="253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Why the laggards lagged (needs company fundamentals)</w:t>
            </w:r>
          </w:p>
        </w:tc>
      </w:tr>
      <w:tr>
        <w:trPr>
          <w:cantSplit/>
        </w:trPr>
        <w:tc>
          <w:tcPr>
            <w:tcW w:type="dxa" w:w="142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Risk</w:t>
            </w:r>
          </w:p>
        </w:tc>
        <w:tc>
          <w:tcPr>
            <w:tcW w:type="dxa" w:w="253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Higher growth came with higher volatility and deeper falls; six of seven holdings fell further than the S&amp;P 500 at their worst point (F2, F3)</w:t>
            </w:r>
          </w:p>
        </w:tc>
        <w:tc>
          <w:tcPr>
            <w:tcW w:type="dxa" w:w="253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Large positions in high-growth holdings expose the club to very large losses</w:t>
            </w:r>
          </w:p>
        </w:tc>
        <w:tc>
          <w:tcPr>
            <w:tcW w:type="dxa" w:w="253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Whether position-size caps would reduce losses without giving up much growth (to be back-tested)</w:t>
            </w:r>
          </w:p>
        </w:tc>
      </w:tr>
      <w:tr>
        <w:trPr>
          <w:cantSplit/>
        </w:trPr>
        <w:tc>
          <w:tcPr>
            <w:tcW w:type="dxa" w:w="142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Market link</w:t>
            </w:r>
          </w:p>
        </w:tc>
        <w:tc>
          <w:tcPr>
            <w:tcW w:type="dxa" w:w="253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Beta ranged 0.82 – 1.57; the market explained only 24 % – 46 % of monthly movement (F4)</w:t>
            </w:r>
          </w:p>
        </w:tc>
        <w:tc>
          <w:tcPr>
            <w:tcW w:type="dxa" w:w="253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A large part of each holding's risk is company-specific</w:t>
            </w:r>
          </w:p>
        </w:tc>
        <w:tc>
          <w:tcPr>
            <w:tcW w:type="dxa" w:w="253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Which company events drive that specific risk</w:t>
            </w:r>
          </w:p>
        </w:tc>
      </w:tr>
      <w:tr>
        <w:trPr>
          <w:cantSplit/>
        </w:trPr>
        <w:tc>
          <w:tcPr>
            <w:tcW w:type="dxa" w:w="142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Stress behaviour</w:t>
            </w:r>
          </w:p>
        </w:tc>
        <w:tc>
          <w:tcPr>
            <w:tcW w:type="dxa" w:w="253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Every holding fell in every stress window; higher beta went with deeper falls in 2007 – 09 (F5)</w:t>
            </w:r>
          </w:p>
        </w:tc>
        <w:tc>
          <w:tcPr>
            <w:tcW w:type="dxa" w:w="253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No holding was a safe haven; beta is a rough warning sign</w:t>
            </w:r>
          </w:p>
        </w:tc>
        <w:tc>
          <w:tcPr>
            <w:tcW w:type="dxa" w:w="253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Whether the beta–fall link holds with more companies</w:t>
            </w:r>
          </w:p>
        </w:tc>
      </w:tr>
      <w:tr>
        <w:trPr>
          <w:cantSplit/>
        </w:trPr>
        <w:tc>
          <w:tcPr>
            <w:tcW w:type="dxa" w:w="142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Diversification</w:t>
            </w:r>
          </w:p>
        </w:tc>
        <w:tc>
          <w:tcPr>
            <w:tcW w:type="dxa" w:w="253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The equal-weight basket had about 31 % lower volatility than the average single stock but still fell 48.7 % (F6)</w:t>
            </w:r>
          </w:p>
        </w:tc>
        <w:tc>
          <w:tcPr>
            <w:tcW w:type="dxa" w:w="253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Keeping a basket lowers risk but does not remove sector-wide losses</w:t>
            </w:r>
          </w:p>
        </w:tc>
        <w:tc>
          <w:tcPr>
            <w:tcW w:type="dxa" w:w="253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Whether adding non-technology assets would lower the worst fall</w:t>
            </w:r>
          </w:p>
        </w:tc>
      </w:tr>
      <w:tr>
        <w:trPr>
          <w:cantSplit/>
        </w:trPr>
        <w:tc>
          <w:tcPr>
            <w:tcW w:type="dxa" w:w="142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Consistency</w:t>
            </w:r>
          </w:p>
        </w:tc>
        <w:tc>
          <w:tcPr>
            <w:tcW w:type="dxa" w:w="253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Even strong holdings lost money in about one year in four (F7)</w:t>
            </w:r>
          </w:p>
        </w:tc>
        <w:tc>
          <w:tcPr>
            <w:tcW w:type="dxa" w:w="253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Do not assume steady annual gains</w:t>
            </w:r>
          </w:p>
        </w:tc>
        <w:tc>
          <w:tcPr>
            <w:tcW w:type="dxa" w:w="253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w:t>
            </w:r>
          </w:p>
        </w:tc>
      </w:tr>
      <w:tr>
        <w:trPr>
          <w:cantSplit/>
        </w:trPr>
        <w:tc>
          <w:tcPr>
            <w:tcW w:type="dxa" w:w="142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Unusual months</w:t>
            </w:r>
          </w:p>
        </w:tc>
        <w:tc>
          <w:tcPr>
            <w:tcW w:type="dxa" w:w="253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21 of 1,917 months were extreme; 10 fell in 2008 – 09 (F8)</w:t>
            </w:r>
          </w:p>
        </w:tc>
        <w:tc>
          <w:tcPr>
            <w:tcW w:type="dxa" w:w="2533"/>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Stress testing is justified</w:t>
            </w:r>
          </w:p>
        </w:tc>
        <w:tc>
          <w:tcPr>
            <w:tcW w:type="dxa" w:w="253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What explained the isolated company extremes</w:t>
            </w:r>
          </w:p>
        </w:tc>
      </w:tr>
    </w:tbl>
    <w:p>
      <w:pPr>
        <w:spacing w:after="120"/>
      </w:pPr>
    </w:p>
    <w:p>
      <w:pPr>
        <w:spacing w:after="120" w:line="276"/>
        <w:jc w:val="both"/>
      </w:pPr>
      <w:r>
        <w:rPr>
          <w:rFonts w:ascii="Calibri" w:cs="Calibri" w:eastAsia="Calibri" w:hAnsi="Calibri"/>
          <w:b/>
          <w:bCs/>
        </w:rPr>
        <w:t xml:space="preserve">Potential business impact.</w:t>
      </w:r>
      <w:r>
        <w:rPr>
          <w:rFonts w:ascii="Calibri" w:cs="Calibri" w:eastAsia="Calibri" w:hAnsi="Calibri"/>
        </w:rPr>
        <w:t xml:space="preserve"> The evidence points to three decisions for the committee: how large each position should be, whether to track stress losses regularly, and which weak holdings to review. The size of any benefit cannot be quantified from this dataset, so none is claimed.</w:t>
      </w:r>
    </w:p>
    <w:p>
      <w:pPr>
        <w:pStyle w:val="Heading1"/>
        <w:keepNext/>
        <w:spacing w:after="120" w:before="320"/>
      </w:pPr>
      <w:bookmarkStart w:name="sec29" w:id="29"/>
      <w:r>
        <w:rPr>
          <w:rFonts w:ascii="Calibri" w:cs="Calibri" w:eastAsia="Calibri" w:hAnsi="Calibri"/>
          <w:b/>
          <w:bCs/>
          <w:color w:val="1F3864"/>
          <w:sz w:val="30"/>
          <w:szCs w:val="30"/>
        </w:rPr>
        <w:t xml:space="preserve">12. Actionable recommendations</w:t>
      </w:r>
      <w:bookmarkEnd w:id="29"/>
    </w:p>
    <w:p>
      <w:pPr>
        <w:spacing w:after="120" w:line="276"/>
        <w:jc w:val="both"/>
      </w:pPr>
      <w:r>
        <w:rPr>
          <w:rFonts w:ascii="Calibri" w:cs="Calibri" w:eastAsia="Calibri" w:hAnsi="Calibri"/>
        </w:rPr>
        <w:t xml:space="preserve">These follow from the findings above. No financial return is promised; "expected direction" means what the evidence suggests, to be tested.</w:t>
      </w:r>
    </w:p>
    <w:p>
      <w:pPr>
        <w:sectPr>
          <w:headerReference w:type="default" r:id="rId14"/>
          <w:footerReference w:type="default" r:id="rId15"/>
          <w:pgSz w:w="11906" w:h="16838" w:orient="portrait"/>
          <w:pgMar w:top="1440" w:right="1440" w:bottom="1300" w:left="1440" w:header="708" w:footer="708" w:gutter="0"/>
          <w:pgNumType/>
          <w:docGrid w:linePitch="360"/>
        </w:sectPr>
      </w:pP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78"/>
        <w:gridCol w:w="722"/>
        <w:gridCol w:w="1779"/>
        <w:gridCol w:w="1779"/>
        <w:gridCol w:w="611"/>
        <w:gridCol w:w="881"/>
        <w:gridCol w:w="1779"/>
        <w:gridCol w:w="1779"/>
        <w:gridCol w:w="786"/>
        <w:gridCol w:w="1779"/>
        <w:gridCol w:w="1785"/>
      </w:tblGrid>
      <w:tr>
        <w:trPr>
          <w:cantSplit/>
        </w:trPr>
        <w:tc>
          <w:tcPr>
            <w:tcW w:type="dxa" w:w="278"/>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ID</w:t>
            </w:r>
          </w:p>
        </w:tc>
        <w:tc>
          <w:tcPr>
            <w:tcW w:type="dxa" w:w="722"/>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Supporting finding</w:t>
            </w:r>
          </w:p>
        </w:tc>
        <w:tc>
          <w:tcPr>
            <w:tcW w:type="dxa" w:w="1779"/>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Proposed action</w:t>
            </w:r>
          </w:p>
        </w:tc>
        <w:tc>
          <w:tcPr>
            <w:tcW w:type="dxa" w:w="1779"/>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Reason</w:t>
            </w:r>
          </w:p>
        </w:tc>
        <w:tc>
          <w:tcPr>
            <w:tcW w:type="dxa" w:w="611"/>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Priority</w:t>
            </w:r>
          </w:p>
        </w:tc>
        <w:tc>
          <w:tcPr>
            <w:tcW w:type="dxa" w:w="881"/>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Suggested owner</w:t>
            </w:r>
          </w:p>
        </w:tc>
        <w:tc>
          <w:tcPr>
            <w:tcW w:type="dxa" w:w="1779"/>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Expected direction of impact</w:t>
            </w:r>
          </w:p>
        </w:tc>
        <w:tc>
          <w:tcPr>
            <w:tcW w:type="dxa" w:w="1779"/>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KPI to measure success</w:t>
            </w:r>
          </w:p>
        </w:tc>
        <w:tc>
          <w:tcPr>
            <w:tcW w:type="dxa" w:w="786"/>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Time horizon</w:t>
            </w:r>
          </w:p>
        </w:tc>
        <w:tc>
          <w:tcPr>
            <w:tcW w:type="dxa" w:w="1779"/>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Validation / experiment plan</w:t>
            </w:r>
          </w:p>
        </w:tc>
        <w:tc>
          <w:tcPr>
            <w:tcW w:type="dxa" w:w="1785"/>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7"/>
                <w:szCs w:val="17"/>
              </w:rPr>
              <w:t xml:space="preserve">Risks and assumptions</w:t>
            </w:r>
          </w:p>
        </w:tc>
      </w:tr>
      <w:tr>
        <w:trPr>
          <w:cantSplit/>
        </w:trPr>
        <w:tc>
          <w:tcPr>
            <w:tcW w:type="dxa" w:w="27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R1</w:t>
            </w:r>
          </w:p>
        </w:tc>
        <w:tc>
          <w:tcPr>
            <w:tcW w:type="dxa" w:w="72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F2, F4</w:t>
            </w:r>
          </w:p>
        </w:tc>
        <w:tc>
          <w:tcPr>
            <w:tcW w:type="dxa" w:w="177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Set a maximum weight for each holding, with lower caps for the highest-risk names (Xerox, Adobe, Amazon, Apple)</w:t>
            </w:r>
          </w:p>
        </w:tc>
        <w:tc>
          <w:tcPr>
            <w:tcW w:type="dxa" w:w="177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The four named holdings fell 54 %–76 % at their worst point, so large positions create large losses</w:t>
            </w:r>
          </w:p>
        </w:tc>
        <w:tc>
          <w:tcPr>
            <w:tcW w:type="dxa" w:w="61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bCs/>
                <w:sz w:val="17"/>
                <w:szCs w:val="17"/>
              </w:rPr>
              <w:t xml:space="preserve">High</w:t>
            </w:r>
          </w:p>
        </w:tc>
        <w:tc>
          <w:tcPr>
            <w:tcW w:type="dxa" w:w="88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Portfolio manager</w:t>
            </w:r>
          </w:p>
        </w:tc>
        <w:tc>
          <w:tcPr>
            <w:tcW w:type="dxa" w:w="177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Smaller worst-case losses</w:t>
            </w:r>
          </w:p>
        </w:tc>
        <w:tc>
          <w:tcPr>
            <w:tcW w:type="dxa" w:w="177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Portfolio maximum drawdown; share of total risk from the largest holding</w:t>
            </w:r>
          </w:p>
        </w:tc>
        <w:tc>
          <w:tcPr>
            <w:tcW w:type="dxa" w:w="78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Next committee meeting</w:t>
            </w:r>
          </w:p>
        </w:tc>
        <w:tc>
          <w:tcPr>
            <w:tcW w:type="dxa" w:w="177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Back-test several cap levels on this dataset and compare drawdown and CAGR</w:t>
            </w:r>
          </w:p>
        </w:tc>
        <w:tc>
          <w:tcPr>
            <w:tcW w:type="dxa" w:w="178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Caps may reduce gains; back-test uses past data only</w:t>
            </w:r>
          </w:p>
        </w:tc>
      </w:tr>
      <w:tr>
        <w:trPr>
          <w:cantSplit/>
        </w:trPr>
        <w:tc>
          <w:tcPr>
            <w:tcW w:type="dxa" w:w="27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R2</w:t>
            </w:r>
          </w:p>
        </w:tc>
        <w:tc>
          <w:tcPr>
            <w:tcW w:type="dxa" w:w="72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F6</w:t>
            </w:r>
          </w:p>
        </w:tc>
        <w:tc>
          <w:tcPr>
            <w:tcW w:type="dxa" w:w="177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Keep a diversified basket of all seven instead of concentrating in a few</w:t>
            </w:r>
          </w:p>
        </w:tc>
        <w:tc>
          <w:tcPr>
            <w:tcW w:type="dxa" w:w="177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Equal-weight basket volatility was about 31 % lower than the average single stock</w:t>
            </w:r>
          </w:p>
        </w:tc>
        <w:tc>
          <w:tcPr>
            <w:tcW w:type="dxa" w:w="61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bCs/>
                <w:sz w:val="17"/>
                <w:szCs w:val="17"/>
              </w:rPr>
              <w:t xml:space="preserve">High</w:t>
            </w:r>
          </w:p>
        </w:tc>
        <w:tc>
          <w:tcPr>
            <w:tcW w:type="dxa" w:w="88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Investment committee chair</w:t>
            </w:r>
          </w:p>
        </w:tc>
        <w:tc>
          <w:tcPr>
            <w:tcW w:type="dxa" w:w="177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Lower volatility without lowering growth below the single-stock average</w:t>
            </w:r>
          </w:p>
        </w:tc>
        <w:tc>
          <w:tcPr>
            <w:tcW w:type="dxa" w:w="177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Portfolio volatility; average pairwise correlation</w:t>
            </w:r>
          </w:p>
        </w:tc>
        <w:tc>
          <w:tcPr>
            <w:tcW w:type="dxa" w:w="78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Ongoing</w:t>
            </w:r>
          </w:p>
        </w:tc>
        <w:tc>
          <w:tcPr>
            <w:tcW w:type="dxa" w:w="177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Compare the basket with concentrated alternatives on out-of-sample months</w:t>
            </w:r>
          </w:p>
        </w:tc>
        <w:tc>
          <w:tcPr>
            <w:tcW w:type="dxa" w:w="178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The period favoured these companies; diversification weakens in crises</w:t>
            </w:r>
          </w:p>
        </w:tc>
      </w:tr>
      <w:tr>
        <w:trPr>
          <w:cantSplit/>
        </w:trPr>
        <w:tc>
          <w:tcPr>
            <w:tcW w:type="dxa" w:w="27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R3</w:t>
            </w:r>
          </w:p>
        </w:tc>
        <w:tc>
          <w:tcPr>
            <w:tcW w:type="dxa" w:w="72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F5, F8</w:t>
            </w:r>
          </w:p>
        </w:tc>
        <w:tc>
          <w:tcPr>
            <w:tcW w:type="dxa" w:w="177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Add a regular stress-test report using the three windows (dot-com, 2007–09, 2022)</w:t>
            </w:r>
          </w:p>
        </w:tc>
        <w:tc>
          <w:tcPr>
            <w:tcW w:type="dxa" w:w="177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Every holding fell in every window; extreme months cluster in crises</w:t>
            </w:r>
          </w:p>
        </w:tc>
        <w:tc>
          <w:tcPr>
            <w:tcW w:type="dxa" w:w="61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bCs/>
                <w:sz w:val="17"/>
                <w:szCs w:val="17"/>
              </w:rPr>
              <w:t xml:space="preserve">High</w:t>
            </w:r>
          </w:p>
        </w:tc>
        <w:tc>
          <w:tcPr>
            <w:tcW w:type="dxa" w:w="88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Risk manager</w:t>
            </w:r>
          </w:p>
        </w:tc>
        <w:tc>
          <w:tcPr>
            <w:tcW w:type="dxa" w:w="177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Earlier awareness of downside</w:t>
            </w:r>
          </w:p>
        </w:tc>
        <w:tc>
          <w:tcPr>
            <w:tcW w:type="dxa" w:w="177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Largest fall in each window per holding</w:t>
            </w:r>
          </w:p>
        </w:tc>
        <w:tc>
          <w:tcPr>
            <w:tcW w:type="dxa" w:w="78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Monthly / quarterly</w:t>
            </w:r>
          </w:p>
        </w:tc>
        <w:tc>
          <w:tcPr>
            <w:tcW w:type="dxa" w:w="177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Re-run the stress table whenever holdings change</w:t>
            </w:r>
          </w:p>
        </w:tc>
        <w:tc>
          <w:tcPr>
            <w:tcW w:type="dxa" w:w="178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Past crises may not resemble the next one</w:t>
            </w:r>
          </w:p>
        </w:tc>
      </w:tr>
      <w:tr>
        <w:trPr>
          <w:cantSplit/>
        </w:trPr>
        <w:tc>
          <w:tcPr>
            <w:tcW w:type="dxa" w:w="27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R4</w:t>
            </w:r>
          </w:p>
        </w:tc>
        <w:tc>
          <w:tcPr>
            <w:tcW w:type="dxa" w:w="72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F1, F3</w:t>
            </w:r>
          </w:p>
        </w:tc>
        <w:tc>
          <w:tcPr>
            <w:tcW w:type="dxa" w:w="177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Put Xerox on a formal watch list and review IBM; decide with company information, not prices alone</w:t>
            </w:r>
          </w:p>
        </w:tc>
        <w:tc>
          <w:tcPr>
            <w:tcW w:type="dxa" w:w="177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Both grew below the S&amp;P 500 (IBM 6.1 %, Xerox −2.5 % vs 7.2 %) and Xerox combined high beta with a loss</w:t>
            </w:r>
          </w:p>
        </w:tc>
        <w:tc>
          <w:tcPr>
            <w:tcW w:type="dxa" w:w="61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bCs/>
                <w:sz w:val="17"/>
                <w:szCs w:val="17"/>
              </w:rPr>
              <w:t xml:space="preserve">Medium</w:t>
            </w:r>
          </w:p>
        </w:tc>
        <w:tc>
          <w:tcPr>
            <w:tcW w:type="dxa" w:w="88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Portfolio manager</w:t>
            </w:r>
          </w:p>
        </w:tc>
        <w:tc>
          <w:tcPr>
            <w:tcW w:type="dxa" w:w="177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Better use of capital if weak positions are reduced or explained</w:t>
            </w:r>
          </w:p>
        </w:tc>
        <w:tc>
          <w:tcPr>
            <w:tcW w:type="dxa" w:w="177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Return/risk versus S&amp;P 500 over the next review</w:t>
            </w:r>
          </w:p>
        </w:tc>
        <w:tc>
          <w:tcPr>
            <w:tcW w:type="dxa" w:w="78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One quarter</w:t>
            </w:r>
          </w:p>
        </w:tc>
        <w:tc>
          <w:tcPr>
            <w:tcW w:type="dxa" w:w="177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Gather fundamentals (revenue, earnings, outlook) and compare with peers</w:t>
            </w:r>
          </w:p>
        </w:tc>
        <w:tc>
          <w:tcPr>
            <w:tcW w:type="dxa" w:w="178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Past weakness may not continue; price data cannot explain it</w:t>
            </w:r>
          </w:p>
        </w:tc>
      </w:tr>
      <w:tr>
        <w:trPr>
          <w:cantSplit/>
        </w:trPr>
        <w:tc>
          <w:tcPr>
            <w:tcW w:type="dxa" w:w="27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R5</w:t>
            </w:r>
          </w:p>
        </w:tc>
        <w:tc>
          <w:tcPr>
            <w:tcW w:type="dxa" w:w="72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F4, F8</w:t>
            </w:r>
          </w:p>
        </w:tc>
        <w:tc>
          <w:tcPr>
            <w:tcW w:type="dxa" w:w="177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Investigate the flagged unusual months (for example Xerox 2019/2020, IBM 2018) against company events</w:t>
            </w:r>
          </w:p>
        </w:tc>
        <w:tc>
          <w:tcPr>
            <w:tcW w:type="dxa" w:w="177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The data cannot explain company-specific extremes</w:t>
            </w:r>
          </w:p>
        </w:tc>
        <w:tc>
          <w:tcPr>
            <w:tcW w:type="dxa" w:w="61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bCs/>
                <w:sz w:val="17"/>
                <w:szCs w:val="17"/>
              </w:rPr>
              <w:t xml:space="preserve">Medium</w:t>
            </w:r>
          </w:p>
        </w:tc>
        <w:tc>
          <w:tcPr>
            <w:tcW w:type="dxa" w:w="88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Risk analyst</w:t>
            </w:r>
          </w:p>
        </w:tc>
        <w:tc>
          <w:tcPr>
            <w:tcW w:type="dxa" w:w="177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Clarifies which risks are company-specific</w:t>
            </w:r>
          </w:p>
        </w:tc>
        <w:tc>
          <w:tcPr>
            <w:tcW w:type="dxa" w:w="177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Share of flagged months explained by events</w:t>
            </w:r>
          </w:p>
        </w:tc>
        <w:tc>
          <w:tcPr>
            <w:tcW w:type="dxa" w:w="78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One quarter</w:t>
            </w:r>
          </w:p>
        </w:tc>
        <w:tc>
          <w:tcPr>
            <w:tcW w:type="dxa" w:w="177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Match each flagged month with earnings dates and corporate actions</w:t>
            </w:r>
          </w:p>
        </w:tc>
        <w:tc>
          <w:tcPr>
            <w:tcW w:type="dxa" w:w="178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Event data must be sourced separately</w:t>
            </w:r>
          </w:p>
        </w:tc>
      </w:tr>
      <w:tr>
        <w:trPr>
          <w:cantSplit/>
        </w:trPr>
        <w:tc>
          <w:tcPr>
            <w:tcW w:type="dxa" w:w="278"/>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R6</w:t>
            </w:r>
          </w:p>
        </w:tc>
        <w:tc>
          <w:tcPr>
            <w:tcW w:type="dxa" w:w="722"/>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All</w:t>
            </w:r>
          </w:p>
        </w:tc>
        <w:tc>
          <w:tcPr>
            <w:tcW w:type="dxa" w:w="177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Improve the data: daily prices, dividends, trading volume, confirmed price adjustments, a wider set of companies</w:t>
            </w:r>
          </w:p>
        </w:tc>
        <w:tc>
          <w:tcPr>
            <w:tcW w:type="dxa" w:w="177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Current data cannot show causes and may be biased toward survivors</w:t>
            </w:r>
          </w:p>
        </w:tc>
        <w:tc>
          <w:tcPr>
            <w:tcW w:type="dxa" w:w="61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bCs/>
                <w:sz w:val="17"/>
                <w:szCs w:val="17"/>
              </w:rPr>
              <w:t xml:space="preserve">Medium</w:t>
            </w:r>
          </w:p>
        </w:tc>
        <w:tc>
          <w:tcPr>
            <w:tcW w:type="dxa" w:w="881"/>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Data analyst</w:t>
            </w:r>
          </w:p>
        </w:tc>
        <w:tc>
          <w:tcPr>
            <w:tcW w:type="dxa" w:w="177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More reliable conclusions</w:t>
            </w:r>
          </w:p>
        </w:tc>
        <w:tc>
          <w:tcPr>
            <w:tcW w:type="dxa" w:w="177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Data coverage; change in findings after refresh</w:t>
            </w:r>
          </w:p>
        </w:tc>
        <w:tc>
          <w:tcPr>
            <w:tcW w:type="dxa" w:w="78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One to two months</w:t>
            </w:r>
          </w:p>
        </w:tc>
        <w:tc>
          <w:tcPr>
            <w:tcW w:type="dxa" w:w="177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Re-run this notebook on the richer data and compare findings</w:t>
            </w:r>
          </w:p>
        </w:tc>
        <w:tc>
          <w:tcPr>
            <w:tcW w:type="dxa" w:w="178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7"/>
                <w:szCs w:val="17"/>
              </w:rPr>
              <w:t xml:space="preserve">Additional data may cost money or need licences</w:t>
            </w:r>
          </w:p>
        </w:tc>
      </w:tr>
    </w:tbl>
    <w:p>
      <w:pPr>
        <w:spacing w:after="120"/>
      </w:pPr>
    </w:p>
    <w:p>
      <w:pPr>
        <w:sectPr>
          <w:headerReference w:type="default" r:id="rId16"/>
          <w:footerReference w:type="default" r:id="rId17"/>
          <w:pgSz w:w="16838" w:h="11906" w:orient="landscape"/>
          <w:pgMar w:top="1300" w:right="1440" w:bottom="1200" w:left="1440" w:header="708" w:footer="708" w:gutter="0"/>
          <w:pgNumType/>
          <w:docGrid w:linePitch="360"/>
        </w:sectPr>
      </w:pPr>
    </w:p>
    <w:p>
      <w:pPr>
        <w:pStyle w:val="Heading1"/>
        <w:keepNext/>
        <w:spacing w:after="120" w:before="320"/>
      </w:pPr>
      <w:bookmarkStart w:name="sec30" w:id="30"/>
      <w:r>
        <w:rPr>
          <w:rFonts w:ascii="Calibri" w:cs="Calibri" w:eastAsia="Calibri" w:hAnsi="Calibri"/>
          <w:b/>
          <w:bCs/>
          <w:color w:val="1F3864"/>
          <w:sz w:val="30"/>
          <w:szCs w:val="30"/>
        </w:rPr>
        <w:t xml:space="preserve">13. Conclusions</w:t>
      </w:r>
      <w:bookmarkEnd w:id="30"/>
    </w:p>
    <w:p>
      <w:pPr>
        <w:pStyle w:val="ListParagraph"/>
        <w:numPr>
          <w:ilvl w:val="0"/>
          <w:numId w:val="6"/>
        </w:numPr>
        <w:spacing w:after="60"/>
      </w:pPr>
      <w:r>
        <w:rPr>
          <w:rFonts w:ascii="Calibri" w:cs="Calibri" w:eastAsia="Calibri" w:hAnsi="Calibri"/>
        </w:rPr>
        <w:t xml:space="preserve">Between 2004 and 2022 the seven holdings differed greatly: Apple, Amazon and Alphabet delivered the largest growth, IBM and Xerox did not beat the market.</w:t>
      </w:r>
    </w:p>
    <w:p>
      <w:pPr>
        <w:pStyle w:val="ListParagraph"/>
        <w:numPr>
          <w:ilvl w:val="0"/>
          <w:numId w:val="6"/>
        </w:numPr>
        <w:spacing w:after="60"/>
      </w:pPr>
      <w:r>
        <w:rPr>
          <w:rFonts w:ascii="Calibri" w:cs="Calibri" w:eastAsia="Calibri" w:hAnsi="Calibri"/>
        </w:rPr>
        <w:t xml:space="preserve">Higher growth came with higher volatility and deeper falls; no holding protected against market-wide declines.</w:t>
      </w:r>
    </w:p>
    <w:p>
      <w:pPr>
        <w:pStyle w:val="ListParagraph"/>
        <w:numPr>
          <w:ilvl w:val="0"/>
          <w:numId w:val="6"/>
        </w:numPr>
        <w:spacing w:after="60"/>
      </w:pPr>
      <w:r>
        <w:rPr>
          <w:rFonts w:ascii="Calibri" w:cs="Calibri" w:eastAsia="Calibri" w:hAnsi="Calibri"/>
        </w:rPr>
        <w:t xml:space="preserve">A diversified basket of all seven lowered volatility by about 31 % compared with the average single stock, yet still suffered a fall of nearly half its value.</w:t>
      </w:r>
    </w:p>
    <w:p>
      <w:pPr>
        <w:pStyle w:val="ListParagraph"/>
        <w:numPr>
          <w:ilvl w:val="0"/>
          <w:numId w:val="6"/>
        </w:numPr>
        <w:spacing w:after="60"/>
      </w:pPr>
      <w:r>
        <w:rPr>
          <w:rFonts w:ascii="Calibri" w:cs="Calibri" w:eastAsia="Calibri" w:hAnsi="Calibri"/>
        </w:rPr>
        <w:t xml:space="preserve">The most decision-relevant actions are position-size limits, stress-test reporting and a fundamentals review of the weakest holdings.</w:t>
      </w:r>
    </w:p>
    <w:p>
      <w:pPr>
        <w:pStyle w:val="Heading1"/>
        <w:keepNext/>
        <w:spacing w:after="120" w:before="320"/>
      </w:pPr>
      <w:bookmarkStart w:name="sec31" w:id="31"/>
      <w:r>
        <w:rPr>
          <w:rFonts w:ascii="Calibri" w:cs="Calibri" w:eastAsia="Calibri" w:hAnsi="Calibri"/>
          <w:b/>
          <w:bCs/>
          <w:color w:val="1F3864"/>
          <w:sz w:val="30"/>
          <w:szCs w:val="30"/>
        </w:rPr>
        <w:t xml:space="preserve">14. Limitations and future work</w:t>
      </w:r>
      <w:bookmarkEnd w:id="31"/>
    </w:p>
    <w:p>
      <w:pPr>
        <w:pStyle w:val="ListParagraph"/>
        <w:numPr>
          <w:ilvl w:val="0"/>
          <w:numId w:val="7"/>
        </w:numPr>
        <w:spacing w:after="80"/>
      </w:pPr>
      <w:r>
        <w:rPr>
          <w:rFonts w:ascii="Calibri" w:cs="Calibri" w:eastAsia="Calibri" w:hAnsi="Calibri"/>
          <w:b/>
          <w:bCs/>
        </w:rPr>
        <w:t xml:space="preserve">Only prices.</w:t>
      </w:r>
      <w:r>
        <w:rPr>
          <w:rFonts w:ascii="Calibri" w:cs="Calibri" w:eastAsia="Calibri" w:hAnsi="Calibri"/>
        </w:rPr>
        <w:t xml:space="preserve"> There is no revenue, profit, volume, dividend or company news, so causes cannot be identified and no profit-based KPIs are calculated.</w:t>
      </w:r>
    </w:p>
    <w:p>
      <w:pPr>
        <w:pStyle w:val="ListParagraph"/>
        <w:numPr>
          <w:ilvl w:val="0"/>
          <w:numId w:val="7"/>
        </w:numPr>
        <w:spacing w:after="80"/>
      </w:pPr>
      <w:r>
        <w:rPr>
          <w:rFonts w:ascii="Calibri" w:cs="Calibri" w:eastAsia="Calibri" w:hAnsi="Calibri"/>
          <w:b/>
          <w:bCs/>
        </w:rPr>
        <w:t xml:space="preserve">Survivorship and selection bias.</w:t>
      </w:r>
      <w:r>
        <w:rPr>
          <w:rFonts w:ascii="Calibri" w:cs="Calibri" w:eastAsia="Calibri" w:hAnsi="Calibri"/>
        </w:rPr>
        <w:t xml:space="preserve"> The companies are well-known firms that still exist; results are likely better than a random 1990 technology selection.</w:t>
      </w:r>
    </w:p>
    <w:p>
      <w:pPr>
        <w:pStyle w:val="ListParagraph"/>
        <w:numPr>
          <w:ilvl w:val="0"/>
          <w:numId w:val="7"/>
        </w:numPr>
        <w:spacing w:after="80"/>
      </w:pPr>
      <w:r>
        <w:rPr>
          <w:rFonts w:ascii="Calibri" w:cs="Calibri" w:eastAsia="Calibri" w:hAnsi="Calibri"/>
          <w:b/>
          <w:bCs/>
        </w:rPr>
        <w:t xml:space="preserve">Unclear adjustments.</w:t>
      </w:r>
      <w:r>
        <w:rPr>
          <w:rFonts w:ascii="Calibri" w:cs="Calibri" w:eastAsia="Calibri" w:hAnsi="Calibri"/>
        </w:rPr>
        <w:t xml:space="preserve"> The file does not state whether prices are adjusted for splits and dividends. Very low early prices (for example Apple at about 0.24 in 1990) suggest adjusted stock prices, while index levels are price-only, so stocks may have a small built-in advantage over the indices. Currency is assumed to be US dollars.</w:t>
      </w:r>
    </w:p>
    <w:p>
      <w:pPr>
        <w:pStyle w:val="ListParagraph"/>
        <w:numPr>
          <w:ilvl w:val="0"/>
          <w:numId w:val="7"/>
        </w:numPr>
        <w:spacing w:after="80"/>
      </w:pPr>
      <w:r>
        <w:rPr>
          <w:rFonts w:ascii="Calibri" w:cs="Calibri" w:eastAsia="Calibri" w:hAnsi="Calibri"/>
          <w:b/>
          <w:bCs/>
        </w:rPr>
        <w:t xml:space="preserve">Monthly data.</w:t>
      </w:r>
      <w:r>
        <w:rPr>
          <w:rFonts w:ascii="Calibri" w:cs="Calibri" w:eastAsia="Calibri" w:hAnsi="Calibri"/>
        </w:rPr>
        <w:t xml:space="preserve"> Daily prices would show deeper short-term falls and more extreme days.</w:t>
      </w:r>
    </w:p>
    <w:p>
      <w:pPr>
        <w:pStyle w:val="ListParagraph"/>
        <w:numPr>
          <w:ilvl w:val="0"/>
          <w:numId w:val="7"/>
        </w:numPr>
        <w:spacing w:after="80"/>
      </w:pPr>
      <w:r>
        <w:rPr>
          <w:rFonts w:ascii="Calibri" w:cs="Calibri" w:eastAsia="Calibri" w:hAnsi="Calibri"/>
          <w:b/>
          <w:bCs/>
        </w:rPr>
        <w:t xml:space="preserve">Partial final month.</w:t>
      </w:r>
      <w:r>
        <w:rPr>
          <w:rFonts w:ascii="Calibri" w:cs="Calibri" w:eastAsia="Calibri" w:hAnsi="Calibri"/>
        </w:rPr>
        <w:t xml:space="preserve"> The June 2022 value is as of 28 June 2022.</w:t>
      </w:r>
    </w:p>
    <w:p>
      <w:pPr>
        <w:pStyle w:val="ListParagraph"/>
        <w:numPr>
          <w:ilvl w:val="0"/>
          <w:numId w:val="7"/>
        </w:numPr>
        <w:spacing w:after="80"/>
      </w:pPr>
      <w:r>
        <w:rPr>
          <w:rFonts w:ascii="Calibri" w:cs="Calibri" w:eastAsia="Calibri" w:hAnsi="Calibri"/>
          <w:b/>
          <w:bCs/>
        </w:rPr>
        <w:t xml:space="preserve">Short and uneven histories.</w:t>
      </w:r>
      <w:r>
        <w:rPr>
          <w:rFonts w:ascii="Calibri" w:cs="Calibri" w:eastAsia="Calibri" w:hAnsi="Calibri"/>
        </w:rPr>
        <w:t xml:space="preserve"> Alphabet starts in 2004 and Dell in 2016; Dell is excluded from comparisons.</w:t>
      </w:r>
    </w:p>
    <w:p>
      <w:pPr>
        <w:pStyle w:val="ListParagraph"/>
        <w:numPr>
          <w:ilvl w:val="0"/>
          <w:numId w:val="7"/>
        </w:numPr>
        <w:spacing w:after="80"/>
      </w:pPr>
      <w:r>
        <w:rPr>
          <w:rFonts w:ascii="Calibri" w:cs="Calibri" w:eastAsia="Calibri" w:hAnsi="Calibri"/>
          <w:b/>
          <w:bCs/>
        </w:rPr>
        <w:t xml:space="preserve">Small samples.</w:t>
      </w:r>
      <w:r>
        <w:rPr>
          <w:rFonts w:ascii="Calibri" w:cs="Calibri" w:eastAsia="Calibri" w:hAnsi="Calibri"/>
        </w:rPr>
        <w:t xml:space="preserve"> Seven holdings and three stress windows; the statistical tests are descriptive.</w:t>
      </w:r>
    </w:p>
    <w:p>
      <w:pPr>
        <w:pStyle w:val="ListParagraph"/>
        <w:numPr>
          <w:ilvl w:val="0"/>
          <w:numId w:val="7"/>
        </w:numPr>
        <w:spacing w:after="80"/>
      </w:pPr>
      <w:r>
        <w:rPr>
          <w:rFonts w:ascii="Calibri" w:cs="Calibri" w:eastAsia="Calibri" w:hAnsi="Calibri"/>
          <w:b/>
          <w:bCs/>
        </w:rPr>
        <w:t xml:space="preserve">Association, not causation</w:t>
      </w:r>
      <w:r>
        <w:rPr>
          <w:rFonts w:ascii="Calibri" w:cs="Calibri" w:eastAsia="Calibri" w:hAnsi="Calibri"/>
        </w:rPr>
        <w:t xml:space="preserve">, and the analysis describes the past, not the future.</w:t>
      </w:r>
    </w:p>
    <w:p>
      <w:pPr>
        <w:pStyle w:val="ListParagraph"/>
        <w:numPr>
          <w:ilvl w:val="0"/>
          <w:numId w:val="7"/>
        </w:numPr>
        <w:spacing w:after="80"/>
      </w:pPr>
      <w:r>
        <w:rPr>
          <w:rFonts w:ascii="Calibri" w:cs="Calibri" w:eastAsia="Calibri" w:hAnsi="Calibri"/>
          <w:b/>
          <w:bCs/>
        </w:rPr>
        <w:t xml:space="preserve">Assumed stakeholders and organisation</w:t>
      </w:r>
      <w:r>
        <w:rPr>
          <w:rFonts w:ascii="Calibri" w:cs="Calibri" w:eastAsia="Calibri" w:hAnsi="Calibri"/>
        </w:rPr>
        <w:t xml:space="preserve">; the data are not from a real investment club.</w:t>
      </w:r>
    </w:p>
    <w:p>
      <w:pPr>
        <w:spacing w:after="120" w:line="276"/>
        <w:jc w:val="both"/>
      </w:pPr>
      <w:r>
        <w:rPr>
          <w:rFonts w:ascii="Calibri" w:cs="Calibri" w:eastAsia="Calibri" w:hAnsi="Calibri"/>
          <w:b/>
          <w:bCs/>
        </w:rPr>
        <w:t xml:space="preserve">Future work.</w:t>
      </w:r>
      <w:r>
        <w:rPr>
          <w:rFonts w:ascii="Calibri" w:cs="Calibri" w:eastAsia="Calibri" w:hAnsi="Calibri"/>
        </w:rPr>
        <w:t xml:space="preserve"> Daily data; dividends and fundamentals; more companies (including ones that were delisted); more stress windows; testing the recommendations by back-test.</w:t>
      </w:r>
    </w:p>
    <w:p>
      <w:pPr>
        <w:pStyle w:val="Heading1"/>
        <w:keepNext/>
        <w:spacing w:after="120" w:before="320"/>
      </w:pPr>
      <w:bookmarkStart w:name="sec32" w:id="32"/>
      <w:r>
        <w:rPr>
          <w:rFonts w:ascii="Calibri" w:cs="Calibri" w:eastAsia="Calibri" w:hAnsi="Calibri"/>
          <w:b/>
          <w:bCs/>
          <w:color w:val="1F3864"/>
          <w:sz w:val="30"/>
          <w:szCs w:val="30"/>
        </w:rPr>
        <w:t xml:space="preserve">15. References</w:t>
      </w:r>
      <w:bookmarkEnd w:id="32"/>
    </w:p>
    <w:p>
      <w:pPr>
        <w:pStyle w:val="ListParagraph"/>
        <w:numPr>
          <w:ilvl w:val="0"/>
          <w:numId w:val="8"/>
        </w:numPr>
        <w:spacing w:after="80"/>
      </w:pPr>
      <w:r>
        <w:rPr>
          <w:rFonts w:ascii="Calibri" w:cs="Calibri" w:eastAsia="Calibri" w:hAnsi="Calibri"/>
        </w:rPr>
        <w:t xml:space="preserve">Yahoo Finance. Historical price data. https://finance.yahoo.com (source named in </w:t>
      </w:r>
      <w:r>
        <w:rPr>
          <w:rFonts w:ascii="Consolas" w:cs="Consolas" w:eastAsia="Consolas" w:hAnsi="Consolas"/>
          <w:sz w:val="20"/>
          <w:szCs w:val="20"/>
        </w:rPr>
        <w:t xml:space="preserve">Stocks.csv</w:t>
      </w:r>
      <w:r>
        <w:rPr>
          <w:rFonts w:ascii="Calibri" w:cs="Calibri" w:eastAsia="Calibri" w:hAnsi="Calibri"/>
        </w:rPr>
        <w:t xml:space="preserve">).</w:t>
      </w:r>
    </w:p>
    <w:p>
      <w:pPr>
        <w:pStyle w:val="ListParagraph"/>
        <w:numPr>
          <w:ilvl w:val="0"/>
          <w:numId w:val="8"/>
        </w:numPr>
        <w:spacing w:after="80"/>
      </w:pPr>
      <w:r>
        <w:rPr>
          <w:rFonts w:ascii="Calibri" w:cs="Calibri" w:eastAsia="Calibri" w:hAnsi="Calibri"/>
        </w:rPr>
        <w:t xml:space="preserve">Matplotlib development team. </w:t>
      </w:r>
      <w:r>
        <w:rPr>
          <w:rFonts w:ascii="Consolas" w:cs="Consolas" w:eastAsia="Consolas" w:hAnsi="Consolas"/>
          <w:sz w:val="20"/>
          <w:szCs w:val="20"/>
        </w:rPr>
        <w:t xml:space="preserve">matplotlib.cbook.get_sample_data</w:t>
      </w:r>
      <w:r>
        <w:rPr>
          <w:rFonts w:ascii="Calibri" w:cs="Calibri" w:eastAsia="Calibri" w:hAnsi="Calibri"/>
        </w:rPr>
        <w:t xml:space="preserve"> and the </w:t>
      </w:r>
      <w:r>
        <w:rPr>
          <w:rFonts w:ascii="Consolas" w:cs="Consolas" w:eastAsia="Consolas" w:hAnsi="Consolas"/>
          <w:sz w:val="20"/>
          <w:szCs w:val="20"/>
        </w:rPr>
        <w:t xml:space="preserve">sample_data</w:t>
      </w:r>
      <w:r>
        <w:rPr>
          <w:rFonts w:ascii="Calibri" w:cs="Calibri" w:eastAsia="Calibri" w:hAnsi="Calibri"/>
        </w:rPr>
        <w:t xml:space="preserve"> folder, https://matplotlib.org.</w:t>
      </w:r>
    </w:p>
    <w:p>
      <w:pPr>
        <w:pStyle w:val="ListParagraph"/>
        <w:numPr>
          <w:ilvl w:val="0"/>
          <w:numId w:val="8"/>
        </w:numPr>
        <w:spacing w:after="80"/>
      </w:pPr>
      <w:r>
        <w:rPr>
          <w:rFonts w:ascii="Calibri" w:cs="Calibri" w:eastAsia="Calibri" w:hAnsi="Calibri"/>
        </w:rPr>
        <w:t xml:space="preserve">McKinney, W. (2010). Data structures for statistical computing in Python. </w:t>
      </w:r>
      <w:r>
        <w:rPr>
          <w:rFonts w:ascii="Calibri" w:cs="Calibri" w:eastAsia="Calibri" w:hAnsi="Calibri"/>
          <w:i/>
          <w:iCs/>
        </w:rPr>
        <w:t xml:space="preserve">Proceedings of the 9th Python in Science Conference</w:t>
      </w:r>
      <w:r>
        <w:rPr>
          <w:rFonts w:ascii="Calibri" w:cs="Calibri" w:eastAsia="Calibri" w:hAnsi="Calibri"/>
        </w:rPr>
        <w:t xml:space="preserve">.</w:t>
      </w:r>
    </w:p>
    <w:p>
      <w:pPr>
        <w:pStyle w:val="ListParagraph"/>
        <w:numPr>
          <w:ilvl w:val="0"/>
          <w:numId w:val="8"/>
        </w:numPr>
        <w:spacing w:after="80"/>
      </w:pPr>
      <w:r>
        <w:rPr>
          <w:rFonts w:ascii="Calibri" w:cs="Calibri" w:eastAsia="Calibri" w:hAnsi="Calibri"/>
        </w:rPr>
        <w:t xml:space="preserve">Harris, C. R., et al. (2020). Array programming with NumPy. </w:t>
      </w:r>
      <w:r>
        <w:rPr>
          <w:rFonts w:ascii="Calibri" w:cs="Calibri" w:eastAsia="Calibri" w:hAnsi="Calibri"/>
          <w:i/>
          <w:iCs/>
        </w:rPr>
        <w:t xml:space="preserve">Nature</w:t>
      </w:r>
      <w:r>
        <w:rPr>
          <w:rFonts w:ascii="Calibri" w:cs="Calibri" w:eastAsia="Calibri" w:hAnsi="Calibri"/>
        </w:rPr>
        <w:t xml:space="preserve">, 585, 357–362.</w:t>
      </w:r>
    </w:p>
    <w:p>
      <w:pPr>
        <w:pStyle w:val="ListParagraph"/>
        <w:numPr>
          <w:ilvl w:val="0"/>
          <w:numId w:val="8"/>
        </w:numPr>
        <w:spacing w:after="80"/>
      </w:pPr>
      <w:r>
        <w:rPr>
          <w:rFonts w:ascii="Calibri" w:cs="Calibri" w:eastAsia="Calibri" w:hAnsi="Calibri"/>
        </w:rPr>
        <w:t xml:space="preserve">Virtanen, P., et al. (2020). SciPy 1.0: fundamental algorithms for scientific computing in Python. </w:t>
      </w:r>
      <w:r>
        <w:rPr>
          <w:rFonts w:ascii="Calibri" w:cs="Calibri" w:eastAsia="Calibri" w:hAnsi="Calibri"/>
          <w:i/>
          <w:iCs/>
        </w:rPr>
        <w:t xml:space="preserve">Nature Methods</w:t>
      </w:r>
      <w:r>
        <w:rPr>
          <w:rFonts w:ascii="Calibri" w:cs="Calibri" w:eastAsia="Calibri" w:hAnsi="Calibri"/>
        </w:rPr>
        <w:t xml:space="preserve">, 17, 261–272.</w:t>
      </w:r>
    </w:p>
    <w:p>
      <w:pPr>
        <w:pStyle w:val="ListParagraph"/>
        <w:numPr>
          <w:ilvl w:val="0"/>
          <w:numId w:val="8"/>
        </w:numPr>
        <w:spacing w:after="80"/>
      </w:pPr>
      <w:r>
        <w:rPr>
          <w:rFonts w:ascii="Calibri" w:cs="Calibri" w:eastAsia="Calibri" w:hAnsi="Calibri"/>
        </w:rPr>
        <w:t xml:space="preserve">Hunter, J. D. (2007). Matplotlib: A 2D graphics environment. </w:t>
      </w:r>
      <w:r>
        <w:rPr>
          <w:rFonts w:ascii="Calibri" w:cs="Calibri" w:eastAsia="Calibri" w:hAnsi="Calibri"/>
          <w:i/>
          <w:iCs/>
        </w:rPr>
        <w:t xml:space="preserve">Computing in Science &amp; Engineering</w:t>
      </w:r>
      <w:r>
        <w:rPr>
          <w:rFonts w:ascii="Calibri" w:cs="Calibri" w:eastAsia="Calibri" w:hAnsi="Calibri"/>
        </w:rPr>
        <w:t xml:space="preserve">, 9(3), 90–95.</w:t>
      </w:r>
    </w:p>
    <w:p>
      <w:pPr>
        <w:pStyle w:val="ListParagraph"/>
        <w:numPr>
          <w:ilvl w:val="0"/>
          <w:numId w:val="8"/>
        </w:numPr>
        <w:spacing w:after="80"/>
      </w:pPr>
      <w:r>
        <w:rPr>
          <w:rFonts w:ascii="Calibri" w:cs="Calibri" w:eastAsia="Calibri" w:hAnsi="Calibri"/>
        </w:rPr>
        <w:t xml:space="preserve">Waskom, M. L. (2021). seaborn: statistical data visualization. </w:t>
      </w:r>
      <w:r>
        <w:rPr>
          <w:rFonts w:ascii="Calibri" w:cs="Calibri" w:eastAsia="Calibri" w:hAnsi="Calibri"/>
          <w:i/>
          <w:iCs/>
        </w:rPr>
        <w:t xml:space="preserve">Journal of Open Source Software</w:t>
      </w:r>
      <w:r>
        <w:rPr>
          <w:rFonts w:ascii="Calibri" w:cs="Calibri" w:eastAsia="Calibri" w:hAnsi="Calibri"/>
        </w:rPr>
        <w:t xml:space="preserve">, 6(60), 3021.</w:t>
      </w:r>
    </w:p>
    <w:p>
      <w:pPr>
        <w:pStyle w:val="Heading1"/>
        <w:keepNext/>
        <w:spacing w:after="120" w:before="320"/>
      </w:pPr>
      <w:bookmarkStart w:name="sec33" w:id="33"/>
      <w:r>
        <w:rPr>
          <w:rFonts w:ascii="Calibri" w:cs="Calibri" w:eastAsia="Calibri" w:hAnsi="Calibri"/>
          <w:b/>
          <w:bCs/>
          <w:color w:val="1F3864"/>
          <w:sz w:val="30"/>
          <w:szCs w:val="30"/>
        </w:rPr>
        <w:t xml:space="preserve">Appendix A. Objective-to-evidence matrix</w:t>
      </w:r>
      <w:bookmarkEnd w:id="3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95"/>
        <w:gridCol w:w="2276"/>
        <w:gridCol w:w="2276"/>
        <w:gridCol w:w="2279"/>
      </w:tblGrid>
      <w:tr>
        <w:trPr>
          <w:cantSplit/>
        </w:trPr>
        <w:tc>
          <w:tcPr>
            <w:tcW w:type="dxa" w:w="2195"/>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Official objective</w:t>
            </w:r>
          </w:p>
        </w:tc>
        <w:tc>
          <w:tcPr>
            <w:tcW w:type="dxa" w:w="2276"/>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Evidence</w:t>
            </w:r>
          </w:p>
        </w:tc>
        <w:tc>
          <w:tcPr>
            <w:tcW w:type="dxa" w:w="2276"/>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Where</w:t>
            </w:r>
          </w:p>
        </w:tc>
        <w:tc>
          <w:tcPr>
            <w:tcW w:type="dxa" w:w="2279"/>
            <w:tcBorders>
              <w:top w:val="single" w:color="999999" w:sz="4"/>
              <w:left w:val="single" w:color="999999" w:sz="4"/>
              <w:bottom w:val="single" w:color="999999" w:sz="4"/>
              <w:right w:val="single" w:color="999999" w:sz="4"/>
            </w:tcBorders>
            <w:shd w:fill="E7EEF7" w:color="auto" w:val="clear"/>
            <w:tcMar>
              <w:top w:type="dxa" w:w="50"/>
              <w:left w:type="dxa" w:w="70"/>
              <w:bottom w:type="dxa" w:w="50"/>
              <w:right w:type="dxa" w:w="70"/>
            </w:tcMar>
          </w:tcPr>
          <w:p>
            <w:r>
              <w:rPr>
                <w:rFonts w:ascii="Calibri" w:cs="Calibri" w:eastAsia="Calibri" w:hAnsi="Calibri"/>
                <w:b/>
                <w:bCs/>
                <w:sz w:val="18"/>
                <w:szCs w:val="18"/>
              </w:rPr>
              <w:t xml:space="preserve">Verified</w:t>
            </w:r>
          </w:p>
        </w:tc>
      </w:tr>
      <w:tr>
        <w:trPr>
          <w:cantSplit/>
        </w:trPr>
        <w:tc>
          <w:tcPr>
            <w:tcW w:type="dxa" w:w="219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1. Define business objectives</w:t>
            </w:r>
          </w:p>
        </w:tc>
        <w:tc>
          <w:tcPr>
            <w:tcW w:type="dxa" w:w="227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Business background, problem statement, objectives, assumed stakeholders, eight questions, question → metric → chart → decision mapping</w:t>
            </w:r>
          </w:p>
        </w:tc>
        <w:tc>
          <w:tcPr>
            <w:tcW w:type="dxa" w:w="227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Sections 2 and 3; notebook Section 2</w:t>
            </w:r>
          </w:p>
        </w:tc>
        <w:tc>
          <w:tcPr>
            <w:tcW w:type="dxa" w:w="227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Yes: content checked against the questions answered in Section 9</w:t>
            </w:r>
          </w:p>
        </w:tc>
      </w:tr>
      <w:tr>
        <w:trPr>
          <w:cantSplit/>
        </w:trPr>
        <w:tc>
          <w:tcPr>
            <w:tcW w:type="dxa" w:w="219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2. Analyse data and identify findings</w:t>
            </w:r>
          </w:p>
        </w:tc>
        <w:tc>
          <w:tcPr>
            <w:tcW w:type="dxa" w:w="227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Data-quality checks, cleaning, 8 KPIs, eight analyses, eight findings</w:t>
            </w:r>
          </w:p>
        </w:tc>
        <w:tc>
          <w:tcPr>
            <w:tcW w:type="dxa" w:w="227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Sections 6 – 10; notebook Sections 6 – 10</w:t>
            </w:r>
          </w:p>
        </w:tc>
        <w:tc>
          <w:tcPr>
            <w:tcW w:type="dxa" w:w="227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Yes: notebook executed without errors; 139 quoted numbers re-calculated by code</w:t>
            </w:r>
          </w:p>
        </w:tc>
      </w:tr>
      <w:tr>
        <w:trPr>
          <w:cantSplit/>
        </w:trPr>
        <w:tc>
          <w:tcPr>
            <w:tcW w:type="dxa" w:w="219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3. Create meaningful visualisations</w:t>
            </w:r>
          </w:p>
        </w:tc>
        <w:tc>
          <w:tcPr>
            <w:tcW w:type="dxa" w:w="227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12 charts and supporting tables generated from the data</w:t>
            </w:r>
          </w:p>
        </w:tc>
        <w:tc>
          <w:tcPr>
            <w:tcW w:type="dxa" w:w="227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Section 9; </w:t>
            </w:r>
            <w:r>
              <w:rPr>
                <w:rFonts w:ascii="Consolas" w:cs="Consolas" w:eastAsia="Consolas" w:hAnsi="Consolas"/>
                <w:b w:val="false"/>
                <w:bCs w:val="false"/>
                <w:sz w:val="16"/>
                <w:szCs w:val="16"/>
              </w:rPr>
              <w:t xml:space="preserve">reports/figures/</w:t>
            </w:r>
          </w:p>
        </w:tc>
        <w:tc>
          <w:tcPr>
            <w:tcW w:type="dxa" w:w="227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Yes: all 12 files exist and were viewed</w:t>
            </w:r>
          </w:p>
        </w:tc>
      </w:tr>
      <w:tr>
        <w:trPr>
          <w:cantSplit/>
        </w:trPr>
        <w:tc>
          <w:tcPr>
            <w:tcW w:type="dxa" w:w="219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4. Generate business insights</w:t>
            </w:r>
          </w:p>
        </w:tc>
        <w:tc>
          <w:tcPr>
            <w:tcW w:type="dxa" w:w="227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Findings table with interpretation, impact and limitations; insights table separating facts, interpretations and hypotheses</w:t>
            </w:r>
          </w:p>
        </w:tc>
        <w:tc>
          <w:tcPr>
            <w:tcW w:type="dxa" w:w="227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Sections 10 and 11; </w:t>
            </w:r>
            <w:r>
              <w:rPr>
                <w:rFonts w:ascii="Consolas" w:cs="Consolas" w:eastAsia="Consolas" w:hAnsi="Consolas"/>
                <w:b w:val="false"/>
                <w:bCs w:val="false"/>
                <w:sz w:val="16"/>
                <w:szCs w:val="16"/>
              </w:rPr>
              <w:t xml:space="preserve">reports/business_insights.md</w:t>
            </w:r>
          </w:p>
        </w:tc>
        <w:tc>
          <w:tcPr>
            <w:tcW w:type="dxa" w:w="227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Yes</w:t>
            </w:r>
          </w:p>
        </w:tc>
      </w:tr>
      <w:tr>
        <w:trPr>
          <w:cantSplit/>
        </w:trPr>
        <w:tc>
          <w:tcPr>
            <w:tcW w:type="dxa" w:w="219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5. Prepare an executive summary</w:t>
            </w:r>
          </w:p>
        </w:tc>
        <w:tc>
          <w:tcPr>
            <w:tcW w:type="dxa" w:w="227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One-page summary written after the analysis</w:t>
            </w:r>
          </w:p>
        </w:tc>
        <w:tc>
          <w:tcPr>
            <w:tcW w:type="dxa" w:w="227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Section 1; </w:t>
            </w:r>
            <w:r>
              <w:rPr>
                <w:rFonts w:ascii="Consolas" w:cs="Consolas" w:eastAsia="Consolas" w:hAnsi="Consolas"/>
                <w:b w:val="false"/>
                <w:bCs w:val="false"/>
                <w:sz w:val="16"/>
                <w:szCs w:val="16"/>
              </w:rPr>
              <w:t xml:space="preserve">reports/executive_summary.md</w:t>
            </w:r>
          </w:p>
        </w:tc>
        <w:tc>
          <w:tcPr>
            <w:tcW w:type="dxa" w:w="227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Yes: numbers match the notebook</w:t>
            </w:r>
          </w:p>
        </w:tc>
      </w:tr>
      <w:tr>
        <w:trPr>
          <w:cantSplit/>
        </w:trPr>
        <w:tc>
          <w:tcPr>
            <w:tcW w:type="dxa" w:w="2195"/>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6. Provide actionable recommendations</w:t>
            </w:r>
          </w:p>
        </w:tc>
        <w:tc>
          <w:tcPr>
            <w:tcW w:type="dxa" w:w="227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Six prioritised recommendations with owner, KPI, time horizon, validation plan and risks</w:t>
            </w:r>
          </w:p>
        </w:tc>
        <w:tc>
          <w:tcPr>
            <w:tcW w:type="dxa" w:w="2276"/>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Section 12; </w:t>
            </w:r>
            <w:r>
              <w:rPr>
                <w:rFonts w:ascii="Consolas" w:cs="Consolas" w:eastAsia="Consolas" w:hAnsi="Consolas"/>
                <w:b w:val="false"/>
                <w:bCs w:val="false"/>
                <w:sz w:val="16"/>
                <w:szCs w:val="16"/>
              </w:rPr>
              <w:t xml:space="preserve">reports/business_insights.md</w:t>
            </w:r>
          </w:p>
        </w:tc>
        <w:tc>
          <w:tcPr>
            <w:tcW w:type="dxa" w:w="2279"/>
            <w:tcBorders>
              <w:top w:val="single" w:color="999999" w:sz="4"/>
              <w:left w:val="single" w:color="999999" w:sz="4"/>
              <w:bottom w:val="single" w:color="999999" w:sz="4"/>
              <w:right w:val="single" w:color="999999" w:sz="4"/>
            </w:tcBorders>
            <w:tcMar>
              <w:top w:type="dxa" w:w="50"/>
              <w:left w:type="dxa" w:w="70"/>
              <w:bottom w:type="dxa" w:w="50"/>
              <w:right w:type="dxa" w:w="70"/>
            </w:tcMar>
          </w:tcPr>
          <w:p>
            <w:r>
              <w:rPr>
                <w:rFonts w:ascii="Calibri" w:cs="Calibri" w:eastAsia="Calibri" w:hAnsi="Calibri"/>
                <w:b w:val="false"/>
                <w:bCs w:val="false"/>
                <w:sz w:val="18"/>
                <w:szCs w:val="18"/>
              </w:rPr>
              <w:t xml:space="preserve">Yes: each is linked to findings F1 – F8</w:t>
            </w:r>
          </w:p>
        </w:tc>
      </w:tr>
    </w:tbl>
    <w:p>
      <w:pPr>
        <w:spacing w:after="120"/>
      </w:pPr>
    </w:p>
    <w:sectPr>
      <w:headerReference w:type="default" r:id="rId18"/>
      <w:footerReference w:type="default" r:id="rId19"/>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496" w:sz="6" w:space="4"/>
      </w:pBdr>
      <w:tabs>
        <w:tab w:val="right" w:pos="9026"/>
      </w:tabs>
    </w:pPr>
    <w:r>
      <w:rPr>
        <w:rFonts w:ascii="Calibri" w:cs="Calibri" w:eastAsia="Calibri" w:hAnsi="Calibri"/>
        <w:b/>
        <w:bCs/>
        <w:color w:val="595959"/>
        <w:sz w:val="17"/>
        <w:szCs w:val="17"/>
      </w:rPr>
      <w:t xml:space="preserve">Analytics Report &amp; Insights Documentation</w:t>
    </w:r>
    <w:r>
      <w:rPr>
        <w:rFonts w:ascii="Calibri" w:cs="Calibri" w:eastAsia="Calibri" w:hAnsi="Calibri"/>
        <w:color w:val="7F7F7F"/>
        <w:sz w:val="17"/>
        <w:szCs w:val="17"/>
      </w:rPr>
      <w:t xml:space="preserve">	Internship Project Submission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496" w:sz="6" w:space="4"/>
      </w:pBdr>
      <w:tabs>
        <w:tab w:val="right" w:pos="13958"/>
      </w:tabs>
    </w:pPr>
    <w:r>
      <w:rPr>
        <w:rFonts w:ascii="Calibri" w:cs="Calibri" w:eastAsia="Calibri" w:hAnsi="Calibri"/>
        <w:b/>
        <w:bCs/>
        <w:color w:val="595959"/>
        <w:sz w:val="17"/>
        <w:szCs w:val="17"/>
      </w:rPr>
      <w:t xml:space="preserve">Analytics Report &amp; Insights Documentation</w:t>
    </w:r>
    <w:r>
      <w:rPr>
        <w:rFonts w:ascii="Calibri" w:cs="Calibri" w:eastAsia="Calibri" w:hAnsi="Calibri"/>
        <w:color w:val="7F7F7F"/>
        <w:sz w:val="17"/>
        <w:szCs w:val="17"/>
      </w:rPr>
      <w:t xml:space="preserve">	Internship Project Submission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496" w:sz="6" w:space="4"/>
      </w:pBdr>
      <w:tabs>
        <w:tab w:val="right" w:pos="9026"/>
      </w:tabs>
    </w:pPr>
    <w:r>
      <w:rPr>
        <w:rFonts w:ascii="Calibri" w:cs="Calibri" w:eastAsia="Calibri" w:hAnsi="Calibri"/>
        <w:b/>
        <w:bCs/>
        <w:color w:val="595959"/>
        <w:sz w:val="17"/>
        <w:szCs w:val="17"/>
      </w:rPr>
      <w:t xml:space="preserve">Analytics Report &amp; Insights Documentation</w:t>
    </w:r>
    <w:r>
      <w:rPr>
        <w:rFonts w:ascii="Calibri" w:cs="Calibri" w:eastAsia="Calibri" w:hAnsi="Calibri"/>
        <w:color w:val="7F7F7F"/>
        <w:sz w:val="17"/>
        <w:szCs w:val="17"/>
      </w:rPr>
      <w:t xml:space="preserve">	Internship Project Submission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496" w:sz="6" w:space="4"/>
      </w:pBdr>
      <w:tabs>
        <w:tab w:val="right" w:pos="13958"/>
      </w:tabs>
    </w:pPr>
    <w:r>
      <w:rPr>
        <w:rFonts w:ascii="Calibri" w:cs="Calibri" w:eastAsia="Calibri" w:hAnsi="Calibri"/>
        <w:b/>
        <w:bCs/>
        <w:color w:val="595959"/>
        <w:sz w:val="17"/>
        <w:szCs w:val="17"/>
      </w:rPr>
      <w:t xml:space="preserve">Analytics Report &amp; Insights Documentation</w:t>
    </w:r>
    <w:r>
      <w:rPr>
        <w:rFonts w:ascii="Calibri" w:cs="Calibri" w:eastAsia="Calibri" w:hAnsi="Calibri"/>
        <w:color w:val="7F7F7F"/>
        <w:sz w:val="17"/>
        <w:szCs w:val="17"/>
      </w:rPr>
      <w:t xml:space="preserve">	Internship Project Submission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496" w:sz="6" w:space="4"/>
      </w:pBdr>
      <w:tabs>
        <w:tab w:val="right" w:pos="9026"/>
      </w:tabs>
    </w:pPr>
    <w:r>
      <w:rPr>
        <w:rFonts w:ascii="Calibri" w:cs="Calibri" w:eastAsia="Calibri" w:hAnsi="Calibri"/>
        <w:b/>
        <w:bCs/>
        <w:color w:val="595959"/>
        <w:sz w:val="17"/>
        <w:szCs w:val="17"/>
      </w:rPr>
      <w:t xml:space="preserve">Analytics Report &amp; Insights Documentation</w:t>
    </w:r>
    <w:r>
      <w:rPr>
        <w:rFonts w:ascii="Calibri" w:cs="Calibri" w:eastAsia="Calibri" w:hAnsi="Calibri"/>
        <w:color w:val="7F7F7F"/>
        <w:sz w:val="17"/>
        <w:szCs w:val="17"/>
      </w:rPr>
      <w:t xml:space="preserve">	Internship Project Submission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496" w:sz="6" w:space="4"/>
      </w:pBdr>
      <w:tabs>
        <w:tab w:val="right" w:pos="13958"/>
      </w:tabs>
    </w:pPr>
    <w:r>
      <w:rPr>
        <w:rFonts w:ascii="Calibri" w:cs="Calibri" w:eastAsia="Calibri" w:hAnsi="Calibri"/>
        <w:b/>
        <w:bCs/>
        <w:color w:val="595959"/>
        <w:sz w:val="17"/>
        <w:szCs w:val="17"/>
      </w:rPr>
      <w:t xml:space="preserve">Analytics Report &amp; Insights Documentation</w:t>
    </w:r>
    <w:r>
      <w:rPr>
        <w:rFonts w:ascii="Calibri" w:cs="Calibri" w:eastAsia="Calibri" w:hAnsi="Calibri"/>
        <w:color w:val="7F7F7F"/>
        <w:sz w:val="17"/>
        <w:szCs w:val="17"/>
      </w:rPr>
      <w:t xml:space="preserve">	Internship Project Submission</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496" w:sz="6" w:space="4"/>
      </w:pBdr>
      <w:tabs>
        <w:tab w:val="right" w:pos="9026"/>
      </w:tabs>
    </w:pPr>
    <w:r>
      <w:rPr>
        <w:rFonts w:ascii="Calibri" w:cs="Calibri" w:eastAsia="Calibri" w:hAnsi="Calibri"/>
        <w:b/>
        <w:bCs/>
        <w:color w:val="595959"/>
        <w:sz w:val="17"/>
        <w:szCs w:val="17"/>
      </w:rPr>
      <w:t xml:space="preserve">Analytics Report &amp; Insights Documentation</w:t>
    </w:r>
    <w:r>
      <w:rPr>
        <w:rFonts w:ascii="Calibri" w:cs="Calibri" w:eastAsia="Calibri" w:hAnsi="Calibri"/>
        <w:color w:val="7F7F7F"/>
        <w:sz w:val="17"/>
        <w:szCs w:val="17"/>
      </w:rPr>
      <w:t xml:space="preserve">	Internship Project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theme" Target="theme/theme1.xml"/><Relationship Id="rId21" Type="http://schemas.openxmlformats.org/officeDocument/2006/relationships/image" Target="media/3a3e85f40b7d7a4cee4b97d38242fd4fee57ab02.png"/><Relationship Id="rId22" Type="http://schemas.openxmlformats.org/officeDocument/2006/relationships/image" Target="media/f47d174d44e7aa29eed5c2ee4b4dd40df4427755.png"/><Relationship Id="rId23" Type="http://schemas.openxmlformats.org/officeDocument/2006/relationships/image" Target="media/9b9ae27f72cb88ae5be8b1b56d636fea3f90f454.png"/><Relationship Id="rId24" Type="http://schemas.openxmlformats.org/officeDocument/2006/relationships/image" Target="media/d214880a3e5cf9755a61335771185ca8a9ad72ce.png"/><Relationship Id="rId25" Type="http://schemas.openxmlformats.org/officeDocument/2006/relationships/image" Target="media/755dae43aeba25917d53577657f39a868fc86ae2.png"/><Relationship Id="rId26" Type="http://schemas.openxmlformats.org/officeDocument/2006/relationships/image" Target="media/ed7f128f055473e5184f0956f37821ec43e3af30.png"/><Relationship Id="rId27" Type="http://schemas.openxmlformats.org/officeDocument/2006/relationships/image" Target="media/3af2d8f40e11cefb109843fc2edb201e23ff9eff.png"/><Relationship Id="rId28" Type="http://schemas.openxmlformats.org/officeDocument/2006/relationships/image" Target="media/1502b2a73354c2d16e71ca51f2193a5a35b5a8bc.png"/><Relationship Id="rId29" Type="http://schemas.openxmlformats.org/officeDocument/2006/relationships/image" Target="media/1044ea5b9dba5eaf0337d86b282d5c566237f15b.png"/><Relationship Id="rId30" Type="http://schemas.openxmlformats.org/officeDocument/2006/relationships/image" Target="media/c5480a2e210ccf3456d39b2bc70bf61e895bdc8b.png"/><Relationship Id="rId31" Type="http://schemas.openxmlformats.org/officeDocument/2006/relationships/image" Target="media/8dcf953430a5a858ad16007394231d4d5ba3f89a.png"/><Relationship Id="rId32" Type="http://schemas.openxmlformats.org/officeDocument/2006/relationships/image" Target="media/cdcf4f92aeff96d9f0620a96fe1f54692cc07cb1.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Analytics Report and Insights Documentation - Final Report</dc:title>
  <dc:creator>Lokesh Patwal</dc:creator>
  <cp:lastModifiedBy>Un-named</cp:lastModifiedBy>
  <cp:revision>1</cp:revision>
  <dcterms:created xsi:type="dcterms:W3CDTF">2026-10-28T06:36:23.417Z</dcterms:created>
  <dcterms:modified xsi:type="dcterms:W3CDTF">2026-10-28T06:36:23.417Z</dcterms:modified>
</cp:coreProperties>
</file>

<file path=docProps/custom.xml><?xml version="1.0" encoding="utf-8"?>
<Properties xmlns="http://schemas.openxmlformats.org/officeDocument/2006/custom-properties" xmlns:vt="http://schemas.openxmlformats.org/officeDocument/2006/docPropsVTypes"/>
</file>