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5C634" w14:textId="77777777" w:rsidR="00F9755A" w:rsidRDefault="00000000">
      <w:pPr>
        <w:rPr>
          <w:rFonts w:ascii="Cambria" w:eastAsia="Cambria" w:hAnsi="Cambria" w:cs="Cambria"/>
          <w:b/>
          <w:sz w:val="32"/>
          <w:szCs w:val="32"/>
          <w:highlight w:val="white"/>
        </w:rPr>
      </w:pPr>
      <w:r>
        <w:rPr>
          <w:rFonts w:ascii="Cambria" w:eastAsia="Cambria" w:hAnsi="Cambria" w:cs="Cambria"/>
          <w:b/>
          <w:color w:val="000000"/>
          <w:sz w:val="32"/>
          <w:szCs w:val="32"/>
          <w:highlight w:val="white"/>
        </w:rPr>
        <w:t xml:space="preserve">                                      Dashboard Design</w:t>
      </w:r>
    </w:p>
    <w:p w14:paraId="231173F0" w14:textId="77777777" w:rsidR="00F9755A" w:rsidRDefault="00F9755A">
      <w:pPr>
        <w:widowControl w:val="0"/>
        <w:spacing w:before="39" w:after="0" w:line="240" w:lineRule="auto"/>
        <w:ind w:left="2701"/>
        <w:rPr>
          <w:b/>
          <w:sz w:val="28"/>
          <w:szCs w:val="28"/>
        </w:rPr>
      </w:pPr>
    </w:p>
    <w:tbl>
      <w:tblPr>
        <w:tblStyle w:val="a"/>
        <w:tblW w:w="90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7"/>
        <w:gridCol w:w="4511"/>
      </w:tblGrid>
      <w:tr w:rsidR="00F9755A" w14:paraId="28C36E11" w14:textId="77777777">
        <w:trPr>
          <w:trHeight w:val="278"/>
        </w:trPr>
        <w:tc>
          <w:tcPr>
            <w:tcW w:w="4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76C1" w14:textId="77777777" w:rsidR="00F9755A" w:rsidRDefault="00000000">
            <w:pPr>
              <w:widowControl w:val="0"/>
              <w:spacing w:after="0" w:line="240" w:lineRule="auto"/>
              <w:ind w:left="131"/>
            </w:pPr>
            <w:r>
              <w:t xml:space="preserve">Date </w:t>
            </w:r>
          </w:p>
        </w:tc>
        <w:tc>
          <w:tcPr>
            <w:tcW w:w="4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CFA2" w14:textId="5FF83897" w:rsidR="00F9755A" w:rsidRDefault="00095B97">
            <w:pPr>
              <w:widowControl w:val="0"/>
              <w:spacing w:after="0" w:line="240" w:lineRule="auto"/>
              <w:ind w:left="131"/>
            </w:pPr>
            <w:r>
              <w:t>01 October 2025</w:t>
            </w:r>
          </w:p>
        </w:tc>
      </w:tr>
      <w:tr w:rsidR="00F9755A" w14:paraId="7977D778" w14:textId="77777777">
        <w:trPr>
          <w:trHeight w:val="278"/>
        </w:trPr>
        <w:tc>
          <w:tcPr>
            <w:tcW w:w="4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25186" w14:textId="77777777" w:rsidR="00F9755A" w:rsidRDefault="00000000">
            <w:pPr>
              <w:widowControl w:val="0"/>
              <w:spacing w:after="0" w:line="240" w:lineRule="auto"/>
              <w:ind w:left="114"/>
            </w:pPr>
            <w:r>
              <w:t xml:space="preserve">Team ID </w:t>
            </w:r>
          </w:p>
        </w:tc>
        <w:tc>
          <w:tcPr>
            <w:tcW w:w="4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693C" w14:textId="600818EB" w:rsidR="00F9755A" w:rsidRDefault="00150143">
            <w:pPr>
              <w:widowControl w:val="0"/>
              <w:spacing w:after="0" w:line="240" w:lineRule="auto"/>
              <w:ind w:left="131"/>
            </w:pPr>
            <w:r w:rsidRPr="00150143">
              <w:rPr>
                <w:lang w:val="en-US"/>
              </w:rPr>
              <w:t>SWUID20250181698</w:t>
            </w:r>
          </w:p>
        </w:tc>
      </w:tr>
      <w:tr w:rsidR="00F9755A" w14:paraId="6D67DDF3" w14:textId="77777777">
        <w:trPr>
          <w:trHeight w:val="278"/>
        </w:trPr>
        <w:tc>
          <w:tcPr>
            <w:tcW w:w="4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20B09" w14:textId="77777777" w:rsidR="00F9755A" w:rsidRDefault="00000000">
            <w:pPr>
              <w:widowControl w:val="0"/>
              <w:spacing w:after="0" w:line="240" w:lineRule="auto"/>
              <w:ind w:left="131"/>
            </w:pPr>
            <w:r>
              <w:t xml:space="preserve">Project Name </w:t>
            </w:r>
          </w:p>
        </w:tc>
        <w:tc>
          <w:tcPr>
            <w:tcW w:w="4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163C" w14:textId="65F01547" w:rsidR="00F9755A" w:rsidRDefault="00095B97" w:rsidP="00095B97">
            <w:pPr>
              <w:widowControl w:val="0"/>
              <w:spacing w:after="0" w:line="240" w:lineRule="auto"/>
            </w:pPr>
            <w:r w:rsidRPr="00095B97">
              <w:t>Global Inflation Dynamics (1980-2024): A Comparative Time-Series Analysis</w:t>
            </w:r>
          </w:p>
        </w:tc>
      </w:tr>
      <w:tr w:rsidR="00F9755A" w14:paraId="3F8E6629" w14:textId="77777777">
        <w:trPr>
          <w:trHeight w:val="278"/>
        </w:trPr>
        <w:tc>
          <w:tcPr>
            <w:tcW w:w="4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B188" w14:textId="77777777" w:rsidR="00F9755A" w:rsidRDefault="00000000">
            <w:pPr>
              <w:widowControl w:val="0"/>
              <w:spacing w:after="0" w:line="240" w:lineRule="auto"/>
              <w:ind w:left="131"/>
            </w:pPr>
            <w:r>
              <w:t xml:space="preserve">Maximum Marks </w:t>
            </w:r>
          </w:p>
        </w:tc>
        <w:tc>
          <w:tcPr>
            <w:tcW w:w="4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8ACB" w14:textId="177AF182" w:rsidR="00F9755A" w:rsidRDefault="0017660E">
            <w:pPr>
              <w:widowControl w:val="0"/>
              <w:spacing w:after="0" w:line="240" w:lineRule="auto"/>
              <w:ind w:left="125"/>
            </w:pPr>
            <w:proofErr w:type="gramStart"/>
            <w:r>
              <w:t>5  Marks</w:t>
            </w:r>
            <w:proofErr w:type="gramEnd"/>
          </w:p>
        </w:tc>
      </w:tr>
    </w:tbl>
    <w:p w14:paraId="2F4AFFB4" w14:textId="77777777" w:rsidR="00293C5D" w:rsidRDefault="00293C5D" w:rsidP="0017660E">
      <w:pPr>
        <w:spacing w:after="200" w:line="240" w:lineRule="auto"/>
        <w:rPr>
          <w:rFonts w:ascii="Cambria" w:eastAsia="Cambria" w:hAnsi="Cambria" w:cs="Cambria"/>
          <w:b/>
          <w:sz w:val="32"/>
          <w:szCs w:val="32"/>
        </w:rPr>
      </w:pPr>
    </w:p>
    <w:p w14:paraId="20253F88" w14:textId="1E8A5827" w:rsidR="00AD5EAE" w:rsidRDefault="00AD5EAE" w:rsidP="0017660E">
      <w:pPr>
        <w:spacing w:after="200" w:line="240" w:lineRule="auto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0" distB="0" distL="0" distR="0" wp14:anchorId="3C649793" wp14:editId="019DD382">
            <wp:extent cx="5731510" cy="5217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5689" w14:textId="77777777" w:rsidR="00AD5EAE" w:rsidRDefault="00AD5EAE" w:rsidP="0017660E">
      <w:pPr>
        <w:spacing w:after="200" w:line="240" w:lineRule="auto"/>
        <w:rPr>
          <w:rFonts w:ascii="Cambria" w:eastAsia="Cambria" w:hAnsi="Cambria" w:cs="Cambria"/>
          <w:b/>
          <w:sz w:val="32"/>
          <w:szCs w:val="32"/>
        </w:rPr>
      </w:pPr>
    </w:p>
    <w:p w14:paraId="18F8E3E1" w14:textId="77777777" w:rsidR="00AD5EAE" w:rsidRDefault="00AD5EAE" w:rsidP="0017660E">
      <w:pPr>
        <w:spacing w:after="200" w:line="240" w:lineRule="auto"/>
        <w:rPr>
          <w:rFonts w:ascii="Cambria" w:eastAsia="Cambria" w:hAnsi="Cambria" w:cs="Cambria"/>
          <w:b/>
          <w:sz w:val="32"/>
          <w:szCs w:val="32"/>
        </w:rPr>
      </w:pPr>
    </w:p>
    <w:p w14:paraId="1AAF1D4C" w14:textId="77777777" w:rsidR="00AD5EAE" w:rsidRDefault="00AD5EAE" w:rsidP="0017660E">
      <w:pPr>
        <w:spacing w:after="200" w:line="240" w:lineRule="auto"/>
        <w:rPr>
          <w:rFonts w:ascii="Cambria" w:eastAsia="Cambria" w:hAnsi="Cambria" w:cs="Cambria"/>
          <w:b/>
          <w:sz w:val="32"/>
          <w:szCs w:val="32"/>
        </w:rPr>
      </w:pPr>
    </w:p>
    <w:p w14:paraId="118E27D0" w14:textId="159A2072" w:rsidR="00390C44" w:rsidRPr="00095B97" w:rsidRDefault="00095B97" w:rsidP="00095B97">
      <w:pPr>
        <w:spacing w:after="200" w:line="240" w:lineRule="auto"/>
        <w:rPr>
          <w:b/>
          <w:bCs/>
          <w:sz w:val="28"/>
          <w:szCs w:val="28"/>
          <w:lang w:val="en-US"/>
        </w:rPr>
      </w:pPr>
      <w:r w:rsidRPr="00095B97">
        <w:rPr>
          <w:b/>
          <w:bCs/>
          <w:sz w:val="28"/>
          <w:szCs w:val="28"/>
          <w:lang w:val="en-US"/>
        </w:rPr>
        <w:lastRenderedPageBreak/>
        <w:t>Dashboard Design Principles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095B97" w14:paraId="5B00F540" w14:textId="77777777" w:rsidTr="00AD5EAE">
        <w:tc>
          <w:tcPr>
            <w:tcW w:w="2830" w:type="dxa"/>
          </w:tcPr>
          <w:p w14:paraId="7BCAC505" w14:textId="0CB1A8CC" w:rsidR="00095B97" w:rsidRPr="00095B97" w:rsidRDefault="00095B97" w:rsidP="0017660E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Principle</w:t>
            </w:r>
          </w:p>
        </w:tc>
        <w:tc>
          <w:tcPr>
            <w:tcW w:w="6186" w:type="dxa"/>
          </w:tcPr>
          <w:p w14:paraId="2CF5566A" w14:textId="7B0B9EA6" w:rsidR="00095B97" w:rsidRPr="00095B97" w:rsidRDefault="00095B97" w:rsidP="0017660E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Implementation in Inflation Dashboard</w:t>
            </w:r>
          </w:p>
        </w:tc>
      </w:tr>
      <w:tr w:rsidR="00095B97" w14:paraId="03DD598E" w14:textId="77777777" w:rsidTr="00AD5EAE">
        <w:tc>
          <w:tcPr>
            <w:tcW w:w="2830" w:type="dxa"/>
          </w:tcPr>
          <w:p w14:paraId="4ECD82CC" w14:textId="4BBBA80A" w:rsidR="00095B97" w:rsidRPr="00095B97" w:rsidRDefault="00095B97" w:rsidP="0017660E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Clear and Intuitive Layout</w:t>
            </w:r>
          </w:p>
        </w:tc>
        <w:tc>
          <w:tcPr>
            <w:tcW w:w="6186" w:type="dxa"/>
          </w:tcPr>
          <w:p w14:paraId="3D1FB130" w14:textId="384AB4D6" w:rsidR="00095B97" w:rsidRPr="00843B0D" w:rsidRDefault="00095B97" w:rsidP="0017660E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lang w:val="en-US"/>
              </w:rPr>
              <w:t>Utilizes a 3-panel grid layout: KPIs and Filters (Top Right), Core Comparative Trend (Center), and Detailed Outlier Analysis (Bottom). This guides the user's eye from summary to detail.</w:t>
            </w:r>
          </w:p>
        </w:tc>
      </w:tr>
      <w:tr w:rsidR="00095B97" w14:paraId="250DC070" w14:textId="77777777" w:rsidTr="00AD5EAE">
        <w:tc>
          <w:tcPr>
            <w:tcW w:w="2830" w:type="dxa"/>
          </w:tcPr>
          <w:p w14:paraId="5DC14B44" w14:textId="7DFBF7BD" w:rsidR="00095B97" w:rsidRPr="00AD5EAE" w:rsidRDefault="00095B97" w:rsidP="0017660E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Use Appropriate Visualizations</w:t>
            </w:r>
          </w:p>
        </w:tc>
        <w:tc>
          <w:tcPr>
            <w:tcW w:w="6186" w:type="dxa"/>
          </w:tcPr>
          <w:p w14:paraId="5B714FC3" w14:textId="56EE10DF" w:rsidR="00095B97" w:rsidRPr="00095B97" w:rsidRDefault="00095B97" w:rsidP="0017660E">
            <w:pPr>
              <w:spacing w:after="200"/>
              <w:rPr>
                <w:lang w:val="en-US"/>
              </w:rPr>
            </w:pPr>
            <w:r w:rsidRPr="00095B97">
              <w:rPr>
                <w:lang w:val="en-US"/>
              </w:rPr>
              <w:t>Employs Line Charts for all time-series data to emphasize trends over time (G7/BRICS). Uses Card Visuals for Key Performance Indicators (KPIs) like the Global Median.</w:t>
            </w:r>
          </w:p>
        </w:tc>
      </w:tr>
      <w:tr w:rsidR="00095B97" w14:paraId="016E19CF" w14:textId="77777777" w:rsidTr="00AD5EAE">
        <w:tc>
          <w:tcPr>
            <w:tcW w:w="2830" w:type="dxa"/>
          </w:tcPr>
          <w:p w14:paraId="2E4540C3" w14:textId="77777777" w:rsidR="00095B97" w:rsidRPr="00095B97" w:rsidRDefault="00095B97" w:rsidP="00095B97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Color and Theming</w:t>
            </w:r>
          </w:p>
          <w:p w14:paraId="1B9C3EF0" w14:textId="77777777" w:rsidR="00095B97" w:rsidRPr="00095B97" w:rsidRDefault="00095B97" w:rsidP="0017660E">
            <w:pPr>
              <w:spacing w:after="200"/>
              <w:rPr>
                <w:b/>
                <w:bCs/>
              </w:rPr>
            </w:pPr>
          </w:p>
        </w:tc>
        <w:tc>
          <w:tcPr>
            <w:tcW w:w="6186" w:type="dxa"/>
          </w:tcPr>
          <w:p w14:paraId="54274425" w14:textId="0E5E30E2" w:rsidR="00095B97" w:rsidRPr="00095B97" w:rsidRDefault="00095B97" w:rsidP="0017660E">
            <w:pPr>
              <w:spacing w:after="200"/>
              <w:rPr>
                <w:lang w:val="en-US"/>
              </w:rPr>
            </w:pPr>
            <w:r w:rsidRPr="00095B97">
              <w:rPr>
                <w:lang w:val="en-US"/>
              </w:rPr>
              <w:t>Uses Contrasting Colors to differentiate blocs: Blue/Cool tones for stable/developed G7 economies and Red/Warm tones for volatile/emerging BRICS economies.</w:t>
            </w:r>
          </w:p>
        </w:tc>
      </w:tr>
      <w:tr w:rsidR="00095B97" w14:paraId="2E8236F7" w14:textId="77777777" w:rsidTr="00AD5EAE">
        <w:tc>
          <w:tcPr>
            <w:tcW w:w="2830" w:type="dxa"/>
          </w:tcPr>
          <w:p w14:paraId="4546BD99" w14:textId="77777777" w:rsidR="00095B97" w:rsidRPr="00095B97" w:rsidRDefault="00095B97" w:rsidP="00095B97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Interactive Filters and Slicers</w:t>
            </w:r>
          </w:p>
          <w:p w14:paraId="77E0CFEB" w14:textId="77777777" w:rsidR="00095B97" w:rsidRPr="00095B97" w:rsidRDefault="00095B97" w:rsidP="0017660E">
            <w:pPr>
              <w:spacing w:after="200"/>
              <w:rPr>
                <w:b/>
                <w:bCs/>
              </w:rPr>
            </w:pPr>
          </w:p>
        </w:tc>
        <w:tc>
          <w:tcPr>
            <w:tcW w:w="6186" w:type="dxa"/>
          </w:tcPr>
          <w:p w14:paraId="069573A5" w14:textId="4261FE05" w:rsidR="00095B97" w:rsidRPr="00095B97" w:rsidRDefault="00095B97" w:rsidP="0017660E">
            <w:pPr>
              <w:spacing w:after="200"/>
              <w:rPr>
                <w:lang w:val="en-US"/>
              </w:rPr>
            </w:pPr>
            <w:r w:rsidRPr="00095B97">
              <w:rPr>
                <w:lang w:val="en-US"/>
              </w:rPr>
              <w:t>Slicers are implemented for Year (as a slider) and Country Name (as a searchable list) to allow analysts to perform custom time-range and country-specific drill-downs.</w:t>
            </w:r>
          </w:p>
        </w:tc>
      </w:tr>
      <w:tr w:rsidR="00095B97" w14:paraId="1FFF8096" w14:textId="77777777" w:rsidTr="00AD5EAE">
        <w:tc>
          <w:tcPr>
            <w:tcW w:w="2830" w:type="dxa"/>
          </w:tcPr>
          <w:p w14:paraId="2A98264A" w14:textId="77777777" w:rsidR="00095B97" w:rsidRPr="00095B97" w:rsidRDefault="00095B97" w:rsidP="00095B97">
            <w:pPr>
              <w:spacing w:after="200"/>
              <w:rPr>
                <w:b/>
                <w:bCs/>
                <w:lang w:val="en-US"/>
              </w:rPr>
            </w:pPr>
            <w:r w:rsidRPr="00095B97">
              <w:rPr>
                <w:b/>
                <w:bCs/>
                <w:lang w:val="en-US"/>
              </w:rPr>
              <w:t>Measure Robustness</w:t>
            </w:r>
          </w:p>
          <w:p w14:paraId="54837A25" w14:textId="77777777" w:rsidR="00095B97" w:rsidRPr="00095B97" w:rsidRDefault="00095B97" w:rsidP="0017660E">
            <w:pPr>
              <w:spacing w:after="200"/>
              <w:rPr>
                <w:b/>
                <w:bCs/>
              </w:rPr>
            </w:pPr>
          </w:p>
        </w:tc>
        <w:tc>
          <w:tcPr>
            <w:tcW w:w="6186" w:type="dxa"/>
          </w:tcPr>
          <w:p w14:paraId="52F1C42B" w14:textId="319B5A55" w:rsidR="00095B97" w:rsidRPr="00095B97" w:rsidRDefault="00095B97" w:rsidP="0017660E">
            <w:pPr>
              <w:spacing w:after="200"/>
              <w:rPr>
                <w:lang w:val="en-US"/>
              </w:rPr>
            </w:pPr>
            <w:r w:rsidRPr="00095B97">
              <w:rPr>
                <w:lang w:val="en-US"/>
              </w:rPr>
              <w:t>All aggregation visuals use the Median Inflation DAX measure, ensuring the results are robust and not skewed by extreme hyperinflation outliers (e.g., Venezuela).</w:t>
            </w:r>
          </w:p>
        </w:tc>
      </w:tr>
    </w:tbl>
    <w:p w14:paraId="07747E2A" w14:textId="77777777" w:rsidR="00095B97" w:rsidRDefault="00095B97" w:rsidP="0017660E">
      <w:pPr>
        <w:spacing w:after="200" w:line="240" w:lineRule="auto"/>
      </w:pPr>
    </w:p>
    <w:p w14:paraId="462C400E" w14:textId="77777777" w:rsidR="00390C44" w:rsidRDefault="00390C44" w:rsidP="0017660E">
      <w:pPr>
        <w:spacing w:after="200" w:line="240" w:lineRule="auto"/>
      </w:pPr>
    </w:p>
    <w:p w14:paraId="29F33202" w14:textId="77777777" w:rsidR="00390C44" w:rsidRDefault="00390C44" w:rsidP="0017660E">
      <w:pPr>
        <w:spacing w:after="200" w:line="240" w:lineRule="auto"/>
      </w:pPr>
    </w:p>
    <w:p w14:paraId="277035A4" w14:textId="77777777" w:rsidR="00390C44" w:rsidRDefault="00390C44" w:rsidP="0017660E">
      <w:pPr>
        <w:spacing w:after="200" w:line="240" w:lineRule="auto"/>
      </w:pPr>
    </w:p>
    <w:p w14:paraId="4C8B45A9" w14:textId="77777777" w:rsidR="00843B0D" w:rsidRDefault="00843B0D" w:rsidP="0017660E">
      <w:pPr>
        <w:spacing w:after="200" w:line="240" w:lineRule="auto"/>
      </w:pPr>
    </w:p>
    <w:p w14:paraId="30185647" w14:textId="77777777" w:rsidR="00AD5EAE" w:rsidRDefault="00AD5EAE" w:rsidP="0017660E">
      <w:pPr>
        <w:spacing w:after="200" w:line="240" w:lineRule="auto"/>
      </w:pPr>
    </w:p>
    <w:p w14:paraId="52315A67" w14:textId="77777777" w:rsidR="00AD5EAE" w:rsidRDefault="00AD5EAE" w:rsidP="0017660E">
      <w:pPr>
        <w:spacing w:after="200" w:line="240" w:lineRule="auto"/>
      </w:pPr>
    </w:p>
    <w:p w14:paraId="4941B829" w14:textId="77777777" w:rsidR="00AD5EAE" w:rsidRDefault="00AD5EAE" w:rsidP="0017660E">
      <w:pPr>
        <w:spacing w:after="200" w:line="240" w:lineRule="auto"/>
      </w:pPr>
    </w:p>
    <w:p w14:paraId="146879A5" w14:textId="77777777" w:rsidR="00AD5EAE" w:rsidRDefault="00AD5EAE" w:rsidP="0017660E">
      <w:pPr>
        <w:spacing w:after="200" w:line="240" w:lineRule="auto"/>
      </w:pPr>
    </w:p>
    <w:p w14:paraId="748FF0EB" w14:textId="77777777" w:rsidR="00AD5EAE" w:rsidRDefault="00AD5EAE" w:rsidP="0017660E">
      <w:pPr>
        <w:spacing w:after="200" w:line="240" w:lineRule="auto"/>
      </w:pPr>
    </w:p>
    <w:p w14:paraId="7CE78570" w14:textId="77777777" w:rsidR="00AD5EAE" w:rsidRDefault="00AD5EAE" w:rsidP="0017660E">
      <w:pPr>
        <w:spacing w:after="200" w:line="240" w:lineRule="auto"/>
      </w:pPr>
    </w:p>
    <w:p w14:paraId="1C106156" w14:textId="77777777" w:rsidR="00AD5EAE" w:rsidRDefault="00AD5EAE" w:rsidP="0017660E">
      <w:pPr>
        <w:spacing w:after="200" w:line="240" w:lineRule="auto"/>
      </w:pPr>
    </w:p>
    <w:p w14:paraId="426A0666" w14:textId="77777777" w:rsidR="00AD5EAE" w:rsidRDefault="00AD5EAE" w:rsidP="0017660E">
      <w:pPr>
        <w:spacing w:after="200" w:line="240" w:lineRule="auto"/>
      </w:pPr>
    </w:p>
    <w:p w14:paraId="08090864" w14:textId="77777777" w:rsidR="00AD5EAE" w:rsidRDefault="00AD5EAE" w:rsidP="0017660E">
      <w:pPr>
        <w:spacing w:after="200" w:line="240" w:lineRule="auto"/>
      </w:pPr>
    </w:p>
    <w:p w14:paraId="03DCF85F" w14:textId="77777777" w:rsidR="00AD5EAE" w:rsidRDefault="00AD5EAE" w:rsidP="0017660E">
      <w:pPr>
        <w:spacing w:after="200" w:line="240" w:lineRule="auto"/>
      </w:pPr>
    </w:p>
    <w:p w14:paraId="5CB12C7A" w14:textId="77777777" w:rsidR="00390C44" w:rsidRDefault="00390C44" w:rsidP="0017660E">
      <w:pPr>
        <w:spacing w:after="200" w:line="240" w:lineRule="auto"/>
      </w:pPr>
    </w:p>
    <w:p w14:paraId="5ECB6A74" w14:textId="3CBFD535" w:rsidR="00390C44" w:rsidRPr="00390C44" w:rsidRDefault="00390C44" w:rsidP="00390C44">
      <w:pPr>
        <w:spacing w:after="200" w:line="240" w:lineRule="auto"/>
        <w:rPr>
          <w:b/>
          <w:bCs/>
          <w:sz w:val="28"/>
          <w:szCs w:val="28"/>
          <w:lang w:val="en-US"/>
        </w:rPr>
      </w:pPr>
      <w:r w:rsidRPr="00390C44">
        <w:rPr>
          <w:b/>
          <w:bCs/>
          <w:sz w:val="28"/>
          <w:szCs w:val="28"/>
          <w:lang w:val="en-US"/>
        </w:rPr>
        <w:lastRenderedPageBreak/>
        <w:t>Dashboard Layout &amp;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409"/>
        <w:gridCol w:w="2798"/>
        <w:gridCol w:w="2254"/>
      </w:tblGrid>
      <w:tr w:rsidR="00390C44" w14:paraId="74619D47" w14:textId="77777777" w:rsidTr="00843B0D">
        <w:tc>
          <w:tcPr>
            <w:tcW w:w="1555" w:type="dxa"/>
          </w:tcPr>
          <w:p w14:paraId="6DA8DBF6" w14:textId="523A2CF0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Component Type</w:t>
            </w:r>
          </w:p>
        </w:tc>
        <w:tc>
          <w:tcPr>
            <w:tcW w:w="2409" w:type="dxa"/>
          </w:tcPr>
          <w:p w14:paraId="020B5DD0" w14:textId="1CDADE30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Title / Metric</w:t>
            </w:r>
          </w:p>
        </w:tc>
        <w:tc>
          <w:tcPr>
            <w:tcW w:w="2798" w:type="dxa"/>
          </w:tcPr>
          <w:p w14:paraId="091AA857" w14:textId="35E679AA" w:rsidR="00390C44" w:rsidRPr="00390C44" w:rsidRDefault="00390C44" w:rsidP="0017660E">
            <w:pPr>
              <w:spacing w:after="200"/>
              <w:rPr>
                <w:b/>
                <w:bCs/>
              </w:rPr>
            </w:pPr>
            <w:r w:rsidRPr="00390C44">
              <w:rPr>
                <w:b/>
                <w:bCs/>
              </w:rPr>
              <w:t>Purpose / Description</w:t>
            </w:r>
          </w:p>
        </w:tc>
        <w:tc>
          <w:tcPr>
            <w:tcW w:w="2254" w:type="dxa"/>
          </w:tcPr>
          <w:p w14:paraId="5EB8D8CA" w14:textId="00763775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Data Source / Visual Used</w:t>
            </w:r>
          </w:p>
        </w:tc>
      </w:tr>
      <w:tr w:rsidR="00390C44" w14:paraId="289F3346" w14:textId="77777777" w:rsidTr="00843B0D">
        <w:trPr>
          <w:trHeight w:val="1114"/>
        </w:trPr>
        <w:tc>
          <w:tcPr>
            <w:tcW w:w="1555" w:type="dxa"/>
          </w:tcPr>
          <w:p w14:paraId="5FDBB0E4" w14:textId="459F6496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KPI Card 1</w:t>
            </w:r>
          </w:p>
        </w:tc>
        <w:tc>
          <w:tcPr>
            <w:tcW w:w="2409" w:type="dxa"/>
          </w:tcPr>
          <w:p w14:paraId="0A1DFDAA" w14:textId="375D57DD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Global Long-Term Median Inflation (1980-2024)</w:t>
            </w:r>
          </w:p>
        </w:tc>
        <w:tc>
          <w:tcPr>
            <w:tcW w:w="2798" w:type="dxa"/>
          </w:tcPr>
          <w:p w14:paraId="3B990646" w14:textId="2C96E0AC" w:rsidR="00390C44" w:rsidRPr="00390C44" w:rsidRDefault="00390C44" w:rsidP="0017660E">
            <w:pPr>
              <w:spacing w:after="200"/>
              <w:rPr>
                <w:lang w:val="en-US"/>
              </w:rPr>
            </w:pPr>
            <w:r w:rsidRPr="00390C44">
              <w:rPr>
                <w:lang w:val="en-US"/>
              </w:rPr>
              <w:t>Shows the single benchmark for global price stability over the 45-year period.</w:t>
            </w:r>
          </w:p>
        </w:tc>
        <w:tc>
          <w:tcPr>
            <w:tcW w:w="2254" w:type="dxa"/>
          </w:tcPr>
          <w:p w14:paraId="1C59EF49" w14:textId="77777777" w:rsidR="00843B0D" w:rsidRPr="00843B0D" w:rsidRDefault="00843B0D" w:rsidP="00843B0D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Card Visual / DAX Measure</w:t>
            </w:r>
          </w:p>
          <w:p w14:paraId="78928903" w14:textId="77777777" w:rsidR="00390C44" w:rsidRDefault="00390C44" w:rsidP="0017660E">
            <w:pPr>
              <w:spacing w:after="200"/>
            </w:pPr>
          </w:p>
        </w:tc>
      </w:tr>
      <w:tr w:rsidR="00390C44" w14:paraId="13E9EF87" w14:textId="77777777" w:rsidTr="00843B0D">
        <w:tc>
          <w:tcPr>
            <w:tcW w:w="1555" w:type="dxa"/>
          </w:tcPr>
          <w:p w14:paraId="04AFE44A" w14:textId="77777777" w:rsidR="00390C44" w:rsidRPr="00390C44" w:rsidRDefault="00390C44" w:rsidP="00390C44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KPI Card 2</w:t>
            </w:r>
          </w:p>
          <w:p w14:paraId="5B08BF34" w14:textId="77777777" w:rsidR="00390C44" w:rsidRPr="00390C44" w:rsidRDefault="00390C44" w:rsidP="00390C44">
            <w:pPr>
              <w:spacing w:after="200"/>
              <w:rPr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799C03D5" w14:textId="3764F6D0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Current Year Median Inflation (2024 Forecast)</w:t>
            </w:r>
          </w:p>
        </w:tc>
        <w:tc>
          <w:tcPr>
            <w:tcW w:w="2798" w:type="dxa"/>
          </w:tcPr>
          <w:p w14:paraId="714BE954" w14:textId="5A06C4E9" w:rsidR="00390C44" w:rsidRPr="00843B0D" w:rsidRDefault="00843B0D" w:rsidP="0017660E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P</w:t>
            </w:r>
            <w:r>
              <w:rPr>
                <w:lang w:val="en-US"/>
              </w:rPr>
              <w:t>r</w:t>
            </w:r>
            <w:r w:rsidRPr="00843B0D">
              <w:rPr>
                <w:lang w:val="en-US"/>
              </w:rPr>
              <w:t>ovides the most immediate, actionable forecast metric for global risk assessment.</w:t>
            </w:r>
          </w:p>
        </w:tc>
        <w:tc>
          <w:tcPr>
            <w:tcW w:w="2254" w:type="dxa"/>
          </w:tcPr>
          <w:p w14:paraId="08432B8A" w14:textId="066D7D3F" w:rsidR="00390C44" w:rsidRDefault="00843B0D" w:rsidP="0017660E">
            <w:pPr>
              <w:spacing w:after="200"/>
            </w:pPr>
            <w:r w:rsidRPr="00843B0D">
              <w:rPr>
                <w:b/>
                <w:bCs/>
              </w:rPr>
              <w:t>Card Visual</w:t>
            </w:r>
            <w:r w:rsidRPr="00843B0D">
              <w:t xml:space="preserve"> / DAX Measure</w:t>
            </w:r>
          </w:p>
        </w:tc>
      </w:tr>
      <w:tr w:rsidR="00390C44" w14:paraId="1DDD777E" w14:textId="77777777" w:rsidTr="00843B0D">
        <w:trPr>
          <w:trHeight w:val="1395"/>
        </w:trPr>
        <w:tc>
          <w:tcPr>
            <w:tcW w:w="1555" w:type="dxa"/>
          </w:tcPr>
          <w:p w14:paraId="7E7ECF94" w14:textId="4E7C136E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Control Panel</w:t>
            </w:r>
          </w:p>
        </w:tc>
        <w:tc>
          <w:tcPr>
            <w:tcW w:w="2409" w:type="dxa"/>
          </w:tcPr>
          <w:p w14:paraId="61EE6816" w14:textId="4C574EA1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Year Slicer (Slider) &amp; Country Name Slicer</w:t>
            </w:r>
          </w:p>
        </w:tc>
        <w:tc>
          <w:tcPr>
            <w:tcW w:w="2798" w:type="dxa"/>
          </w:tcPr>
          <w:p w14:paraId="121BEFA2" w14:textId="186C1544" w:rsidR="00390C44" w:rsidRPr="00843B0D" w:rsidRDefault="00843B0D" w:rsidP="0017660E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Allows for custom time-range analysis (e.g., focus on post-2015) and specific country highlighting.</w:t>
            </w:r>
          </w:p>
        </w:tc>
        <w:tc>
          <w:tcPr>
            <w:tcW w:w="2254" w:type="dxa"/>
          </w:tcPr>
          <w:p w14:paraId="415559B6" w14:textId="77777777" w:rsidR="00843B0D" w:rsidRPr="00843B0D" w:rsidRDefault="00843B0D" w:rsidP="00843B0D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Slicer Visuals</w:t>
            </w:r>
          </w:p>
          <w:p w14:paraId="54C4D2F2" w14:textId="77777777" w:rsidR="00390C44" w:rsidRDefault="00390C44" w:rsidP="0017660E">
            <w:pPr>
              <w:spacing w:after="200"/>
            </w:pPr>
          </w:p>
        </w:tc>
      </w:tr>
      <w:tr w:rsidR="00390C44" w14:paraId="0597A109" w14:textId="77777777" w:rsidTr="00843B0D">
        <w:trPr>
          <w:trHeight w:val="1828"/>
        </w:trPr>
        <w:tc>
          <w:tcPr>
            <w:tcW w:w="1555" w:type="dxa"/>
          </w:tcPr>
          <w:p w14:paraId="543DCDA0" w14:textId="6C04D0B4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Main Chart (Center)</w:t>
            </w:r>
          </w:p>
        </w:tc>
        <w:tc>
          <w:tcPr>
            <w:tcW w:w="2409" w:type="dxa"/>
          </w:tcPr>
          <w:p w14:paraId="62065D72" w14:textId="2A9307C8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G7 vs. BRICS Median Inflation Trajectories</w:t>
            </w:r>
          </w:p>
        </w:tc>
        <w:tc>
          <w:tcPr>
            <w:tcW w:w="2798" w:type="dxa"/>
          </w:tcPr>
          <w:p w14:paraId="293BD4F4" w14:textId="567A98F4" w:rsidR="00390C44" w:rsidRPr="00843B0D" w:rsidRDefault="00843B0D" w:rsidP="0017660E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The primary comparative visual that answers the core business question on economic bloc differences and synchronicity.</w:t>
            </w:r>
          </w:p>
        </w:tc>
        <w:tc>
          <w:tcPr>
            <w:tcW w:w="2254" w:type="dxa"/>
          </w:tcPr>
          <w:p w14:paraId="60C6FD1F" w14:textId="77777777" w:rsidR="00843B0D" w:rsidRPr="00843B0D" w:rsidRDefault="00843B0D" w:rsidP="00843B0D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Line Chart (X=Year, Y=Median Inflation, Legend=Bloc)</w:t>
            </w:r>
          </w:p>
          <w:p w14:paraId="776555C0" w14:textId="77777777" w:rsidR="00390C44" w:rsidRDefault="00390C44" w:rsidP="0017660E">
            <w:pPr>
              <w:spacing w:after="200"/>
            </w:pPr>
          </w:p>
        </w:tc>
      </w:tr>
      <w:tr w:rsidR="00390C44" w14:paraId="7FA8EF3A" w14:textId="77777777" w:rsidTr="00843B0D">
        <w:tc>
          <w:tcPr>
            <w:tcW w:w="1555" w:type="dxa"/>
          </w:tcPr>
          <w:p w14:paraId="25099A88" w14:textId="4FE8B928" w:rsidR="00390C44" w:rsidRPr="00390C44" w:rsidRDefault="00390C44" w:rsidP="0017660E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Secondary Chart (Bottom)</w:t>
            </w:r>
          </w:p>
        </w:tc>
        <w:tc>
          <w:tcPr>
            <w:tcW w:w="2409" w:type="dxa"/>
          </w:tcPr>
          <w:p w14:paraId="2F4960D7" w14:textId="77777777" w:rsidR="00390C44" w:rsidRPr="00390C44" w:rsidRDefault="00390C44" w:rsidP="00390C44">
            <w:pPr>
              <w:spacing w:after="200"/>
              <w:rPr>
                <w:b/>
                <w:bCs/>
                <w:lang w:val="en-US"/>
              </w:rPr>
            </w:pPr>
            <w:r w:rsidRPr="00390C44">
              <w:rPr>
                <w:b/>
                <w:bCs/>
                <w:lang w:val="en-US"/>
              </w:rPr>
              <w:t>Extreme Inflation Outliers</w:t>
            </w:r>
          </w:p>
          <w:p w14:paraId="7C7A1916" w14:textId="77777777" w:rsidR="00390C44" w:rsidRPr="00390C44" w:rsidRDefault="00390C44" w:rsidP="0017660E">
            <w:pPr>
              <w:spacing w:after="200"/>
              <w:rPr>
                <w:b/>
                <w:bCs/>
              </w:rPr>
            </w:pPr>
          </w:p>
        </w:tc>
        <w:tc>
          <w:tcPr>
            <w:tcW w:w="2798" w:type="dxa"/>
          </w:tcPr>
          <w:p w14:paraId="73215E58" w14:textId="0B762F28" w:rsidR="00390C44" w:rsidRPr="00843B0D" w:rsidRDefault="00843B0D" w:rsidP="0017660E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 xml:space="preserve">Highlights the range of </w:t>
            </w:r>
            <w:r>
              <w:rPr>
                <w:lang w:val="en-US"/>
              </w:rPr>
              <w:t>v</w:t>
            </w:r>
            <w:r w:rsidRPr="00843B0D">
              <w:rPr>
                <w:lang w:val="en-US"/>
              </w:rPr>
              <w:t>olatility by plotting the highest (e.g., Venezuela) and lowest (e.g., Japan) inflation countries.</w:t>
            </w:r>
          </w:p>
        </w:tc>
        <w:tc>
          <w:tcPr>
            <w:tcW w:w="2254" w:type="dxa"/>
          </w:tcPr>
          <w:p w14:paraId="1472D883" w14:textId="77777777" w:rsidR="00843B0D" w:rsidRPr="00843B0D" w:rsidRDefault="00843B0D" w:rsidP="00843B0D">
            <w:pPr>
              <w:spacing w:after="200"/>
              <w:rPr>
                <w:lang w:val="en-US"/>
              </w:rPr>
            </w:pPr>
            <w:r w:rsidRPr="00843B0D">
              <w:rPr>
                <w:lang w:val="en-US"/>
              </w:rPr>
              <w:t>Line Chart (Filtered for extremes, Y-Axis capped for visibility)</w:t>
            </w:r>
          </w:p>
          <w:p w14:paraId="622D51D3" w14:textId="77777777" w:rsidR="00390C44" w:rsidRDefault="00390C44" w:rsidP="0017660E">
            <w:pPr>
              <w:spacing w:after="200"/>
            </w:pPr>
          </w:p>
        </w:tc>
      </w:tr>
    </w:tbl>
    <w:p w14:paraId="6F916E4D" w14:textId="77777777" w:rsidR="00390C44" w:rsidRDefault="00390C44" w:rsidP="0017660E">
      <w:pPr>
        <w:spacing w:after="200" w:line="240" w:lineRule="auto"/>
      </w:pPr>
    </w:p>
    <w:p w14:paraId="107D6DCE" w14:textId="77777777" w:rsidR="00843B0D" w:rsidRPr="00843B0D" w:rsidRDefault="00843B0D" w:rsidP="00843B0D">
      <w:pPr>
        <w:spacing w:after="200" w:line="240" w:lineRule="auto"/>
        <w:rPr>
          <w:b/>
          <w:bCs/>
          <w:sz w:val="28"/>
          <w:szCs w:val="28"/>
          <w:lang w:val="en-US"/>
        </w:rPr>
      </w:pPr>
      <w:r w:rsidRPr="00843B0D">
        <w:rPr>
          <w:b/>
          <w:bCs/>
          <w:sz w:val="28"/>
          <w:szCs w:val="28"/>
          <w:lang w:val="en-US"/>
        </w:rPr>
        <w:t>Major Outcomes and Insights</w:t>
      </w:r>
    </w:p>
    <w:p w14:paraId="6B884D33" w14:textId="77777777" w:rsidR="00843B0D" w:rsidRPr="00843B0D" w:rsidRDefault="00843B0D" w:rsidP="00843B0D">
      <w:pPr>
        <w:spacing w:after="200" w:line="240" w:lineRule="auto"/>
        <w:rPr>
          <w:lang w:val="en-US"/>
        </w:rPr>
      </w:pPr>
      <w:r w:rsidRPr="00843B0D">
        <w:rPr>
          <w:lang w:val="en-US"/>
        </w:rPr>
        <w:t>The finished dashboard provides the following bullet-point outcomes:</w:t>
      </w:r>
    </w:p>
    <w:p w14:paraId="67067DCF" w14:textId="77777777" w:rsidR="00843B0D" w:rsidRPr="00843B0D" w:rsidRDefault="00843B0D" w:rsidP="00843B0D">
      <w:pPr>
        <w:pStyle w:val="ListParagraph"/>
        <w:numPr>
          <w:ilvl w:val="0"/>
          <w:numId w:val="3"/>
        </w:numPr>
        <w:spacing w:after="200" w:line="240" w:lineRule="auto"/>
        <w:rPr>
          <w:lang w:val="en-US"/>
        </w:rPr>
      </w:pPr>
      <w:r w:rsidRPr="00843B0D">
        <w:rPr>
          <w:b/>
          <w:bCs/>
          <w:lang w:val="en-US"/>
        </w:rPr>
        <w:t>Confirmed Stability Gap:</w:t>
      </w:r>
      <w:r w:rsidRPr="00843B0D">
        <w:rPr>
          <w:lang w:val="en-US"/>
        </w:rPr>
        <w:t xml:space="preserve"> The dashboard clearly shows that G7 economies maintained a long-term median inflation rate significantly lower and less volatile than the BRICS bloc, confirming the stability risk differential.</w:t>
      </w:r>
    </w:p>
    <w:p w14:paraId="7F1557C5" w14:textId="77777777" w:rsidR="00843B0D" w:rsidRPr="00843B0D" w:rsidRDefault="00843B0D" w:rsidP="00843B0D">
      <w:pPr>
        <w:pStyle w:val="ListParagraph"/>
        <w:numPr>
          <w:ilvl w:val="0"/>
          <w:numId w:val="3"/>
        </w:numPr>
        <w:spacing w:after="200" w:line="240" w:lineRule="auto"/>
        <w:rPr>
          <w:lang w:val="en-US"/>
        </w:rPr>
      </w:pPr>
      <w:r w:rsidRPr="00843B0D">
        <w:rPr>
          <w:b/>
          <w:bCs/>
          <w:lang w:val="en-US"/>
        </w:rPr>
        <w:t>Synchronous Shock</w:t>
      </w:r>
      <w:r w:rsidRPr="00843B0D">
        <w:rPr>
          <w:lang w:val="en-US"/>
        </w:rPr>
        <w:t>: The analysis highlights a sharp, simultaneous inflation spike in both G7 and BRICS after 2020, confirming the global nature of recent supply chain and geopolitical shocks.</w:t>
      </w:r>
    </w:p>
    <w:p w14:paraId="70D51E25" w14:textId="77777777" w:rsidR="00843B0D" w:rsidRPr="00843B0D" w:rsidRDefault="00843B0D" w:rsidP="00843B0D">
      <w:pPr>
        <w:pStyle w:val="ListParagraph"/>
        <w:numPr>
          <w:ilvl w:val="0"/>
          <w:numId w:val="3"/>
        </w:numPr>
        <w:spacing w:after="200" w:line="240" w:lineRule="auto"/>
        <w:rPr>
          <w:lang w:val="en-US"/>
        </w:rPr>
      </w:pPr>
      <w:r w:rsidRPr="00843B0D">
        <w:rPr>
          <w:b/>
          <w:bCs/>
          <w:lang w:val="en-US"/>
        </w:rPr>
        <w:t>Robust Metrics</w:t>
      </w:r>
      <w:r w:rsidRPr="00843B0D">
        <w:rPr>
          <w:lang w:val="en-US"/>
        </w:rPr>
        <w:t>: By relying on the Median measure, the dashboard successfully mitigates the distorting effect of hyperinflation in outlier countries (like Venezuela) on global averages, ensuring data integrity.</w:t>
      </w:r>
    </w:p>
    <w:p w14:paraId="3AF25BC4" w14:textId="77777777" w:rsidR="00843B0D" w:rsidRPr="00843B0D" w:rsidRDefault="00843B0D" w:rsidP="00843B0D">
      <w:pPr>
        <w:pStyle w:val="ListParagraph"/>
        <w:numPr>
          <w:ilvl w:val="0"/>
          <w:numId w:val="3"/>
        </w:numPr>
        <w:spacing w:after="200" w:line="240" w:lineRule="auto"/>
        <w:rPr>
          <w:lang w:val="en-US"/>
        </w:rPr>
      </w:pPr>
      <w:r w:rsidRPr="00843B0D">
        <w:rPr>
          <w:b/>
          <w:bCs/>
          <w:lang w:val="en-US"/>
        </w:rPr>
        <w:t>Targeted Intervention:</w:t>
      </w:r>
      <w:r w:rsidRPr="00843B0D">
        <w:rPr>
          <w:lang w:val="en-US"/>
        </w:rPr>
        <w:t xml:space="preserve"> Policy makers can use the slicers to prove if a current spike is unique to their nation or is part of the larger G7/BRICS bloc trend, guiding the choice between local or global policy responses.</w:t>
      </w:r>
    </w:p>
    <w:p w14:paraId="3071B60F" w14:textId="77777777" w:rsidR="00843B0D" w:rsidRDefault="00843B0D" w:rsidP="0017660E">
      <w:pPr>
        <w:spacing w:after="200" w:line="240" w:lineRule="auto"/>
      </w:pPr>
    </w:p>
    <w:sectPr w:rsidR="00843B0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5419F91-5752-4F7F-8609-852DA59392E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ED919E-6F74-4233-9453-B369AB7A4EE2}"/>
    <w:embedBold r:id="rId3" w:fontKey="{B16B6896-9511-4F59-BBA1-3ED8EB5B025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A0858A-D687-4524-81B5-2AE5CAAF22F4}"/>
    <w:embedItalic r:id="rId5" w:fontKey="{FEE7EED4-2447-416F-A472-BEC4ABC23E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3FDD7FA-D405-49F2-B713-0F29F15A57EF}"/>
    <w:embedBold r:id="rId7" w:fontKey="{2435F45E-007E-42D4-8914-25323F53D24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5AF9CA1-CF66-4878-8ABF-F313F3FCFE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329A8"/>
    <w:multiLevelType w:val="hybridMultilevel"/>
    <w:tmpl w:val="7CBC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F5D56"/>
    <w:multiLevelType w:val="multilevel"/>
    <w:tmpl w:val="CBBC8C3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4F94CDE"/>
    <w:multiLevelType w:val="multilevel"/>
    <w:tmpl w:val="47DE6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1020336">
    <w:abstractNumId w:val="1"/>
  </w:num>
  <w:num w:numId="2" w16cid:durableId="597759194">
    <w:abstractNumId w:val="2"/>
  </w:num>
  <w:num w:numId="3" w16cid:durableId="1057825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55A"/>
    <w:rsid w:val="00095B97"/>
    <w:rsid w:val="00150143"/>
    <w:rsid w:val="0017660E"/>
    <w:rsid w:val="00293C5D"/>
    <w:rsid w:val="00390C44"/>
    <w:rsid w:val="00435593"/>
    <w:rsid w:val="00843B0D"/>
    <w:rsid w:val="00933D90"/>
    <w:rsid w:val="00AD37FB"/>
    <w:rsid w:val="00AD5EAE"/>
    <w:rsid w:val="00C33DA7"/>
    <w:rsid w:val="00D043A9"/>
    <w:rsid w:val="00D3353A"/>
    <w:rsid w:val="00F9755A"/>
    <w:rsid w:val="00FF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6692"/>
  <w15:docId w15:val="{3FAF9F86-E290-4697-9FCA-4EA77CB7E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7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E31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E317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095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+WDxcuUify8Cnrp+LC/CCTGJVw==">CgMxLjA4AHIhMTdFaC1wTlF3SWNHN0dyNU1DWFA0bENxckc4RTFIRnRY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SmarBridge ML</dc:creator>
  <cp:lastModifiedBy>21N81A67B2</cp:lastModifiedBy>
  <cp:revision>9</cp:revision>
  <dcterms:created xsi:type="dcterms:W3CDTF">2024-01-13T08:54:00Z</dcterms:created>
  <dcterms:modified xsi:type="dcterms:W3CDTF">2025-10-12T16:13:00Z</dcterms:modified>
</cp:coreProperties>
</file>