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3D62BAB1" w:rsidR="00720545" w:rsidRDefault="00DA66D1">
            <w:pPr>
              <w:rPr>
                <w:rFonts w:ascii="Arial" w:eastAsia="Arial" w:hAnsi="Arial" w:cs="Arial"/>
              </w:rPr>
            </w:pPr>
            <w:r>
              <w:rPr>
                <w:rFonts w:ascii="Arial" w:eastAsia="Arial" w:hAnsi="Arial" w:cs="Arial"/>
              </w:rPr>
              <w:t>01 October 2025</w:t>
            </w:r>
          </w:p>
        </w:tc>
      </w:tr>
      <w:tr w:rsidR="00720545" w14:paraId="55E5A78E" w14:textId="77777777">
        <w:trPr>
          <w:jc w:val="center"/>
        </w:trPr>
        <w:tc>
          <w:tcPr>
            <w:tcW w:w="4508" w:type="dxa"/>
          </w:tcPr>
          <w:p w14:paraId="2CA0E194" w14:textId="77777777" w:rsidR="00720545" w:rsidRDefault="00000000">
            <w:pPr>
              <w:rPr>
                <w:rFonts w:ascii="Arial" w:eastAsia="Arial" w:hAnsi="Arial" w:cs="Arial"/>
              </w:rPr>
            </w:pPr>
            <w:r>
              <w:rPr>
                <w:rFonts w:ascii="Arial" w:eastAsia="Arial" w:hAnsi="Arial" w:cs="Arial"/>
              </w:rPr>
              <w:t>Team ID</w:t>
            </w:r>
          </w:p>
        </w:tc>
        <w:tc>
          <w:tcPr>
            <w:tcW w:w="4843" w:type="dxa"/>
          </w:tcPr>
          <w:p w14:paraId="32FAADAD" w14:textId="620F1354" w:rsidR="00720545" w:rsidRDefault="00C4427C">
            <w:pPr>
              <w:rPr>
                <w:rFonts w:ascii="Arial" w:eastAsia="Arial" w:hAnsi="Arial" w:cs="Arial"/>
              </w:rPr>
            </w:pPr>
            <w:r w:rsidRPr="00C4427C">
              <w:rPr>
                <w:rFonts w:ascii="Arial" w:eastAsia="Arial" w:hAnsi="Arial" w:cs="Arial"/>
                <w:lang w:val="en-US"/>
              </w:rPr>
              <w:t>SWUID20250181698</w:t>
            </w:r>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1D354C95" w14:textId="6CB52C0D" w:rsidR="00720545" w:rsidRPr="00DA66D1" w:rsidRDefault="00DA66D1">
            <w:pPr>
              <w:rPr>
                <w:rFonts w:ascii="Arial" w:eastAsia="Arial" w:hAnsi="Arial" w:cs="Arial"/>
                <w:lang w:val="en-US"/>
              </w:rPr>
            </w:pPr>
            <w:r w:rsidRPr="00DA66D1">
              <w:rPr>
                <w:rFonts w:ascii="Arial" w:eastAsia="Arial" w:hAnsi="Arial" w:cs="Arial"/>
                <w:lang w:val="en-US"/>
              </w:rPr>
              <w:t>Global Inflation Dynamics (1980-2024): A Comparative Time-Series Analysis</w:t>
            </w:r>
          </w:p>
        </w:tc>
      </w:tr>
      <w:tr w:rsidR="00720545" w14:paraId="52F170A6" w14:textId="77777777">
        <w:trPr>
          <w:jc w:val="center"/>
        </w:trPr>
        <w:tc>
          <w:tcPr>
            <w:tcW w:w="450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4A29597B" w14:textId="1613CF53" w:rsidR="00DA66D1" w:rsidRPr="00DA66D1" w:rsidRDefault="00DA66D1">
      <w:pPr>
        <w:rPr>
          <w:rFonts w:ascii="Cambria" w:eastAsia="Cambria" w:hAnsi="Cambria" w:cs="Cambria"/>
          <w:b/>
          <w:bCs/>
          <w:color w:val="000000"/>
          <w:sz w:val="28"/>
          <w:szCs w:val="28"/>
          <w:highlight w:val="white"/>
          <w:lang w:val="en-US"/>
        </w:rPr>
      </w:pPr>
      <w:r w:rsidRPr="00DA66D1">
        <w:rPr>
          <w:rFonts w:ascii="Cambria" w:eastAsia="Cambria" w:hAnsi="Cambria" w:cs="Cambria"/>
          <w:b/>
          <w:bCs/>
          <w:color w:val="000000"/>
          <w:sz w:val="28"/>
          <w:szCs w:val="28"/>
          <w:highlight w:val="white"/>
          <w:lang w:val="en-US"/>
        </w:rPr>
        <w:t>I. Report Structure and Key Observations</w:t>
      </w:r>
    </w:p>
    <w:tbl>
      <w:tblPr>
        <w:tblStyle w:val="TableGrid"/>
        <w:tblW w:w="0" w:type="auto"/>
        <w:tblLook w:val="04A0" w:firstRow="1" w:lastRow="0" w:firstColumn="1" w:lastColumn="0" w:noHBand="0" w:noVBand="1"/>
      </w:tblPr>
      <w:tblGrid>
        <w:gridCol w:w="2263"/>
        <w:gridCol w:w="4111"/>
        <w:gridCol w:w="2642"/>
      </w:tblGrid>
      <w:tr w:rsidR="00DA66D1" w14:paraId="2E38FD0C" w14:textId="77777777" w:rsidTr="00163A24">
        <w:tc>
          <w:tcPr>
            <w:tcW w:w="2263" w:type="dxa"/>
          </w:tcPr>
          <w:p w14:paraId="419E590B" w14:textId="0B598D23" w:rsidR="00DA66D1" w:rsidRPr="00DA66D1" w:rsidRDefault="00DA66D1" w:rsidP="00DA66D1">
            <w:pPr>
              <w:jc w:val="center"/>
              <w:rPr>
                <w:b/>
                <w:bCs/>
                <w:lang w:val="en-US"/>
              </w:rPr>
            </w:pPr>
            <w:r w:rsidRPr="00DA66D1">
              <w:rPr>
                <w:b/>
                <w:bCs/>
                <w:lang w:val="en-US"/>
              </w:rPr>
              <w:t>Section</w:t>
            </w:r>
          </w:p>
        </w:tc>
        <w:tc>
          <w:tcPr>
            <w:tcW w:w="4111" w:type="dxa"/>
          </w:tcPr>
          <w:p w14:paraId="72CAC865" w14:textId="4C94A1DD" w:rsidR="00DA66D1" w:rsidRPr="00DA66D1" w:rsidRDefault="00DA66D1" w:rsidP="00DA66D1">
            <w:pPr>
              <w:jc w:val="center"/>
              <w:rPr>
                <w:b/>
                <w:bCs/>
                <w:lang w:val="en-US"/>
              </w:rPr>
            </w:pPr>
            <w:r w:rsidRPr="00DA66D1">
              <w:rPr>
                <w:b/>
                <w:bCs/>
                <w:lang w:val="en-US"/>
              </w:rPr>
              <w:t>Description &amp; Key Insights</w:t>
            </w:r>
          </w:p>
        </w:tc>
        <w:tc>
          <w:tcPr>
            <w:tcW w:w="2642" w:type="dxa"/>
          </w:tcPr>
          <w:p w14:paraId="6876BCE1" w14:textId="0F1C2E26" w:rsidR="00DA66D1" w:rsidRPr="00DA66D1" w:rsidRDefault="00DA66D1" w:rsidP="00DA66D1">
            <w:pPr>
              <w:jc w:val="center"/>
              <w:rPr>
                <w:b/>
                <w:bCs/>
                <w:lang w:val="en-US"/>
              </w:rPr>
            </w:pPr>
            <w:r w:rsidRPr="00DA66D1">
              <w:rPr>
                <w:b/>
                <w:bCs/>
                <w:lang w:val="en-US"/>
              </w:rPr>
              <w:t>Supporting Visuals (from Dashboard)</w:t>
            </w:r>
          </w:p>
        </w:tc>
      </w:tr>
      <w:tr w:rsidR="00DA66D1" w14:paraId="7A491780" w14:textId="77777777" w:rsidTr="00163A24">
        <w:tc>
          <w:tcPr>
            <w:tcW w:w="2263" w:type="dxa"/>
          </w:tcPr>
          <w:p w14:paraId="5B50921F" w14:textId="089664BF" w:rsidR="00DA66D1" w:rsidRPr="00DA66D1" w:rsidRDefault="00DA66D1" w:rsidP="00DA66D1">
            <w:pPr>
              <w:jc w:val="center"/>
              <w:rPr>
                <w:sz w:val="20"/>
                <w:szCs w:val="20"/>
                <w:lang w:val="en-US"/>
              </w:rPr>
            </w:pPr>
            <w:r w:rsidRPr="00DA66D1">
              <w:rPr>
                <w:sz w:val="20"/>
                <w:szCs w:val="20"/>
                <w:lang w:val="en-US"/>
              </w:rPr>
              <w:t>Executive Summary</w:t>
            </w:r>
          </w:p>
        </w:tc>
        <w:tc>
          <w:tcPr>
            <w:tcW w:w="4111" w:type="dxa"/>
          </w:tcPr>
          <w:p w14:paraId="3D028428" w14:textId="6BAAEE3F" w:rsidR="00DA66D1" w:rsidRPr="00163A24" w:rsidRDefault="00DA66D1" w:rsidP="00163A24">
            <w:pPr>
              <w:rPr>
                <w:sz w:val="20"/>
                <w:szCs w:val="20"/>
                <w:lang w:val="en-US"/>
              </w:rPr>
            </w:pPr>
            <w:r w:rsidRPr="00DA66D1">
              <w:rPr>
                <w:sz w:val="20"/>
                <w:szCs w:val="20"/>
                <w:lang w:val="en-US"/>
              </w:rPr>
              <w:t>A concise overview of the project's most significant findings. Insight: Global inflation exhibits a clear, long-term trend of disinflation, which was aggressively reversed by the post-2020 synchronized global shock. The stability gap between G7 and BRICS remains the primary finding.</w:t>
            </w:r>
          </w:p>
        </w:tc>
        <w:tc>
          <w:tcPr>
            <w:tcW w:w="2642" w:type="dxa"/>
          </w:tcPr>
          <w:p w14:paraId="632A0B90" w14:textId="77777777" w:rsidR="00DA66D1" w:rsidRPr="00DA66D1" w:rsidRDefault="00DA66D1" w:rsidP="00163A24">
            <w:pPr>
              <w:rPr>
                <w:sz w:val="20"/>
                <w:szCs w:val="20"/>
                <w:lang w:val="en-US"/>
              </w:rPr>
            </w:pPr>
            <w:r w:rsidRPr="00DA66D1">
              <w:rPr>
                <w:sz w:val="20"/>
                <w:szCs w:val="20"/>
                <w:lang w:val="en-US"/>
              </w:rPr>
              <w:t>KPI Cards (Global Median), Main Line Chart (G7 vs. BRICS)</w:t>
            </w:r>
          </w:p>
          <w:p w14:paraId="2494C4A8" w14:textId="77777777" w:rsidR="00DA66D1" w:rsidRDefault="00DA66D1" w:rsidP="00163A24">
            <w:pPr>
              <w:rPr>
                <w:sz w:val="20"/>
                <w:szCs w:val="20"/>
              </w:rPr>
            </w:pPr>
          </w:p>
        </w:tc>
      </w:tr>
      <w:tr w:rsidR="00DA66D1" w14:paraId="442CD55F" w14:textId="77777777" w:rsidTr="00163A24">
        <w:tc>
          <w:tcPr>
            <w:tcW w:w="2263" w:type="dxa"/>
          </w:tcPr>
          <w:p w14:paraId="61178BB9" w14:textId="72C30595" w:rsidR="00DA66D1" w:rsidRPr="00DA66D1" w:rsidRDefault="00DA66D1" w:rsidP="00DA66D1">
            <w:pPr>
              <w:jc w:val="center"/>
              <w:rPr>
                <w:sz w:val="20"/>
                <w:szCs w:val="20"/>
                <w:lang w:val="en-US"/>
              </w:rPr>
            </w:pPr>
            <w:r w:rsidRPr="00DA66D1">
              <w:rPr>
                <w:sz w:val="20"/>
                <w:szCs w:val="20"/>
                <w:lang w:val="en-US"/>
              </w:rPr>
              <w:t>Data &amp; Methodology</w:t>
            </w:r>
          </w:p>
        </w:tc>
        <w:tc>
          <w:tcPr>
            <w:tcW w:w="4111" w:type="dxa"/>
          </w:tcPr>
          <w:p w14:paraId="5F582CB8" w14:textId="3D727979" w:rsidR="00DA66D1" w:rsidRPr="00163A24" w:rsidRDefault="00163A24" w:rsidP="00163A24">
            <w:pPr>
              <w:rPr>
                <w:sz w:val="20"/>
                <w:szCs w:val="20"/>
                <w:lang w:val="en-US"/>
              </w:rPr>
            </w:pPr>
            <w:r w:rsidRPr="00163A24">
              <w:rPr>
                <w:sz w:val="20"/>
                <w:szCs w:val="20"/>
                <w:lang w:val="en-US"/>
              </w:rPr>
              <w:t xml:space="preserve">Details the data source, the Power Query Unpivot transformation, and the data cleaning rationale (filtering countries, handling </w:t>
            </w:r>
            <w:proofErr w:type="spellStart"/>
            <w:r w:rsidRPr="00163A24">
              <w:rPr>
                <w:sz w:val="20"/>
                <w:szCs w:val="20"/>
                <w:lang w:val="en-US"/>
              </w:rPr>
              <w:t>NaNs</w:t>
            </w:r>
            <w:proofErr w:type="spellEnd"/>
            <w:r w:rsidRPr="00163A24">
              <w:rPr>
                <w:sz w:val="20"/>
                <w:szCs w:val="20"/>
                <w:lang w:val="en-US"/>
              </w:rPr>
              <w:t>). Justifies the use of the Median Inflation DAX Measure to handle hyperinflation outliers.</w:t>
            </w:r>
          </w:p>
        </w:tc>
        <w:tc>
          <w:tcPr>
            <w:tcW w:w="2642" w:type="dxa"/>
          </w:tcPr>
          <w:p w14:paraId="5D8B72FD" w14:textId="77777777" w:rsidR="00163A24" w:rsidRPr="00163A24" w:rsidRDefault="00163A24" w:rsidP="00163A24">
            <w:pPr>
              <w:rPr>
                <w:sz w:val="20"/>
                <w:szCs w:val="20"/>
                <w:lang w:val="en-US"/>
              </w:rPr>
            </w:pPr>
            <w:r w:rsidRPr="00163A24">
              <w:rPr>
                <w:sz w:val="20"/>
                <w:szCs w:val="20"/>
                <w:lang w:val="en-US"/>
              </w:rPr>
              <w:t>Data Quality Report Summary</w:t>
            </w:r>
          </w:p>
          <w:p w14:paraId="54B879FE" w14:textId="77777777" w:rsidR="00DA66D1" w:rsidRDefault="00DA66D1" w:rsidP="00163A24">
            <w:pPr>
              <w:rPr>
                <w:sz w:val="20"/>
                <w:szCs w:val="20"/>
              </w:rPr>
            </w:pPr>
          </w:p>
        </w:tc>
      </w:tr>
      <w:tr w:rsidR="00DA66D1" w14:paraId="232DC268" w14:textId="77777777" w:rsidTr="00163A24">
        <w:tc>
          <w:tcPr>
            <w:tcW w:w="2263" w:type="dxa"/>
          </w:tcPr>
          <w:p w14:paraId="07027E06" w14:textId="7CA201AE" w:rsidR="00DA66D1" w:rsidRPr="00DA66D1" w:rsidRDefault="00DA66D1" w:rsidP="00DA66D1">
            <w:pPr>
              <w:numPr>
                <w:ilvl w:val="0"/>
                <w:numId w:val="10"/>
              </w:numPr>
              <w:rPr>
                <w:sz w:val="20"/>
                <w:szCs w:val="20"/>
                <w:lang w:val="en-US"/>
              </w:rPr>
            </w:pPr>
            <w:r w:rsidRPr="00DA66D1">
              <w:rPr>
                <w:sz w:val="20"/>
                <w:szCs w:val="20"/>
                <w:lang w:val="en-US"/>
              </w:rPr>
              <w:t>Trends Over Time (Global &amp; Blocs)</w:t>
            </w:r>
          </w:p>
        </w:tc>
        <w:tc>
          <w:tcPr>
            <w:tcW w:w="4111" w:type="dxa"/>
          </w:tcPr>
          <w:p w14:paraId="05A95DDC" w14:textId="46BC360D" w:rsidR="00DA66D1" w:rsidRPr="00163A24" w:rsidRDefault="00163A24" w:rsidP="00163A24">
            <w:pPr>
              <w:rPr>
                <w:sz w:val="20"/>
                <w:szCs w:val="20"/>
                <w:lang w:val="en-US"/>
              </w:rPr>
            </w:pPr>
            <w:r w:rsidRPr="00163A24">
              <w:rPr>
                <w:sz w:val="20"/>
                <w:szCs w:val="20"/>
                <w:lang w:val="en-US"/>
              </w:rPr>
              <w:t>Analyzes the long-term trend (1980-2024). Observation: The global median rate peaked in the early 1980s and was successfully contained until the recent resurgence. The G7 line proves long-term policy effectiveness, while the BRICS line shows persistent volatility.</w:t>
            </w:r>
          </w:p>
        </w:tc>
        <w:tc>
          <w:tcPr>
            <w:tcW w:w="2642" w:type="dxa"/>
          </w:tcPr>
          <w:p w14:paraId="1DB83629" w14:textId="77777777" w:rsidR="00163A24" w:rsidRPr="00163A24" w:rsidRDefault="00163A24" w:rsidP="00163A24">
            <w:pPr>
              <w:rPr>
                <w:sz w:val="20"/>
                <w:szCs w:val="20"/>
                <w:lang w:val="en-US"/>
              </w:rPr>
            </w:pPr>
            <w:r w:rsidRPr="00163A24">
              <w:rPr>
                <w:sz w:val="20"/>
                <w:szCs w:val="20"/>
                <w:lang w:val="en-US"/>
              </w:rPr>
              <w:t>Main Line Chart (G7 vs. BRICS)</w:t>
            </w:r>
          </w:p>
          <w:p w14:paraId="4D8284CE" w14:textId="77777777" w:rsidR="00DA66D1" w:rsidRDefault="00DA66D1" w:rsidP="00163A24">
            <w:pPr>
              <w:rPr>
                <w:sz w:val="20"/>
                <w:szCs w:val="20"/>
              </w:rPr>
            </w:pPr>
          </w:p>
        </w:tc>
      </w:tr>
      <w:tr w:rsidR="00DA66D1" w14:paraId="5F6BDBF1" w14:textId="77777777" w:rsidTr="00163A24">
        <w:tc>
          <w:tcPr>
            <w:tcW w:w="2263" w:type="dxa"/>
          </w:tcPr>
          <w:p w14:paraId="70E1135C" w14:textId="77777777" w:rsidR="00DA66D1" w:rsidRPr="00DA66D1" w:rsidRDefault="00DA66D1" w:rsidP="00DA66D1">
            <w:pPr>
              <w:numPr>
                <w:ilvl w:val="0"/>
                <w:numId w:val="11"/>
              </w:numPr>
              <w:rPr>
                <w:sz w:val="20"/>
                <w:szCs w:val="20"/>
                <w:lang w:val="en-US"/>
              </w:rPr>
            </w:pPr>
            <w:r w:rsidRPr="00DA66D1">
              <w:rPr>
                <w:sz w:val="20"/>
                <w:szCs w:val="20"/>
                <w:lang w:val="en-US"/>
              </w:rPr>
              <w:t>Performance Comparisons (Stability Gap)</w:t>
            </w:r>
          </w:p>
          <w:p w14:paraId="2D87D504" w14:textId="77777777" w:rsidR="00DA66D1" w:rsidRDefault="00DA66D1">
            <w:pPr>
              <w:jc w:val="center"/>
              <w:rPr>
                <w:sz w:val="20"/>
                <w:szCs w:val="20"/>
              </w:rPr>
            </w:pPr>
          </w:p>
        </w:tc>
        <w:tc>
          <w:tcPr>
            <w:tcW w:w="4111" w:type="dxa"/>
          </w:tcPr>
          <w:p w14:paraId="4F03CDFF" w14:textId="1782D82E" w:rsidR="00DA66D1" w:rsidRPr="00163A24" w:rsidRDefault="00163A24" w:rsidP="00163A24">
            <w:pPr>
              <w:rPr>
                <w:sz w:val="20"/>
                <w:szCs w:val="20"/>
                <w:lang w:val="en-US"/>
              </w:rPr>
            </w:pPr>
            <w:r w:rsidRPr="00163A24">
              <w:rPr>
                <w:sz w:val="20"/>
                <w:szCs w:val="20"/>
                <w:lang w:val="en-US"/>
              </w:rPr>
              <w:t>Focuses on the divergence between the G7 and BRICS blocs. Observation: BRICS median inflation consistently exceeded G7 rates by 2x to 5x during the 1990s and 2000s, reflecting higher economic risk. The recent synchronization post-2020 suggests shared macro-drivers.</w:t>
            </w:r>
          </w:p>
        </w:tc>
        <w:tc>
          <w:tcPr>
            <w:tcW w:w="2642" w:type="dxa"/>
          </w:tcPr>
          <w:p w14:paraId="1C3842F9" w14:textId="77777777" w:rsidR="00163A24" w:rsidRPr="00163A24" w:rsidRDefault="00163A24" w:rsidP="00163A24">
            <w:pPr>
              <w:rPr>
                <w:sz w:val="20"/>
                <w:szCs w:val="20"/>
                <w:lang w:val="en-US"/>
              </w:rPr>
            </w:pPr>
            <w:r w:rsidRPr="00163A24">
              <w:rPr>
                <w:sz w:val="20"/>
                <w:szCs w:val="20"/>
                <w:lang w:val="en-US"/>
              </w:rPr>
              <w:t>Main Line Chart (Comparative view)</w:t>
            </w:r>
          </w:p>
          <w:p w14:paraId="60029DC8" w14:textId="77777777" w:rsidR="00DA66D1" w:rsidRDefault="00DA66D1" w:rsidP="00163A24">
            <w:pPr>
              <w:rPr>
                <w:sz w:val="20"/>
                <w:szCs w:val="20"/>
              </w:rPr>
            </w:pPr>
          </w:p>
        </w:tc>
      </w:tr>
      <w:tr w:rsidR="00DA66D1" w14:paraId="3DC4D7B0" w14:textId="77777777" w:rsidTr="00163A24">
        <w:tc>
          <w:tcPr>
            <w:tcW w:w="2263" w:type="dxa"/>
          </w:tcPr>
          <w:p w14:paraId="7A111A38" w14:textId="5235A1CF" w:rsidR="00DA66D1" w:rsidRPr="00DA66D1" w:rsidRDefault="00DA66D1" w:rsidP="00DA66D1">
            <w:pPr>
              <w:pStyle w:val="ListParagraph"/>
              <w:numPr>
                <w:ilvl w:val="0"/>
                <w:numId w:val="11"/>
              </w:numPr>
              <w:rPr>
                <w:sz w:val="20"/>
                <w:szCs w:val="20"/>
                <w:lang w:val="en-US"/>
              </w:rPr>
            </w:pPr>
            <w:r w:rsidRPr="00DA66D1">
              <w:rPr>
                <w:sz w:val="20"/>
                <w:szCs w:val="20"/>
                <w:lang w:val="en-US"/>
              </w:rPr>
              <w:t>Customer Segmentation (Extreme Cases)</w:t>
            </w:r>
          </w:p>
          <w:p w14:paraId="09DF6B7F" w14:textId="77777777" w:rsidR="00DA66D1" w:rsidRDefault="00DA66D1">
            <w:pPr>
              <w:jc w:val="center"/>
              <w:rPr>
                <w:sz w:val="20"/>
                <w:szCs w:val="20"/>
              </w:rPr>
            </w:pPr>
          </w:p>
        </w:tc>
        <w:tc>
          <w:tcPr>
            <w:tcW w:w="4111" w:type="dxa"/>
          </w:tcPr>
          <w:p w14:paraId="2B53CD27" w14:textId="77777777" w:rsidR="00163A24" w:rsidRPr="00163A24" w:rsidRDefault="00163A24" w:rsidP="00163A24">
            <w:pPr>
              <w:rPr>
                <w:sz w:val="20"/>
                <w:szCs w:val="20"/>
                <w:lang w:val="en-US"/>
              </w:rPr>
            </w:pPr>
            <w:r w:rsidRPr="00163A24">
              <w:rPr>
                <w:sz w:val="20"/>
                <w:szCs w:val="20"/>
                <w:lang w:val="en-US"/>
              </w:rPr>
              <w:t>Identifies and contrasts the countries at the extreme ends of the inflation spectrum. Observation: The gap between the most stable economies (Japan, Switzerland) and the most volatile (Venezuela, Congo) highlights the limits of simple global averages. This section validates the use of median metrics.</w:t>
            </w:r>
          </w:p>
          <w:p w14:paraId="5B2B90A5" w14:textId="77777777" w:rsidR="00DA66D1" w:rsidRDefault="00DA66D1" w:rsidP="00163A24">
            <w:pPr>
              <w:rPr>
                <w:sz w:val="20"/>
                <w:szCs w:val="20"/>
              </w:rPr>
            </w:pPr>
          </w:p>
        </w:tc>
        <w:tc>
          <w:tcPr>
            <w:tcW w:w="2642" w:type="dxa"/>
          </w:tcPr>
          <w:p w14:paraId="0A9E5CBB" w14:textId="77777777" w:rsidR="00163A24" w:rsidRPr="00163A24" w:rsidRDefault="00163A24" w:rsidP="00163A24">
            <w:pPr>
              <w:rPr>
                <w:sz w:val="20"/>
                <w:szCs w:val="20"/>
                <w:lang w:val="en-US"/>
              </w:rPr>
            </w:pPr>
            <w:r w:rsidRPr="00163A24">
              <w:rPr>
                <w:sz w:val="20"/>
                <w:szCs w:val="20"/>
                <w:lang w:val="en-US"/>
              </w:rPr>
              <w:t>Outlier Line Chart (Bottom Panel)</w:t>
            </w:r>
          </w:p>
          <w:p w14:paraId="3158FBE9" w14:textId="77777777" w:rsidR="00DA66D1" w:rsidRDefault="00DA66D1" w:rsidP="00163A24">
            <w:pPr>
              <w:rPr>
                <w:sz w:val="20"/>
                <w:szCs w:val="20"/>
              </w:rPr>
            </w:pPr>
          </w:p>
        </w:tc>
      </w:tr>
      <w:tr w:rsidR="00DA66D1" w14:paraId="7E7DDD09" w14:textId="77777777" w:rsidTr="00163A24">
        <w:tc>
          <w:tcPr>
            <w:tcW w:w="2263" w:type="dxa"/>
          </w:tcPr>
          <w:p w14:paraId="71B1E676" w14:textId="77777777" w:rsidR="00DA66D1" w:rsidRPr="00DA66D1" w:rsidRDefault="00DA66D1" w:rsidP="00DA66D1">
            <w:pPr>
              <w:jc w:val="center"/>
              <w:rPr>
                <w:sz w:val="20"/>
                <w:szCs w:val="20"/>
                <w:lang w:val="en-US"/>
              </w:rPr>
            </w:pPr>
            <w:r w:rsidRPr="00DA66D1">
              <w:rPr>
                <w:sz w:val="20"/>
                <w:szCs w:val="20"/>
                <w:lang w:val="en-US"/>
              </w:rPr>
              <w:t>Conclusion &amp; Recommendations</w:t>
            </w:r>
          </w:p>
          <w:p w14:paraId="43933DB3" w14:textId="77777777" w:rsidR="00DA66D1" w:rsidRDefault="00DA66D1">
            <w:pPr>
              <w:jc w:val="center"/>
              <w:rPr>
                <w:sz w:val="20"/>
                <w:szCs w:val="20"/>
              </w:rPr>
            </w:pPr>
          </w:p>
        </w:tc>
        <w:tc>
          <w:tcPr>
            <w:tcW w:w="4111" w:type="dxa"/>
          </w:tcPr>
          <w:p w14:paraId="461AB7E4" w14:textId="77777777" w:rsidR="00163A24" w:rsidRPr="00163A24" w:rsidRDefault="00163A24" w:rsidP="00163A24">
            <w:pPr>
              <w:rPr>
                <w:sz w:val="20"/>
                <w:szCs w:val="20"/>
                <w:lang w:val="en-US"/>
              </w:rPr>
            </w:pPr>
            <w:r w:rsidRPr="00163A24">
              <w:rPr>
                <w:sz w:val="20"/>
                <w:szCs w:val="20"/>
                <w:lang w:val="en-US"/>
              </w:rPr>
              <w:t>Summarizes final findings and provides actionable advice. Recommendation: Policy makers must differentiate the cause of inflation (local vs. global) using the bloc comparison. Investment analysts must continue to price in the high volatility risk for BRICS markets.</w:t>
            </w:r>
          </w:p>
          <w:p w14:paraId="02B2CFCD" w14:textId="77777777" w:rsidR="00DA66D1" w:rsidRDefault="00DA66D1" w:rsidP="00163A24">
            <w:pPr>
              <w:rPr>
                <w:sz w:val="20"/>
                <w:szCs w:val="20"/>
              </w:rPr>
            </w:pPr>
          </w:p>
        </w:tc>
        <w:tc>
          <w:tcPr>
            <w:tcW w:w="2642" w:type="dxa"/>
          </w:tcPr>
          <w:p w14:paraId="7E60A510" w14:textId="77777777" w:rsidR="00163A24" w:rsidRPr="00163A24" w:rsidRDefault="00163A24" w:rsidP="00163A24">
            <w:pPr>
              <w:rPr>
                <w:sz w:val="20"/>
                <w:szCs w:val="20"/>
                <w:lang w:val="en-US"/>
              </w:rPr>
            </w:pPr>
            <w:r w:rsidRPr="00163A24">
              <w:rPr>
                <w:sz w:val="20"/>
                <w:szCs w:val="20"/>
                <w:lang w:val="en-US"/>
              </w:rPr>
              <w:t>None (Text Summary)</w:t>
            </w:r>
          </w:p>
          <w:p w14:paraId="20DAA1CC" w14:textId="77777777" w:rsidR="00DA66D1" w:rsidRDefault="00DA66D1" w:rsidP="00163A24">
            <w:pPr>
              <w:rPr>
                <w:sz w:val="20"/>
                <w:szCs w:val="20"/>
              </w:rPr>
            </w:pPr>
          </w:p>
        </w:tc>
      </w:tr>
    </w:tbl>
    <w:p w14:paraId="180A9E95" w14:textId="4C3488DF" w:rsidR="00720545" w:rsidRDefault="00000000" w:rsidP="00163A24">
      <w:pPr>
        <w:shd w:val="clear" w:color="auto" w:fill="FFFFFF"/>
        <w:jc w:val="center"/>
        <w:rPr>
          <w:sz w:val="20"/>
          <w:szCs w:val="20"/>
        </w:rPr>
      </w:pPr>
      <w:r>
        <w:rPr>
          <w:sz w:val="20"/>
          <w:szCs w:val="20"/>
        </w:rPr>
        <w:t xml:space="preserve">                    </w:t>
      </w:r>
    </w:p>
    <w:p w14:paraId="5F82A5C8" w14:textId="613EB0CF" w:rsidR="00C4427C" w:rsidRDefault="00C4427C" w:rsidP="00163A24">
      <w:pPr>
        <w:shd w:val="clear" w:color="auto" w:fill="FFFFFF"/>
        <w:rPr>
          <w:sz w:val="28"/>
          <w:szCs w:val="28"/>
          <w:highlight w:val="white"/>
          <w:lang w:val="en-US"/>
        </w:rPr>
      </w:pPr>
      <w:r>
        <w:rPr>
          <w:noProof/>
          <w:sz w:val="28"/>
          <w:szCs w:val="28"/>
          <w:lang w:val="en-US"/>
        </w:rPr>
        <w:lastRenderedPageBreak/>
        <w:drawing>
          <wp:inline distT="0" distB="0" distL="0" distR="0" wp14:anchorId="3D11CE97" wp14:editId="1B19DCFE">
            <wp:extent cx="5731510" cy="5217160"/>
            <wp:effectExtent l="0" t="0" r="2540" b="2540"/>
            <wp:docPr id="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5217160"/>
                    </a:xfrm>
                    <a:prstGeom prst="rect">
                      <a:avLst/>
                    </a:prstGeom>
                  </pic:spPr>
                </pic:pic>
              </a:graphicData>
            </a:graphic>
          </wp:inline>
        </w:drawing>
      </w:r>
    </w:p>
    <w:p w14:paraId="4C75A92B" w14:textId="6D4DDF76" w:rsidR="00163A24" w:rsidRPr="00163A24" w:rsidRDefault="00163A24" w:rsidP="00163A24">
      <w:pPr>
        <w:shd w:val="clear" w:color="auto" w:fill="FFFFFF"/>
        <w:rPr>
          <w:sz w:val="28"/>
          <w:szCs w:val="28"/>
          <w:highlight w:val="white"/>
          <w:lang w:val="en-US"/>
        </w:rPr>
      </w:pPr>
      <w:r w:rsidRPr="00163A24">
        <w:rPr>
          <w:sz w:val="28"/>
          <w:szCs w:val="28"/>
          <w:highlight w:val="white"/>
          <w:lang w:val="en-US"/>
        </w:rPr>
        <w:t xml:space="preserve">II. Detailed Analytical Observations (Example Report Content) </w:t>
      </w:r>
    </w:p>
    <w:p w14:paraId="724EBD7D" w14:textId="3A1B82CC" w:rsidR="00163A24" w:rsidRPr="00163A24" w:rsidRDefault="00163A24" w:rsidP="00163A24">
      <w:pPr>
        <w:shd w:val="clear" w:color="auto" w:fill="FFFFFF"/>
        <w:rPr>
          <w:sz w:val="20"/>
          <w:szCs w:val="20"/>
          <w:highlight w:val="white"/>
          <w:lang w:val="en-US"/>
        </w:rPr>
      </w:pPr>
      <w:r w:rsidRPr="00163A24">
        <w:rPr>
          <w:sz w:val="20"/>
          <w:szCs w:val="20"/>
          <w:highlight w:val="white"/>
          <w:lang w:val="en-US"/>
        </w:rPr>
        <w:t>Observations drawn from the dashboard visualizations:</w:t>
      </w:r>
    </w:p>
    <w:p w14:paraId="51C861D7" w14:textId="77777777" w:rsidR="00163A24" w:rsidRPr="00163A24" w:rsidRDefault="00163A24" w:rsidP="00163A24">
      <w:pPr>
        <w:pStyle w:val="ListParagraph"/>
        <w:numPr>
          <w:ilvl w:val="0"/>
          <w:numId w:val="13"/>
        </w:numPr>
        <w:shd w:val="clear" w:color="auto" w:fill="FFFFFF"/>
        <w:rPr>
          <w:b/>
          <w:bCs/>
          <w:sz w:val="20"/>
          <w:szCs w:val="20"/>
          <w:highlight w:val="white"/>
          <w:lang w:val="en-US"/>
        </w:rPr>
      </w:pPr>
      <w:r w:rsidRPr="00163A24">
        <w:rPr>
          <w:b/>
          <w:bCs/>
          <w:sz w:val="20"/>
          <w:szCs w:val="20"/>
          <w:highlight w:val="white"/>
          <w:lang w:val="en-US"/>
        </w:rPr>
        <w:t>Trends Over Time (Global Median):</w:t>
      </w:r>
    </w:p>
    <w:p w14:paraId="0F5E6893" w14:textId="77777777" w:rsidR="00163A24" w:rsidRPr="00163A24" w:rsidRDefault="00163A24" w:rsidP="00163A24">
      <w:pPr>
        <w:pStyle w:val="ListParagraph"/>
        <w:numPr>
          <w:ilvl w:val="0"/>
          <w:numId w:val="14"/>
        </w:numPr>
        <w:shd w:val="clear" w:color="auto" w:fill="FFFFFF"/>
        <w:rPr>
          <w:sz w:val="20"/>
          <w:szCs w:val="20"/>
          <w:highlight w:val="white"/>
          <w:lang w:val="en-US"/>
        </w:rPr>
      </w:pPr>
      <w:r w:rsidRPr="00163A24">
        <w:rPr>
          <w:sz w:val="20"/>
          <w:szCs w:val="20"/>
          <w:highlight w:val="white"/>
          <w:lang w:val="en-US"/>
        </w:rPr>
        <w:t>The long-term analysis confirms the period known as the "Great Moderation," where low inflation and low volatility were achieved globally from the mid-2000s until 2019. The recent spike represents the most significant global inflationary event since the 1980s.</w:t>
      </w:r>
    </w:p>
    <w:p w14:paraId="33DE7F5C" w14:textId="77777777" w:rsidR="00163A24" w:rsidRPr="00163A24" w:rsidRDefault="00163A24" w:rsidP="00163A24">
      <w:pPr>
        <w:pStyle w:val="ListParagraph"/>
        <w:numPr>
          <w:ilvl w:val="0"/>
          <w:numId w:val="13"/>
        </w:numPr>
        <w:shd w:val="clear" w:color="auto" w:fill="FFFFFF"/>
        <w:rPr>
          <w:b/>
          <w:bCs/>
          <w:sz w:val="20"/>
          <w:szCs w:val="20"/>
          <w:highlight w:val="white"/>
          <w:lang w:val="en-US"/>
        </w:rPr>
      </w:pPr>
      <w:r w:rsidRPr="00163A24">
        <w:rPr>
          <w:b/>
          <w:bCs/>
          <w:sz w:val="20"/>
          <w:szCs w:val="20"/>
          <w:highlight w:val="white"/>
          <w:lang w:val="en-US"/>
        </w:rPr>
        <w:t>Performance Comparisons (G7 vs. BRICS):</w:t>
      </w:r>
    </w:p>
    <w:p w14:paraId="79C8A97C" w14:textId="77777777" w:rsidR="00163A24" w:rsidRPr="00163A24" w:rsidRDefault="00163A24" w:rsidP="00163A24">
      <w:pPr>
        <w:pStyle w:val="ListParagraph"/>
        <w:numPr>
          <w:ilvl w:val="0"/>
          <w:numId w:val="14"/>
        </w:numPr>
        <w:shd w:val="clear" w:color="auto" w:fill="FFFFFF"/>
        <w:rPr>
          <w:sz w:val="20"/>
          <w:szCs w:val="20"/>
          <w:highlight w:val="white"/>
          <w:lang w:val="en-US"/>
        </w:rPr>
      </w:pPr>
      <w:r w:rsidRPr="00163A24">
        <w:rPr>
          <w:sz w:val="20"/>
          <w:szCs w:val="20"/>
          <w:highlight w:val="white"/>
          <w:lang w:val="en-US"/>
        </w:rPr>
        <w:t>During their transition periods (1990s), BRICS nations demonstrated extreme instability, with their median inflation rate occasionally spiking to over 20%. This suggests significant systemic economic challenges (e.g., currency crises, debt) that G7 economies were protected from.</w:t>
      </w:r>
    </w:p>
    <w:p w14:paraId="221AFBAD" w14:textId="77777777" w:rsidR="00163A24" w:rsidRPr="00163A24" w:rsidRDefault="00163A24" w:rsidP="00163A24">
      <w:pPr>
        <w:pStyle w:val="ListParagraph"/>
        <w:numPr>
          <w:ilvl w:val="0"/>
          <w:numId w:val="14"/>
        </w:numPr>
        <w:shd w:val="clear" w:color="auto" w:fill="FFFFFF"/>
        <w:rPr>
          <w:sz w:val="20"/>
          <w:szCs w:val="20"/>
          <w:highlight w:val="white"/>
          <w:lang w:val="en-US"/>
        </w:rPr>
      </w:pPr>
      <w:r w:rsidRPr="00163A24">
        <w:rPr>
          <w:sz w:val="20"/>
          <w:szCs w:val="20"/>
          <w:highlight w:val="white"/>
          <w:lang w:val="en-US"/>
        </w:rPr>
        <w:t>The convergence of G7 and BRICS inflation lines in the 2010s was a sign of increasing globalization and stability in emerging markets, making the subsequent, synchronized divergence post-2020 a major concern.</w:t>
      </w:r>
    </w:p>
    <w:p w14:paraId="0035D89E" w14:textId="77777777" w:rsidR="00163A24" w:rsidRPr="00163A24" w:rsidRDefault="00163A24" w:rsidP="00163A24">
      <w:pPr>
        <w:pStyle w:val="ListParagraph"/>
        <w:numPr>
          <w:ilvl w:val="0"/>
          <w:numId w:val="13"/>
        </w:numPr>
        <w:shd w:val="clear" w:color="auto" w:fill="FFFFFF"/>
        <w:rPr>
          <w:b/>
          <w:bCs/>
          <w:sz w:val="20"/>
          <w:szCs w:val="20"/>
          <w:highlight w:val="white"/>
          <w:lang w:val="en-US"/>
        </w:rPr>
      </w:pPr>
      <w:r w:rsidRPr="00163A24">
        <w:rPr>
          <w:b/>
          <w:bCs/>
          <w:sz w:val="20"/>
          <w:szCs w:val="20"/>
          <w:highlight w:val="white"/>
          <w:lang w:val="en-US"/>
        </w:rPr>
        <w:t>Outlier Impact (Extreme Cases):</w:t>
      </w:r>
    </w:p>
    <w:p w14:paraId="2CC3E4CA" w14:textId="77777777" w:rsidR="00163A24" w:rsidRPr="00163A24" w:rsidRDefault="00163A24" w:rsidP="00163A24">
      <w:pPr>
        <w:pStyle w:val="ListParagraph"/>
        <w:numPr>
          <w:ilvl w:val="0"/>
          <w:numId w:val="15"/>
        </w:numPr>
        <w:shd w:val="clear" w:color="auto" w:fill="FFFFFF"/>
        <w:rPr>
          <w:sz w:val="20"/>
          <w:szCs w:val="20"/>
          <w:highlight w:val="white"/>
          <w:lang w:val="en-US"/>
        </w:rPr>
      </w:pPr>
      <w:r w:rsidRPr="00163A24">
        <w:rPr>
          <w:sz w:val="20"/>
          <w:szCs w:val="20"/>
          <w:highlight w:val="white"/>
          <w:lang w:val="en-US"/>
        </w:rPr>
        <w:t>The extreme high inflation rates (reaching thousands of percent) for countries like Venezuela demonstrate why reporting the Global Mean would be highly misleading. The use of the robust Median DAX measure is justified as the only accurate way to represent central tendency in this dataset.</w:t>
      </w:r>
    </w:p>
    <w:p w14:paraId="722CE67C" w14:textId="77777777" w:rsidR="00163A24" w:rsidRPr="00163A24" w:rsidRDefault="00163A24" w:rsidP="00163A24">
      <w:pPr>
        <w:pStyle w:val="ListParagraph"/>
        <w:numPr>
          <w:ilvl w:val="0"/>
          <w:numId w:val="15"/>
        </w:numPr>
        <w:shd w:val="clear" w:color="auto" w:fill="FFFFFF"/>
        <w:rPr>
          <w:sz w:val="20"/>
          <w:szCs w:val="20"/>
          <w:highlight w:val="white"/>
          <w:lang w:val="en-US"/>
        </w:rPr>
      </w:pPr>
      <w:r w:rsidRPr="00163A24">
        <w:rPr>
          <w:sz w:val="20"/>
          <w:szCs w:val="20"/>
          <w:highlight w:val="white"/>
          <w:lang w:val="en-US"/>
        </w:rPr>
        <w:lastRenderedPageBreak/>
        <w:t>The consistent low inflation rates for G7 members like Japan and Switzerland prove the high effectiveness of their central banking policies and are the true benchmark for price stability.</w:t>
      </w:r>
    </w:p>
    <w:p w14:paraId="6FC36CF7" w14:textId="77777777" w:rsidR="00163A24" w:rsidRPr="00163A24" w:rsidRDefault="00163A24" w:rsidP="00163A24">
      <w:pPr>
        <w:shd w:val="clear" w:color="auto" w:fill="FFFFFF"/>
        <w:rPr>
          <w:sz w:val="20"/>
          <w:szCs w:val="20"/>
          <w:highlight w:val="white"/>
        </w:rPr>
      </w:pPr>
    </w:p>
    <w:p w14:paraId="29E6CBAE" w14:textId="570A964A" w:rsidR="00720545" w:rsidRDefault="00720545">
      <w:pPr>
        <w:pBdr>
          <w:top w:val="nil"/>
          <w:left w:val="nil"/>
          <w:bottom w:val="nil"/>
          <w:right w:val="nil"/>
          <w:between w:val="nil"/>
        </w:pBdr>
        <w:spacing w:after="200" w:line="240" w:lineRule="auto"/>
        <w:rPr>
          <w:rFonts w:ascii="Arial" w:eastAsia="Arial" w:hAnsi="Arial" w:cs="Arial"/>
          <w:color w:val="000000"/>
          <w:sz w:val="20"/>
          <w:szCs w:val="20"/>
        </w:rPr>
      </w:pPr>
    </w:p>
    <w:p w14:paraId="422222D0" w14:textId="77777777" w:rsidR="00AF7735" w:rsidRPr="00AF7735" w:rsidRDefault="00AF7735" w:rsidP="00AF7735">
      <w:pPr>
        <w:spacing w:before="100" w:beforeAutospacing="1" w:after="100" w:afterAutospacing="1" w:line="240" w:lineRule="auto"/>
        <w:ind w:left="720"/>
        <w:rPr>
          <w:rFonts w:ascii="Times New Roman" w:eastAsia="Times New Roman" w:hAnsi="Times New Roman" w:cs="Times New Roman"/>
          <w:sz w:val="24"/>
          <w:szCs w:val="24"/>
        </w:rPr>
      </w:pP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0C11"/>
    <w:multiLevelType w:val="hybridMultilevel"/>
    <w:tmpl w:val="602AC966"/>
    <w:lvl w:ilvl="0" w:tplc="BAFC090C">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77825"/>
    <w:multiLevelType w:val="hybridMultilevel"/>
    <w:tmpl w:val="76F8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34E0B"/>
    <w:multiLevelType w:val="hybridMultilevel"/>
    <w:tmpl w:val="3270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A48F1"/>
    <w:multiLevelType w:val="multilevel"/>
    <w:tmpl w:val="2E4225E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F4B65"/>
    <w:multiLevelType w:val="hybridMultilevel"/>
    <w:tmpl w:val="BF7A4E4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BA0C6B"/>
    <w:multiLevelType w:val="multilevel"/>
    <w:tmpl w:val="295C39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07DB6"/>
    <w:multiLevelType w:val="multilevel"/>
    <w:tmpl w:val="EB0014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2"/>
  </w:num>
  <w:num w:numId="2" w16cid:durableId="1645432796">
    <w:abstractNumId w:val="8"/>
  </w:num>
  <w:num w:numId="3" w16cid:durableId="275448970">
    <w:abstractNumId w:val="4"/>
  </w:num>
  <w:num w:numId="4" w16cid:durableId="1463424373">
    <w:abstractNumId w:val="1"/>
  </w:num>
  <w:num w:numId="5" w16cid:durableId="1771975069">
    <w:abstractNumId w:val="6"/>
  </w:num>
  <w:num w:numId="6" w16cid:durableId="542443052">
    <w:abstractNumId w:val="2"/>
  </w:num>
  <w:num w:numId="7" w16cid:durableId="1289777035">
    <w:abstractNumId w:val="9"/>
  </w:num>
  <w:num w:numId="8" w16cid:durableId="674189717">
    <w:abstractNumId w:val="14"/>
  </w:num>
  <w:num w:numId="9" w16cid:durableId="1101997984">
    <w:abstractNumId w:val="0"/>
  </w:num>
  <w:num w:numId="10" w16cid:durableId="69038420">
    <w:abstractNumId w:val="11"/>
  </w:num>
  <w:num w:numId="11" w16cid:durableId="24642574">
    <w:abstractNumId w:val="7"/>
  </w:num>
  <w:num w:numId="12" w16cid:durableId="344747857">
    <w:abstractNumId w:val="13"/>
  </w:num>
  <w:num w:numId="13" w16cid:durableId="430249647">
    <w:abstractNumId w:val="10"/>
  </w:num>
  <w:num w:numId="14" w16cid:durableId="354814699">
    <w:abstractNumId w:val="3"/>
  </w:num>
  <w:num w:numId="15" w16cid:durableId="19829274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163A24"/>
    <w:rsid w:val="00435593"/>
    <w:rsid w:val="00642171"/>
    <w:rsid w:val="00720545"/>
    <w:rsid w:val="00845500"/>
    <w:rsid w:val="00A136B3"/>
    <w:rsid w:val="00A20696"/>
    <w:rsid w:val="00AF7735"/>
    <w:rsid w:val="00C4427C"/>
    <w:rsid w:val="00D043A9"/>
    <w:rsid w:val="00DA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 w:type="table" w:styleId="TableGrid">
    <w:name w:val="Table Grid"/>
    <w:basedOn w:val="TableNormal"/>
    <w:uiPriority w:val="39"/>
    <w:rsid w:val="00DA6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48768028">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13911948">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19978150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00038805">
      <w:bodyDiv w:val="1"/>
      <w:marLeft w:val="0"/>
      <w:marRight w:val="0"/>
      <w:marTop w:val="0"/>
      <w:marBottom w:val="0"/>
      <w:divBdr>
        <w:top w:val="none" w:sz="0" w:space="0" w:color="auto"/>
        <w:left w:val="none" w:sz="0" w:space="0" w:color="auto"/>
        <w:bottom w:val="none" w:sz="0" w:space="0" w:color="auto"/>
        <w:right w:val="none" w:sz="0" w:space="0" w:color="auto"/>
      </w:divBdr>
    </w:div>
    <w:div w:id="354237330">
      <w:bodyDiv w:val="1"/>
      <w:marLeft w:val="0"/>
      <w:marRight w:val="0"/>
      <w:marTop w:val="0"/>
      <w:marBottom w:val="0"/>
      <w:divBdr>
        <w:top w:val="none" w:sz="0" w:space="0" w:color="auto"/>
        <w:left w:val="none" w:sz="0" w:space="0" w:color="auto"/>
        <w:bottom w:val="none" w:sz="0" w:space="0" w:color="auto"/>
        <w:right w:val="none" w:sz="0" w:space="0" w:color="auto"/>
      </w:divBdr>
    </w:div>
    <w:div w:id="376243413">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421340893">
      <w:bodyDiv w:val="1"/>
      <w:marLeft w:val="0"/>
      <w:marRight w:val="0"/>
      <w:marTop w:val="0"/>
      <w:marBottom w:val="0"/>
      <w:divBdr>
        <w:top w:val="none" w:sz="0" w:space="0" w:color="auto"/>
        <w:left w:val="none" w:sz="0" w:space="0" w:color="auto"/>
        <w:bottom w:val="none" w:sz="0" w:space="0" w:color="auto"/>
        <w:right w:val="none" w:sz="0" w:space="0" w:color="auto"/>
      </w:divBdr>
    </w:div>
    <w:div w:id="462117481">
      <w:bodyDiv w:val="1"/>
      <w:marLeft w:val="0"/>
      <w:marRight w:val="0"/>
      <w:marTop w:val="0"/>
      <w:marBottom w:val="0"/>
      <w:divBdr>
        <w:top w:val="none" w:sz="0" w:space="0" w:color="auto"/>
        <w:left w:val="none" w:sz="0" w:space="0" w:color="auto"/>
        <w:bottom w:val="none" w:sz="0" w:space="0" w:color="auto"/>
        <w:right w:val="none" w:sz="0" w:space="0" w:color="auto"/>
      </w:divBdr>
    </w:div>
    <w:div w:id="484593111">
      <w:bodyDiv w:val="1"/>
      <w:marLeft w:val="0"/>
      <w:marRight w:val="0"/>
      <w:marTop w:val="0"/>
      <w:marBottom w:val="0"/>
      <w:divBdr>
        <w:top w:val="none" w:sz="0" w:space="0" w:color="auto"/>
        <w:left w:val="none" w:sz="0" w:space="0" w:color="auto"/>
        <w:bottom w:val="none" w:sz="0" w:space="0" w:color="auto"/>
        <w:right w:val="none" w:sz="0" w:space="0" w:color="auto"/>
      </w:divBdr>
    </w:div>
    <w:div w:id="494952724">
      <w:bodyDiv w:val="1"/>
      <w:marLeft w:val="0"/>
      <w:marRight w:val="0"/>
      <w:marTop w:val="0"/>
      <w:marBottom w:val="0"/>
      <w:divBdr>
        <w:top w:val="none" w:sz="0" w:space="0" w:color="auto"/>
        <w:left w:val="none" w:sz="0" w:space="0" w:color="auto"/>
        <w:bottom w:val="none" w:sz="0" w:space="0" w:color="auto"/>
        <w:right w:val="none" w:sz="0" w:space="0" w:color="auto"/>
      </w:divBdr>
    </w:div>
    <w:div w:id="495077092">
      <w:bodyDiv w:val="1"/>
      <w:marLeft w:val="0"/>
      <w:marRight w:val="0"/>
      <w:marTop w:val="0"/>
      <w:marBottom w:val="0"/>
      <w:divBdr>
        <w:top w:val="none" w:sz="0" w:space="0" w:color="auto"/>
        <w:left w:val="none" w:sz="0" w:space="0" w:color="auto"/>
        <w:bottom w:val="none" w:sz="0" w:space="0" w:color="auto"/>
        <w:right w:val="none" w:sz="0" w:space="0" w:color="auto"/>
      </w:divBdr>
    </w:div>
    <w:div w:id="522324429">
      <w:bodyDiv w:val="1"/>
      <w:marLeft w:val="0"/>
      <w:marRight w:val="0"/>
      <w:marTop w:val="0"/>
      <w:marBottom w:val="0"/>
      <w:divBdr>
        <w:top w:val="none" w:sz="0" w:space="0" w:color="auto"/>
        <w:left w:val="none" w:sz="0" w:space="0" w:color="auto"/>
        <w:bottom w:val="none" w:sz="0" w:space="0" w:color="auto"/>
        <w:right w:val="none" w:sz="0" w:space="0" w:color="auto"/>
      </w:divBdr>
    </w:div>
    <w:div w:id="529104323">
      <w:bodyDiv w:val="1"/>
      <w:marLeft w:val="0"/>
      <w:marRight w:val="0"/>
      <w:marTop w:val="0"/>
      <w:marBottom w:val="0"/>
      <w:divBdr>
        <w:top w:val="none" w:sz="0" w:space="0" w:color="auto"/>
        <w:left w:val="none" w:sz="0" w:space="0" w:color="auto"/>
        <w:bottom w:val="none" w:sz="0" w:space="0" w:color="auto"/>
        <w:right w:val="none" w:sz="0" w:space="0" w:color="auto"/>
      </w:divBdr>
    </w:div>
    <w:div w:id="546718619">
      <w:bodyDiv w:val="1"/>
      <w:marLeft w:val="0"/>
      <w:marRight w:val="0"/>
      <w:marTop w:val="0"/>
      <w:marBottom w:val="0"/>
      <w:divBdr>
        <w:top w:val="none" w:sz="0" w:space="0" w:color="auto"/>
        <w:left w:val="none" w:sz="0" w:space="0" w:color="auto"/>
        <w:bottom w:val="none" w:sz="0" w:space="0" w:color="auto"/>
        <w:right w:val="none" w:sz="0" w:space="0" w:color="auto"/>
      </w:divBdr>
    </w:div>
    <w:div w:id="610162113">
      <w:bodyDiv w:val="1"/>
      <w:marLeft w:val="0"/>
      <w:marRight w:val="0"/>
      <w:marTop w:val="0"/>
      <w:marBottom w:val="0"/>
      <w:divBdr>
        <w:top w:val="none" w:sz="0" w:space="0" w:color="auto"/>
        <w:left w:val="none" w:sz="0" w:space="0" w:color="auto"/>
        <w:bottom w:val="none" w:sz="0" w:space="0" w:color="auto"/>
        <w:right w:val="none" w:sz="0" w:space="0" w:color="auto"/>
      </w:divBdr>
    </w:div>
    <w:div w:id="681518081">
      <w:bodyDiv w:val="1"/>
      <w:marLeft w:val="0"/>
      <w:marRight w:val="0"/>
      <w:marTop w:val="0"/>
      <w:marBottom w:val="0"/>
      <w:divBdr>
        <w:top w:val="none" w:sz="0" w:space="0" w:color="auto"/>
        <w:left w:val="none" w:sz="0" w:space="0" w:color="auto"/>
        <w:bottom w:val="none" w:sz="0" w:space="0" w:color="auto"/>
        <w:right w:val="none" w:sz="0" w:space="0" w:color="auto"/>
      </w:divBdr>
    </w:div>
    <w:div w:id="696006411">
      <w:bodyDiv w:val="1"/>
      <w:marLeft w:val="0"/>
      <w:marRight w:val="0"/>
      <w:marTop w:val="0"/>
      <w:marBottom w:val="0"/>
      <w:divBdr>
        <w:top w:val="none" w:sz="0" w:space="0" w:color="auto"/>
        <w:left w:val="none" w:sz="0" w:space="0" w:color="auto"/>
        <w:bottom w:val="none" w:sz="0" w:space="0" w:color="auto"/>
        <w:right w:val="none" w:sz="0" w:space="0" w:color="auto"/>
      </w:divBdr>
    </w:div>
    <w:div w:id="791171084">
      <w:bodyDiv w:val="1"/>
      <w:marLeft w:val="0"/>
      <w:marRight w:val="0"/>
      <w:marTop w:val="0"/>
      <w:marBottom w:val="0"/>
      <w:divBdr>
        <w:top w:val="none" w:sz="0" w:space="0" w:color="auto"/>
        <w:left w:val="none" w:sz="0" w:space="0" w:color="auto"/>
        <w:bottom w:val="none" w:sz="0" w:space="0" w:color="auto"/>
        <w:right w:val="none" w:sz="0" w:space="0" w:color="auto"/>
      </w:divBdr>
    </w:div>
    <w:div w:id="846410612">
      <w:bodyDiv w:val="1"/>
      <w:marLeft w:val="0"/>
      <w:marRight w:val="0"/>
      <w:marTop w:val="0"/>
      <w:marBottom w:val="0"/>
      <w:divBdr>
        <w:top w:val="none" w:sz="0" w:space="0" w:color="auto"/>
        <w:left w:val="none" w:sz="0" w:space="0" w:color="auto"/>
        <w:bottom w:val="none" w:sz="0" w:space="0" w:color="auto"/>
        <w:right w:val="none" w:sz="0" w:space="0" w:color="auto"/>
      </w:divBdr>
    </w:div>
    <w:div w:id="847137343">
      <w:bodyDiv w:val="1"/>
      <w:marLeft w:val="0"/>
      <w:marRight w:val="0"/>
      <w:marTop w:val="0"/>
      <w:marBottom w:val="0"/>
      <w:divBdr>
        <w:top w:val="none" w:sz="0" w:space="0" w:color="auto"/>
        <w:left w:val="none" w:sz="0" w:space="0" w:color="auto"/>
        <w:bottom w:val="none" w:sz="0" w:space="0" w:color="auto"/>
        <w:right w:val="none" w:sz="0" w:space="0" w:color="auto"/>
      </w:divBdr>
    </w:div>
    <w:div w:id="901645774">
      <w:bodyDiv w:val="1"/>
      <w:marLeft w:val="0"/>
      <w:marRight w:val="0"/>
      <w:marTop w:val="0"/>
      <w:marBottom w:val="0"/>
      <w:divBdr>
        <w:top w:val="none" w:sz="0" w:space="0" w:color="auto"/>
        <w:left w:val="none" w:sz="0" w:space="0" w:color="auto"/>
        <w:bottom w:val="none" w:sz="0" w:space="0" w:color="auto"/>
        <w:right w:val="none" w:sz="0" w:space="0" w:color="auto"/>
      </w:divBdr>
    </w:div>
    <w:div w:id="940573321">
      <w:bodyDiv w:val="1"/>
      <w:marLeft w:val="0"/>
      <w:marRight w:val="0"/>
      <w:marTop w:val="0"/>
      <w:marBottom w:val="0"/>
      <w:divBdr>
        <w:top w:val="none" w:sz="0" w:space="0" w:color="auto"/>
        <w:left w:val="none" w:sz="0" w:space="0" w:color="auto"/>
        <w:bottom w:val="none" w:sz="0" w:space="0" w:color="auto"/>
        <w:right w:val="none" w:sz="0" w:space="0" w:color="auto"/>
      </w:divBdr>
    </w:div>
    <w:div w:id="940645768">
      <w:bodyDiv w:val="1"/>
      <w:marLeft w:val="0"/>
      <w:marRight w:val="0"/>
      <w:marTop w:val="0"/>
      <w:marBottom w:val="0"/>
      <w:divBdr>
        <w:top w:val="none" w:sz="0" w:space="0" w:color="auto"/>
        <w:left w:val="none" w:sz="0" w:space="0" w:color="auto"/>
        <w:bottom w:val="none" w:sz="0" w:space="0" w:color="auto"/>
        <w:right w:val="none" w:sz="0" w:space="0" w:color="auto"/>
      </w:divBdr>
    </w:div>
    <w:div w:id="983655213">
      <w:bodyDiv w:val="1"/>
      <w:marLeft w:val="0"/>
      <w:marRight w:val="0"/>
      <w:marTop w:val="0"/>
      <w:marBottom w:val="0"/>
      <w:divBdr>
        <w:top w:val="none" w:sz="0" w:space="0" w:color="auto"/>
        <w:left w:val="none" w:sz="0" w:space="0" w:color="auto"/>
        <w:bottom w:val="none" w:sz="0" w:space="0" w:color="auto"/>
        <w:right w:val="none" w:sz="0" w:space="0" w:color="auto"/>
      </w:divBdr>
    </w:div>
    <w:div w:id="989284069">
      <w:bodyDiv w:val="1"/>
      <w:marLeft w:val="0"/>
      <w:marRight w:val="0"/>
      <w:marTop w:val="0"/>
      <w:marBottom w:val="0"/>
      <w:divBdr>
        <w:top w:val="none" w:sz="0" w:space="0" w:color="auto"/>
        <w:left w:val="none" w:sz="0" w:space="0" w:color="auto"/>
        <w:bottom w:val="none" w:sz="0" w:space="0" w:color="auto"/>
        <w:right w:val="none" w:sz="0" w:space="0" w:color="auto"/>
      </w:divBdr>
    </w:div>
    <w:div w:id="993489008">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018265577">
      <w:bodyDiv w:val="1"/>
      <w:marLeft w:val="0"/>
      <w:marRight w:val="0"/>
      <w:marTop w:val="0"/>
      <w:marBottom w:val="0"/>
      <w:divBdr>
        <w:top w:val="none" w:sz="0" w:space="0" w:color="auto"/>
        <w:left w:val="none" w:sz="0" w:space="0" w:color="auto"/>
        <w:bottom w:val="none" w:sz="0" w:space="0" w:color="auto"/>
        <w:right w:val="none" w:sz="0" w:space="0" w:color="auto"/>
      </w:divBdr>
    </w:div>
    <w:div w:id="1047217390">
      <w:bodyDiv w:val="1"/>
      <w:marLeft w:val="0"/>
      <w:marRight w:val="0"/>
      <w:marTop w:val="0"/>
      <w:marBottom w:val="0"/>
      <w:divBdr>
        <w:top w:val="none" w:sz="0" w:space="0" w:color="auto"/>
        <w:left w:val="none" w:sz="0" w:space="0" w:color="auto"/>
        <w:bottom w:val="none" w:sz="0" w:space="0" w:color="auto"/>
        <w:right w:val="none" w:sz="0" w:space="0" w:color="auto"/>
      </w:divBdr>
    </w:div>
    <w:div w:id="1080786842">
      <w:bodyDiv w:val="1"/>
      <w:marLeft w:val="0"/>
      <w:marRight w:val="0"/>
      <w:marTop w:val="0"/>
      <w:marBottom w:val="0"/>
      <w:divBdr>
        <w:top w:val="none" w:sz="0" w:space="0" w:color="auto"/>
        <w:left w:val="none" w:sz="0" w:space="0" w:color="auto"/>
        <w:bottom w:val="none" w:sz="0" w:space="0" w:color="auto"/>
        <w:right w:val="none" w:sz="0" w:space="0" w:color="auto"/>
      </w:divBdr>
    </w:div>
    <w:div w:id="1137449313">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270040358">
      <w:bodyDiv w:val="1"/>
      <w:marLeft w:val="0"/>
      <w:marRight w:val="0"/>
      <w:marTop w:val="0"/>
      <w:marBottom w:val="0"/>
      <w:divBdr>
        <w:top w:val="none" w:sz="0" w:space="0" w:color="auto"/>
        <w:left w:val="none" w:sz="0" w:space="0" w:color="auto"/>
        <w:bottom w:val="none" w:sz="0" w:space="0" w:color="auto"/>
        <w:right w:val="none" w:sz="0" w:space="0" w:color="auto"/>
      </w:divBdr>
    </w:div>
    <w:div w:id="1286891462">
      <w:bodyDiv w:val="1"/>
      <w:marLeft w:val="0"/>
      <w:marRight w:val="0"/>
      <w:marTop w:val="0"/>
      <w:marBottom w:val="0"/>
      <w:divBdr>
        <w:top w:val="none" w:sz="0" w:space="0" w:color="auto"/>
        <w:left w:val="none" w:sz="0" w:space="0" w:color="auto"/>
        <w:bottom w:val="none" w:sz="0" w:space="0" w:color="auto"/>
        <w:right w:val="none" w:sz="0" w:space="0" w:color="auto"/>
      </w:divBdr>
    </w:div>
    <w:div w:id="1321731127">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97123717">
      <w:bodyDiv w:val="1"/>
      <w:marLeft w:val="0"/>
      <w:marRight w:val="0"/>
      <w:marTop w:val="0"/>
      <w:marBottom w:val="0"/>
      <w:divBdr>
        <w:top w:val="none" w:sz="0" w:space="0" w:color="auto"/>
        <w:left w:val="none" w:sz="0" w:space="0" w:color="auto"/>
        <w:bottom w:val="none" w:sz="0" w:space="0" w:color="auto"/>
        <w:right w:val="none" w:sz="0" w:space="0" w:color="auto"/>
      </w:divBdr>
    </w:div>
    <w:div w:id="1406344082">
      <w:bodyDiv w:val="1"/>
      <w:marLeft w:val="0"/>
      <w:marRight w:val="0"/>
      <w:marTop w:val="0"/>
      <w:marBottom w:val="0"/>
      <w:divBdr>
        <w:top w:val="none" w:sz="0" w:space="0" w:color="auto"/>
        <w:left w:val="none" w:sz="0" w:space="0" w:color="auto"/>
        <w:bottom w:val="none" w:sz="0" w:space="0" w:color="auto"/>
        <w:right w:val="none" w:sz="0" w:space="0" w:color="auto"/>
      </w:divBdr>
    </w:div>
    <w:div w:id="1451819437">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475373856">
      <w:bodyDiv w:val="1"/>
      <w:marLeft w:val="0"/>
      <w:marRight w:val="0"/>
      <w:marTop w:val="0"/>
      <w:marBottom w:val="0"/>
      <w:divBdr>
        <w:top w:val="none" w:sz="0" w:space="0" w:color="auto"/>
        <w:left w:val="none" w:sz="0" w:space="0" w:color="auto"/>
        <w:bottom w:val="none" w:sz="0" w:space="0" w:color="auto"/>
        <w:right w:val="none" w:sz="0" w:space="0" w:color="auto"/>
      </w:divBdr>
    </w:div>
    <w:div w:id="1499423381">
      <w:bodyDiv w:val="1"/>
      <w:marLeft w:val="0"/>
      <w:marRight w:val="0"/>
      <w:marTop w:val="0"/>
      <w:marBottom w:val="0"/>
      <w:divBdr>
        <w:top w:val="none" w:sz="0" w:space="0" w:color="auto"/>
        <w:left w:val="none" w:sz="0" w:space="0" w:color="auto"/>
        <w:bottom w:val="none" w:sz="0" w:space="0" w:color="auto"/>
        <w:right w:val="none" w:sz="0" w:space="0" w:color="auto"/>
      </w:divBdr>
    </w:div>
    <w:div w:id="1570312130">
      <w:bodyDiv w:val="1"/>
      <w:marLeft w:val="0"/>
      <w:marRight w:val="0"/>
      <w:marTop w:val="0"/>
      <w:marBottom w:val="0"/>
      <w:divBdr>
        <w:top w:val="none" w:sz="0" w:space="0" w:color="auto"/>
        <w:left w:val="none" w:sz="0" w:space="0" w:color="auto"/>
        <w:bottom w:val="none" w:sz="0" w:space="0" w:color="auto"/>
        <w:right w:val="none" w:sz="0" w:space="0" w:color="auto"/>
      </w:divBdr>
    </w:div>
    <w:div w:id="1572960560">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693603633">
      <w:bodyDiv w:val="1"/>
      <w:marLeft w:val="0"/>
      <w:marRight w:val="0"/>
      <w:marTop w:val="0"/>
      <w:marBottom w:val="0"/>
      <w:divBdr>
        <w:top w:val="none" w:sz="0" w:space="0" w:color="auto"/>
        <w:left w:val="none" w:sz="0" w:space="0" w:color="auto"/>
        <w:bottom w:val="none" w:sz="0" w:space="0" w:color="auto"/>
        <w:right w:val="none" w:sz="0" w:space="0" w:color="auto"/>
      </w:divBdr>
    </w:div>
    <w:div w:id="1706438982">
      <w:bodyDiv w:val="1"/>
      <w:marLeft w:val="0"/>
      <w:marRight w:val="0"/>
      <w:marTop w:val="0"/>
      <w:marBottom w:val="0"/>
      <w:divBdr>
        <w:top w:val="none" w:sz="0" w:space="0" w:color="auto"/>
        <w:left w:val="none" w:sz="0" w:space="0" w:color="auto"/>
        <w:bottom w:val="none" w:sz="0" w:space="0" w:color="auto"/>
        <w:right w:val="none" w:sz="0" w:space="0" w:color="auto"/>
      </w:divBdr>
    </w:div>
    <w:div w:id="1737125775">
      <w:bodyDiv w:val="1"/>
      <w:marLeft w:val="0"/>
      <w:marRight w:val="0"/>
      <w:marTop w:val="0"/>
      <w:marBottom w:val="0"/>
      <w:divBdr>
        <w:top w:val="none" w:sz="0" w:space="0" w:color="auto"/>
        <w:left w:val="none" w:sz="0" w:space="0" w:color="auto"/>
        <w:bottom w:val="none" w:sz="0" w:space="0" w:color="auto"/>
        <w:right w:val="none" w:sz="0" w:space="0" w:color="auto"/>
      </w:divBdr>
    </w:div>
    <w:div w:id="1815873423">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1944414550">
      <w:bodyDiv w:val="1"/>
      <w:marLeft w:val="0"/>
      <w:marRight w:val="0"/>
      <w:marTop w:val="0"/>
      <w:marBottom w:val="0"/>
      <w:divBdr>
        <w:top w:val="none" w:sz="0" w:space="0" w:color="auto"/>
        <w:left w:val="none" w:sz="0" w:space="0" w:color="auto"/>
        <w:bottom w:val="none" w:sz="0" w:space="0" w:color="auto"/>
        <w:right w:val="none" w:sz="0" w:space="0" w:color="auto"/>
      </w:divBdr>
    </w:div>
    <w:div w:id="197856350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 w:id="2025937476">
      <w:bodyDiv w:val="1"/>
      <w:marLeft w:val="0"/>
      <w:marRight w:val="0"/>
      <w:marTop w:val="0"/>
      <w:marBottom w:val="0"/>
      <w:divBdr>
        <w:top w:val="none" w:sz="0" w:space="0" w:color="auto"/>
        <w:left w:val="none" w:sz="0" w:space="0" w:color="auto"/>
        <w:bottom w:val="none" w:sz="0" w:space="0" w:color="auto"/>
        <w:right w:val="none" w:sz="0" w:space="0" w:color="auto"/>
      </w:divBdr>
    </w:div>
    <w:div w:id="2053725752">
      <w:bodyDiv w:val="1"/>
      <w:marLeft w:val="0"/>
      <w:marRight w:val="0"/>
      <w:marTop w:val="0"/>
      <w:marBottom w:val="0"/>
      <w:divBdr>
        <w:top w:val="none" w:sz="0" w:space="0" w:color="auto"/>
        <w:left w:val="none" w:sz="0" w:space="0" w:color="auto"/>
        <w:bottom w:val="none" w:sz="0" w:space="0" w:color="auto"/>
        <w:right w:val="none" w:sz="0" w:space="0" w:color="auto"/>
      </w:divBdr>
    </w:div>
    <w:div w:id="2059281683">
      <w:bodyDiv w:val="1"/>
      <w:marLeft w:val="0"/>
      <w:marRight w:val="0"/>
      <w:marTop w:val="0"/>
      <w:marBottom w:val="0"/>
      <w:divBdr>
        <w:top w:val="none" w:sz="0" w:space="0" w:color="auto"/>
        <w:left w:val="none" w:sz="0" w:space="0" w:color="auto"/>
        <w:bottom w:val="none" w:sz="0" w:space="0" w:color="auto"/>
        <w:right w:val="none" w:sz="0" w:space="0" w:color="auto"/>
      </w:divBdr>
    </w:div>
    <w:div w:id="208063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21N81A67B2</cp:lastModifiedBy>
  <cp:revision>5</cp:revision>
  <dcterms:created xsi:type="dcterms:W3CDTF">2024-01-13T08:53:00Z</dcterms:created>
  <dcterms:modified xsi:type="dcterms:W3CDTF">2025-10-12T16:15:00Z</dcterms:modified>
</cp:coreProperties>
</file>