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16636" w14:textId="2A74686A"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Cost of Defect and Calculation</w:t>
      </w:r>
    </w:p>
    <w:p w14:paraId="0F6B19D6"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The term "Cost of Defect" (</w:t>
      </w:r>
      <w:proofErr w:type="spellStart"/>
      <w:r w:rsidRPr="00612B12">
        <w:rPr>
          <w:rFonts w:ascii="Segoe UI" w:eastAsia="Times New Roman" w:hAnsi="Segoe UI" w:cs="Segoe UI"/>
          <w:color w:val="0D0D0D"/>
          <w:kern w:val="0"/>
          <w:sz w:val="24"/>
          <w:szCs w:val="24"/>
          <w14:ligatures w14:val="none"/>
        </w:rPr>
        <w:t>CoD</w:t>
      </w:r>
      <w:proofErr w:type="spellEnd"/>
      <w:r w:rsidRPr="00612B12">
        <w:rPr>
          <w:rFonts w:ascii="Segoe UI" w:eastAsia="Times New Roman" w:hAnsi="Segoe UI" w:cs="Segoe UI"/>
          <w:color w:val="0D0D0D"/>
          <w:kern w:val="0"/>
          <w:sz w:val="24"/>
          <w:szCs w:val="24"/>
          <w14:ligatures w14:val="none"/>
        </w:rPr>
        <w:t>) describes the monetary loss resulting from software flaws discovered at different phases of development, testing, or after release. It includes all related costs, including lost income, customer assistance, reputational harm, and other costs, in addition to the cost of correcting the issue. Organizations can better comprehend the financial effects of faults and make well-informed decisions regarding risk management and quality assurance by computing the cost of defects. The following formula can be used to determine the Cost of Defect:</w:t>
      </w:r>
    </w:p>
    <w:p w14:paraId="1ACACFBB" w14:textId="77777777" w:rsidR="00612B12" w:rsidRPr="00612B12" w:rsidRDefault="00612B12" w:rsidP="00612B12">
      <w:pPr>
        <w:rPr>
          <w:rFonts w:ascii="Segoe UI" w:eastAsia="Times New Roman" w:hAnsi="Segoe UI" w:cs="Segoe UI"/>
          <w:color w:val="0D0D0D"/>
          <w:kern w:val="0"/>
          <w:sz w:val="24"/>
          <w:szCs w:val="24"/>
          <w14:ligatures w14:val="none"/>
        </w:rPr>
      </w:pPr>
    </w:p>
    <w:p w14:paraId="718FFA1E"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Definition:</w:t>
      </w:r>
    </w:p>
    <w:p w14:paraId="3B7B5226"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The Cost of Defect (</w:t>
      </w:r>
      <w:proofErr w:type="spellStart"/>
      <w:r w:rsidRPr="00612B12">
        <w:rPr>
          <w:rFonts w:ascii="Segoe UI" w:eastAsia="Times New Roman" w:hAnsi="Segoe UI" w:cs="Segoe UI"/>
          <w:color w:val="0D0D0D"/>
          <w:kern w:val="0"/>
          <w:sz w:val="24"/>
          <w:szCs w:val="24"/>
          <w14:ligatures w14:val="none"/>
        </w:rPr>
        <w:t>CoD</w:t>
      </w:r>
      <w:proofErr w:type="spellEnd"/>
      <w:r w:rsidRPr="00612B12">
        <w:rPr>
          <w:rFonts w:ascii="Segoe UI" w:eastAsia="Times New Roman" w:hAnsi="Segoe UI" w:cs="Segoe UI"/>
          <w:color w:val="0D0D0D"/>
          <w:kern w:val="0"/>
          <w:sz w:val="24"/>
          <w:szCs w:val="24"/>
          <w14:ligatures w14:val="none"/>
        </w:rPr>
        <w:t>) is the total monetary expenditure resulting from the identification, analysis, and resolution of defects found during the software development lifecycle. It includes both direct and indirect costs associated with defect detection, correction, and the impact of defects on stakeholders.</w:t>
      </w:r>
    </w:p>
    <w:p w14:paraId="050B6263"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Calculation:</w:t>
      </w:r>
    </w:p>
    <w:p w14:paraId="20CA16A1"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To calculate the Cost of Defect, consider the following components:</w:t>
      </w:r>
    </w:p>
    <w:p w14:paraId="03D2EDD7" w14:textId="77777777" w:rsidR="00612B12" w:rsidRPr="00612B12" w:rsidRDefault="00612B12" w:rsidP="00612B12">
      <w:pPr>
        <w:rPr>
          <w:rFonts w:ascii="Segoe UI" w:eastAsia="Times New Roman" w:hAnsi="Segoe UI" w:cs="Segoe UI"/>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1.</w:t>
      </w:r>
      <w:r w:rsidRPr="00612B12">
        <w:rPr>
          <w:rFonts w:ascii="Segoe UI" w:eastAsia="Times New Roman" w:hAnsi="Segoe UI" w:cs="Segoe UI"/>
          <w:color w:val="0D0D0D"/>
          <w:kern w:val="0"/>
          <w:sz w:val="24"/>
          <w:szCs w:val="24"/>
          <w14:ligatures w14:val="none"/>
        </w:rPr>
        <w:tab/>
      </w:r>
      <w:r w:rsidRPr="006641BA">
        <w:rPr>
          <w:rFonts w:ascii="Segoe UI" w:eastAsia="Times New Roman" w:hAnsi="Segoe UI" w:cs="Segoe UI"/>
          <w:b/>
          <w:bCs/>
          <w:color w:val="0D0D0D"/>
          <w:kern w:val="0"/>
          <w:sz w:val="24"/>
          <w:szCs w:val="24"/>
          <w14:ligatures w14:val="none"/>
        </w:rPr>
        <w:t>Cost of Detection (</w:t>
      </w:r>
      <w:proofErr w:type="spellStart"/>
      <w:r w:rsidRPr="006641BA">
        <w:rPr>
          <w:rFonts w:ascii="Segoe UI" w:eastAsia="Times New Roman" w:hAnsi="Segoe UI" w:cs="Segoe UI"/>
          <w:b/>
          <w:bCs/>
          <w:color w:val="0D0D0D"/>
          <w:kern w:val="0"/>
          <w:sz w:val="24"/>
          <w:szCs w:val="24"/>
          <w14:ligatures w14:val="none"/>
        </w:rPr>
        <w:t>CoD</w:t>
      </w:r>
      <w:proofErr w:type="spellEnd"/>
      <w:r w:rsidRPr="006641BA">
        <w:rPr>
          <w:rFonts w:ascii="Segoe UI" w:eastAsia="Times New Roman" w:hAnsi="Segoe UI" w:cs="Segoe UI"/>
          <w:b/>
          <w:bCs/>
          <w:color w:val="0D0D0D"/>
          <w:kern w:val="0"/>
          <w:sz w:val="24"/>
          <w:szCs w:val="24"/>
          <w14:ligatures w14:val="none"/>
        </w:rPr>
        <w:t>):</w:t>
      </w:r>
    </w:p>
    <w:p w14:paraId="4DFB124B"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incurred in identifying defects during different phases of the software development lifecycle. This includes costs associated with testing activities, such as test planning, execution, automation, and analysis.</w:t>
      </w:r>
    </w:p>
    <w:p w14:paraId="33F9A223"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2.</w:t>
      </w:r>
      <w:r w:rsidRPr="00612B12">
        <w:rPr>
          <w:rFonts w:ascii="Segoe UI" w:eastAsia="Times New Roman" w:hAnsi="Segoe UI" w:cs="Segoe UI"/>
          <w:color w:val="0D0D0D"/>
          <w:kern w:val="0"/>
          <w:sz w:val="24"/>
          <w:szCs w:val="24"/>
          <w14:ligatures w14:val="none"/>
        </w:rPr>
        <w:tab/>
      </w:r>
      <w:r w:rsidRPr="006641BA">
        <w:rPr>
          <w:rFonts w:ascii="Segoe UI" w:eastAsia="Times New Roman" w:hAnsi="Segoe UI" w:cs="Segoe UI"/>
          <w:b/>
          <w:bCs/>
          <w:color w:val="0D0D0D"/>
          <w:kern w:val="0"/>
          <w:sz w:val="24"/>
          <w:szCs w:val="24"/>
          <w14:ligatures w14:val="none"/>
        </w:rPr>
        <w:t>Cost of Correction (CoC):</w:t>
      </w:r>
    </w:p>
    <w:p w14:paraId="0ACDD8DB"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incurred in fixing defects, including the efforts of developers, testers, and other personnel involved in defect resolution. It also includes the cost of rework, regression testing, and deployment.</w:t>
      </w:r>
    </w:p>
    <w:p w14:paraId="16050F9F"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3.</w:t>
      </w:r>
      <w:r w:rsidRPr="006641BA">
        <w:rPr>
          <w:rFonts w:ascii="Segoe UI" w:eastAsia="Times New Roman" w:hAnsi="Segoe UI" w:cs="Segoe UI"/>
          <w:b/>
          <w:bCs/>
          <w:color w:val="0D0D0D"/>
          <w:kern w:val="0"/>
          <w:sz w:val="24"/>
          <w:szCs w:val="24"/>
          <w14:ligatures w14:val="none"/>
        </w:rPr>
        <w:tab/>
        <w:t>Cost of Failure (</w:t>
      </w:r>
      <w:proofErr w:type="spellStart"/>
      <w:r w:rsidRPr="006641BA">
        <w:rPr>
          <w:rFonts w:ascii="Segoe UI" w:eastAsia="Times New Roman" w:hAnsi="Segoe UI" w:cs="Segoe UI"/>
          <w:b/>
          <w:bCs/>
          <w:color w:val="0D0D0D"/>
          <w:kern w:val="0"/>
          <w:sz w:val="24"/>
          <w:szCs w:val="24"/>
          <w14:ligatures w14:val="none"/>
        </w:rPr>
        <w:t>CoF</w:t>
      </w:r>
      <w:proofErr w:type="spellEnd"/>
      <w:r w:rsidRPr="006641BA">
        <w:rPr>
          <w:rFonts w:ascii="Segoe UI" w:eastAsia="Times New Roman" w:hAnsi="Segoe UI" w:cs="Segoe UI"/>
          <w:b/>
          <w:bCs/>
          <w:color w:val="0D0D0D"/>
          <w:kern w:val="0"/>
          <w:sz w:val="24"/>
          <w:szCs w:val="24"/>
          <w14:ligatures w14:val="none"/>
        </w:rPr>
        <w:t>):</w:t>
      </w:r>
    </w:p>
    <w:p w14:paraId="5B34F3DE" w14:textId="77777777" w:rsid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incurred due to the impact of defects on stakeholders, including customers, end-users, and the organization itself. This includes expenses related to customer support, warranty claims, lost revenue, brand damage, legal liabilities, etc.</w:t>
      </w:r>
    </w:p>
    <w:p w14:paraId="08B019BD" w14:textId="77777777" w:rsidR="006641BA" w:rsidRDefault="006641BA" w:rsidP="00612B12">
      <w:pPr>
        <w:rPr>
          <w:rFonts w:ascii="Segoe UI" w:eastAsia="Times New Roman" w:hAnsi="Segoe UI" w:cs="Segoe UI"/>
          <w:color w:val="0D0D0D"/>
          <w:kern w:val="0"/>
          <w:sz w:val="24"/>
          <w:szCs w:val="24"/>
          <w14:ligatures w14:val="none"/>
        </w:rPr>
      </w:pPr>
    </w:p>
    <w:p w14:paraId="0C5C3677" w14:textId="77777777" w:rsidR="006641BA" w:rsidRPr="00612B12" w:rsidRDefault="006641BA" w:rsidP="00612B12">
      <w:pPr>
        <w:rPr>
          <w:rFonts w:ascii="Segoe UI" w:eastAsia="Times New Roman" w:hAnsi="Segoe UI" w:cs="Segoe UI"/>
          <w:color w:val="0D0D0D"/>
          <w:kern w:val="0"/>
          <w:sz w:val="24"/>
          <w:szCs w:val="24"/>
          <w14:ligatures w14:val="none"/>
        </w:rPr>
      </w:pPr>
    </w:p>
    <w:p w14:paraId="197C72D4"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lastRenderedPageBreak/>
        <w:t>4.</w:t>
      </w:r>
      <w:r w:rsidRPr="006641BA">
        <w:rPr>
          <w:rFonts w:ascii="Segoe UI" w:eastAsia="Times New Roman" w:hAnsi="Segoe UI" w:cs="Segoe UI"/>
          <w:b/>
          <w:bCs/>
          <w:color w:val="0D0D0D"/>
          <w:kern w:val="0"/>
          <w:sz w:val="24"/>
          <w:szCs w:val="24"/>
          <w14:ligatures w14:val="none"/>
        </w:rPr>
        <w:tab/>
        <w:t>Cost of Prevention (CoP):</w:t>
      </w:r>
    </w:p>
    <w:p w14:paraId="564DE710"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incurred in implementing preventive measures to reduce the occurrence of defects in the future. This includes investments in quality assurance processes, training, tooling, and technology upgrades aimed at defect prevention.</w:t>
      </w:r>
    </w:p>
    <w:p w14:paraId="05A6258F"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Total Cost of Defect (</w:t>
      </w:r>
      <w:proofErr w:type="spellStart"/>
      <w:r w:rsidRPr="006641BA">
        <w:rPr>
          <w:rFonts w:ascii="Segoe UI" w:eastAsia="Times New Roman" w:hAnsi="Segoe UI" w:cs="Segoe UI"/>
          <w:b/>
          <w:bCs/>
          <w:color w:val="0D0D0D"/>
          <w:kern w:val="0"/>
          <w:sz w:val="24"/>
          <w:szCs w:val="24"/>
          <w14:ligatures w14:val="none"/>
        </w:rPr>
        <w:t>CoD</w:t>
      </w:r>
      <w:proofErr w:type="spellEnd"/>
      <w:r w:rsidRPr="006641BA">
        <w:rPr>
          <w:rFonts w:ascii="Segoe UI" w:eastAsia="Times New Roman" w:hAnsi="Segoe UI" w:cs="Segoe UI"/>
          <w:b/>
          <w:bCs/>
          <w:color w:val="0D0D0D"/>
          <w:kern w:val="0"/>
          <w:sz w:val="24"/>
          <w:szCs w:val="24"/>
          <w14:ligatures w14:val="none"/>
        </w:rPr>
        <w:t>):</w:t>
      </w:r>
    </w:p>
    <w:p w14:paraId="51FBA322" w14:textId="77777777" w:rsidR="00612B12" w:rsidRPr="006641BA" w:rsidRDefault="00612B12" w:rsidP="00612B12">
      <w:pPr>
        <w:rPr>
          <w:rFonts w:ascii="Segoe UI" w:eastAsia="Times New Roman" w:hAnsi="Segoe UI" w:cs="Segoe UI"/>
          <w:b/>
          <w:bCs/>
          <w:color w:val="0F9ED5" w:themeColor="accent4"/>
          <w:kern w:val="0"/>
          <w:sz w:val="24"/>
          <w:szCs w:val="24"/>
          <w14:ligatures w14:val="none"/>
        </w:rPr>
      </w:pPr>
      <w:proofErr w:type="spellStart"/>
      <w:r w:rsidRPr="006641BA">
        <w:rPr>
          <w:rFonts w:ascii="Segoe UI" w:eastAsia="Times New Roman" w:hAnsi="Segoe UI" w:cs="Segoe UI"/>
          <w:b/>
          <w:bCs/>
          <w:color w:val="0F9ED5" w:themeColor="accent4"/>
          <w:kern w:val="0"/>
          <w:sz w:val="24"/>
          <w:szCs w:val="24"/>
          <w14:ligatures w14:val="none"/>
        </w:rPr>
        <w:t>CoD</w:t>
      </w:r>
      <w:proofErr w:type="spellEnd"/>
      <w:r w:rsidRPr="006641BA">
        <w:rPr>
          <w:rFonts w:ascii="Segoe UI" w:eastAsia="Times New Roman" w:hAnsi="Segoe UI" w:cs="Segoe UI"/>
          <w:b/>
          <w:bCs/>
          <w:color w:val="0F9ED5" w:themeColor="accent4"/>
          <w:kern w:val="0"/>
          <w:sz w:val="24"/>
          <w:szCs w:val="24"/>
          <w14:ligatures w14:val="none"/>
        </w:rPr>
        <w:t xml:space="preserve"> = </w:t>
      </w:r>
      <w:proofErr w:type="spellStart"/>
      <w:r w:rsidRPr="006641BA">
        <w:rPr>
          <w:rFonts w:ascii="Segoe UI" w:eastAsia="Times New Roman" w:hAnsi="Segoe UI" w:cs="Segoe UI"/>
          <w:b/>
          <w:bCs/>
          <w:color w:val="0F9ED5" w:themeColor="accent4"/>
          <w:kern w:val="0"/>
          <w:sz w:val="24"/>
          <w:szCs w:val="24"/>
          <w14:ligatures w14:val="none"/>
        </w:rPr>
        <w:t>CoD</w:t>
      </w:r>
      <w:proofErr w:type="spellEnd"/>
      <w:r w:rsidRPr="006641BA">
        <w:rPr>
          <w:rFonts w:ascii="Segoe UI" w:eastAsia="Times New Roman" w:hAnsi="Segoe UI" w:cs="Segoe UI"/>
          <w:b/>
          <w:bCs/>
          <w:color w:val="0F9ED5" w:themeColor="accent4"/>
          <w:kern w:val="0"/>
          <w:sz w:val="24"/>
          <w:szCs w:val="24"/>
          <w14:ligatures w14:val="none"/>
        </w:rPr>
        <w:t xml:space="preserve"> + </w:t>
      </w:r>
      <w:proofErr w:type="gramStart"/>
      <w:r w:rsidRPr="006641BA">
        <w:rPr>
          <w:rFonts w:ascii="Segoe UI" w:eastAsia="Times New Roman" w:hAnsi="Segoe UI" w:cs="Segoe UI"/>
          <w:b/>
          <w:bCs/>
          <w:color w:val="0F9ED5" w:themeColor="accent4"/>
          <w:kern w:val="0"/>
          <w:sz w:val="24"/>
          <w:szCs w:val="24"/>
          <w14:ligatures w14:val="none"/>
        </w:rPr>
        <w:t>CoC  +</w:t>
      </w:r>
      <w:proofErr w:type="gramEnd"/>
      <w:r w:rsidRPr="006641BA">
        <w:rPr>
          <w:rFonts w:ascii="Segoe UI" w:eastAsia="Times New Roman" w:hAnsi="Segoe UI" w:cs="Segoe UI"/>
          <w:b/>
          <w:bCs/>
          <w:color w:val="0F9ED5" w:themeColor="accent4"/>
          <w:kern w:val="0"/>
          <w:sz w:val="24"/>
          <w:szCs w:val="24"/>
          <w14:ligatures w14:val="none"/>
        </w:rPr>
        <w:t xml:space="preserve"> </w:t>
      </w:r>
      <w:proofErr w:type="spellStart"/>
      <w:r w:rsidRPr="006641BA">
        <w:rPr>
          <w:rFonts w:ascii="Segoe UI" w:eastAsia="Times New Roman" w:hAnsi="Segoe UI" w:cs="Segoe UI"/>
          <w:b/>
          <w:bCs/>
          <w:color w:val="0F9ED5" w:themeColor="accent4"/>
          <w:kern w:val="0"/>
          <w:sz w:val="24"/>
          <w:szCs w:val="24"/>
          <w14:ligatures w14:val="none"/>
        </w:rPr>
        <w:t>CoF</w:t>
      </w:r>
      <w:proofErr w:type="spellEnd"/>
      <w:r w:rsidRPr="006641BA">
        <w:rPr>
          <w:rFonts w:ascii="Segoe UI" w:eastAsia="Times New Roman" w:hAnsi="Segoe UI" w:cs="Segoe UI"/>
          <w:b/>
          <w:bCs/>
          <w:color w:val="0F9ED5" w:themeColor="accent4"/>
          <w:kern w:val="0"/>
          <w:sz w:val="24"/>
          <w:szCs w:val="24"/>
          <w14:ligatures w14:val="none"/>
        </w:rPr>
        <w:t xml:space="preserve">  + CoP </w:t>
      </w:r>
    </w:p>
    <w:p w14:paraId="3DAE346E" w14:textId="77777777" w:rsidR="00612B12" w:rsidRPr="006641BA" w:rsidRDefault="00612B12" w:rsidP="00612B12">
      <w:pPr>
        <w:rPr>
          <w:rFonts w:ascii="Segoe UI" w:eastAsia="Times New Roman" w:hAnsi="Segoe UI" w:cs="Segoe UI"/>
          <w:b/>
          <w:bCs/>
          <w:color w:val="0D0D0D"/>
          <w:kern w:val="0"/>
          <w:sz w:val="24"/>
          <w:szCs w:val="24"/>
          <w14:ligatures w14:val="none"/>
        </w:rPr>
      </w:pPr>
      <w:r w:rsidRPr="006641BA">
        <w:rPr>
          <w:rFonts w:ascii="Segoe UI" w:eastAsia="Times New Roman" w:hAnsi="Segoe UI" w:cs="Segoe UI"/>
          <w:b/>
          <w:bCs/>
          <w:color w:val="0D0D0D"/>
          <w:kern w:val="0"/>
          <w:sz w:val="24"/>
          <w:szCs w:val="24"/>
          <w14:ligatures w14:val="none"/>
        </w:rPr>
        <w:t>Example:</w:t>
      </w:r>
    </w:p>
    <w:p w14:paraId="5F1E3B12"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Let's consider an example to illustrate the calculation of the Cost of Defect:</w:t>
      </w:r>
    </w:p>
    <w:p w14:paraId="25CD1CF3"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of Detection (</w:t>
      </w:r>
      <w:proofErr w:type="spellStart"/>
      <w:r w:rsidRPr="00612B12">
        <w:rPr>
          <w:rFonts w:ascii="Segoe UI" w:eastAsia="Times New Roman" w:hAnsi="Segoe UI" w:cs="Segoe UI"/>
          <w:color w:val="0D0D0D"/>
          <w:kern w:val="0"/>
          <w:sz w:val="24"/>
          <w:szCs w:val="24"/>
          <w14:ligatures w14:val="none"/>
        </w:rPr>
        <w:t>CoD</w:t>
      </w:r>
      <w:proofErr w:type="spellEnd"/>
      <w:r w:rsidRPr="00612B12">
        <w:rPr>
          <w:rFonts w:ascii="Segoe UI" w:eastAsia="Times New Roman" w:hAnsi="Segoe UI" w:cs="Segoe UI"/>
          <w:color w:val="0D0D0D"/>
          <w:kern w:val="0"/>
          <w:sz w:val="24"/>
          <w:szCs w:val="24"/>
          <w14:ligatures w14:val="none"/>
        </w:rPr>
        <w:t>): $10,000</w:t>
      </w:r>
    </w:p>
    <w:p w14:paraId="48DC4FF9"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of Correction (CoC): $20,000</w:t>
      </w:r>
    </w:p>
    <w:p w14:paraId="46F4D80D"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of Failure (</w:t>
      </w:r>
      <w:proofErr w:type="spellStart"/>
      <w:r w:rsidRPr="00612B12">
        <w:rPr>
          <w:rFonts w:ascii="Segoe UI" w:eastAsia="Times New Roman" w:hAnsi="Segoe UI" w:cs="Segoe UI"/>
          <w:color w:val="0D0D0D"/>
          <w:kern w:val="0"/>
          <w:sz w:val="24"/>
          <w:szCs w:val="24"/>
          <w14:ligatures w14:val="none"/>
        </w:rPr>
        <w:t>CoF</w:t>
      </w:r>
      <w:proofErr w:type="spellEnd"/>
      <w:r w:rsidRPr="00612B12">
        <w:rPr>
          <w:rFonts w:ascii="Segoe UI" w:eastAsia="Times New Roman" w:hAnsi="Segoe UI" w:cs="Segoe UI"/>
          <w:color w:val="0D0D0D"/>
          <w:kern w:val="0"/>
          <w:sz w:val="24"/>
          <w:szCs w:val="24"/>
          <w14:ligatures w14:val="none"/>
        </w:rPr>
        <w:t>): $50,000</w:t>
      </w:r>
    </w:p>
    <w:p w14:paraId="3A114756"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w:t>
      </w:r>
      <w:r w:rsidRPr="00612B12">
        <w:rPr>
          <w:rFonts w:ascii="Segoe UI" w:eastAsia="Times New Roman" w:hAnsi="Segoe UI" w:cs="Segoe UI"/>
          <w:color w:val="0D0D0D"/>
          <w:kern w:val="0"/>
          <w:sz w:val="24"/>
          <w:szCs w:val="24"/>
          <w14:ligatures w14:val="none"/>
        </w:rPr>
        <w:tab/>
        <w:t>Cost of Prevention (CoP): $15,000</w:t>
      </w:r>
    </w:p>
    <w:p w14:paraId="43EA7533" w14:textId="48A23CCF"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 xml:space="preserve">Using the formula: </w:t>
      </w:r>
      <w:proofErr w:type="spellStart"/>
      <w:r w:rsidRPr="00612B12">
        <w:rPr>
          <w:rFonts w:ascii="Segoe UI" w:eastAsia="Times New Roman" w:hAnsi="Segoe UI" w:cs="Segoe UI"/>
          <w:color w:val="0D0D0D"/>
          <w:kern w:val="0"/>
          <w:sz w:val="24"/>
          <w:szCs w:val="24"/>
          <w14:ligatures w14:val="none"/>
        </w:rPr>
        <w:t>CoD</w:t>
      </w:r>
      <w:proofErr w:type="spellEnd"/>
      <w:r w:rsidR="006641BA">
        <w:rPr>
          <w:rFonts w:ascii="Segoe UI" w:eastAsia="Times New Roman" w:hAnsi="Segoe UI" w:cs="Segoe UI"/>
          <w:color w:val="0D0D0D"/>
          <w:kern w:val="0"/>
          <w:sz w:val="24"/>
          <w:szCs w:val="24"/>
          <w14:ligatures w14:val="none"/>
        </w:rPr>
        <w:t xml:space="preserve"> </w:t>
      </w:r>
      <w:r w:rsidRPr="00612B12">
        <w:rPr>
          <w:rFonts w:ascii="Segoe UI" w:eastAsia="Times New Roman" w:hAnsi="Segoe UI" w:cs="Segoe UI"/>
          <w:color w:val="0D0D0D"/>
          <w:kern w:val="0"/>
          <w:sz w:val="24"/>
          <w:szCs w:val="24"/>
          <w14:ligatures w14:val="none"/>
        </w:rPr>
        <w:t>=10,000+20,000+50,000+15,000=95,000</w:t>
      </w:r>
    </w:p>
    <w:p w14:paraId="149EFFE5" w14:textId="77777777" w:rsidR="00612B12" w:rsidRP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In this example, the total Cost of Defect is $95,000.</w:t>
      </w:r>
    </w:p>
    <w:p w14:paraId="32CBA9EB" w14:textId="77777777" w:rsidR="00612B12" w:rsidRDefault="00612B12" w:rsidP="00612B12">
      <w:pPr>
        <w:rPr>
          <w:rFonts w:ascii="Segoe UI" w:eastAsia="Times New Roman" w:hAnsi="Segoe UI" w:cs="Segoe UI"/>
          <w:color w:val="0D0D0D"/>
          <w:kern w:val="0"/>
          <w:sz w:val="24"/>
          <w:szCs w:val="24"/>
          <w14:ligatures w14:val="none"/>
        </w:rPr>
      </w:pPr>
      <w:r w:rsidRPr="00612B12">
        <w:rPr>
          <w:rFonts w:ascii="Segoe UI" w:eastAsia="Times New Roman" w:hAnsi="Segoe UI" w:cs="Segoe UI"/>
          <w:color w:val="0D0D0D"/>
          <w:kern w:val="0"/>
          <w:sz w:val="24"/>
          <w:szCs w:val="24"/>
          <w14:ligatures w14:val="none"/>
        </w:rPr>
        <w:t xml:space="preserve">Organizations may effectively manage resources, prioritize quality assurance initiatives, and decide which defects to invest in for defect prevention and mitigation by determining the Cost of Defect. Monitoring the </w:t>
      </w:r>
      <w:proofErr w:type="spellStart"/>
      <w:r w:rsidRPr="00612B12">
        <w:rPr>
          <w:rFonts w:ascii="Segoe UI" w:eastAsia="Times New Roman" w:hAnsi="Segoe UI" w:cs="Segoe UI"/>
          <w:color w:val="0D0D0D"/>
          <w:kern w:val="0"/>
          <w:sz w:val="24"/>
          <w:szCs w:val="24"/>
          <w14:ligatures w14:val="none"/>
        </w:rPr>
        <w:t>CoD</w:t>
      </w:r>
      <w:proofErr w:type="spellEnd"/>
      <w:r w:rsidRPr="00612B12">
        <w:rPr>
          <w:rFonts w:ascii="Segoe UI" w:eastAsia="Times New Roman" w:hAnsi="Segoe UI" w:cs="Segoe UI"/>
          <w:color w:val="0D0D0D"/>
          <w:kern w:val="0"/>
          <w:sz w:val="24"/>
          <w:szCs w:val="24"/>
          <w14:ligatures w14:val="none"/>
        </w:rPr>
        <w:t xml:space="preserve"> over time also facilitates software development process optimization and helps assess the success of quality improvement programs.</w:t>
      </w:r>
    </w:p>
    <w:sectPr w:rsidR="0061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812BB"/>
    <w:multiLevelType w:val="multilevel"/>
    <w:tmpl w:val="94540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C32DD6"/>
    <w:multiLevelType w:val="multilevel"/>
    <w:tmpl w:val="4D1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252460">
    <w:abstractNumId w:val="0"/>
  </w:num>
  <w:num w:numId="2" w16cid:durableId="1218129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4C"/>
    <w:rsid w:val="00026509"/>
    <w:rsid w:val="000B35EF"/>
    <w:rsid w:val="000D2FC1"/>
    <w:rsid w:val="00171FFE"/>
    <w:rsid w:val="003849DD"/>
    <w:rsid w:val="004017E1"/>
    <w:rsid w:val="00402D0F"/>
    <w:rsid w:val="00455397"/>
    <w:rsid w:val="00476BF8"/>
    <w:rsid w:val="00484C1E"/>
    <w:rsid w:val="00612B12"/>
    <w:rsid w:val="006341B5"/>
    <w:rsid w:val="006641BA"/>
    <w:rsid w:val="00861726"/>
    <w:rsid w:val="009B7BE4"/>
    <w:rsid w:val="00AD314C"/>
    <w:rsid w:val="00BF61C3"/>
    <w:rsid w:val="00C54C84"/>
    <w:rsid w:val="00E949E0"/>
    <w:rsid w:val="00FD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2A62"/>
  <w15:chartTrackingRefBased/>
  <w15:docId w15:val="{87941BA9-90E4-4847-B583-FA2913D1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14C"/>
    <w:rPr>
      <w:rFonts w:eastAsiaTheme="majorEastAsia" w:cstheme="majorBidi"/>
      <w:color w:val="272727" w:themeColor="text1" w:themeTint="D8"/>
    </w:rPr>
  </w:style>
  <w:style w:type="paragraph" w:styleId="Title">
    <w:name w:val="Title"/>
    <w:basedOn w:val="Normal"/>
    <w:next w:val="Normal"/>
    <w:link w:val="TitleChar"/>
    <w:uiPriority w:val="10"/>
    <w:qFormat/>
    <w:rsid w:val="00AD3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14C"/>
    <w:pPr>
      <w:spacing w:before="160"/>
      <w:jc w:val="center"/>
    </w:pPr>
    <w:rPr>
      <w:i/>
      <w:iCs/>
      <w:color w:val="404040" w:themeColor="text1" w:themeTint="BF"/>
    </w:rPr>
  </w:style>
  <w:style w:type="character" w:customStyle="1" w:styleId="QuoteChar">
    <w:name w:val="Quote Char"/>
    <w:basedOn w:val="DefaultParagraphFont"/>
    <w:link w:val="Quote"/>
    <w:uiPriority w:val="29"/>
    <w:rsid w:val="00AD314C"/>
    <w:rPr>
      <w:i/>
      <w:iCs/>
      <w:color w:val="404040" w:themeColor="text1" w:themeTint="BF"/>
    </w:rPr>
  </w:style>
  <w:style w:type="paragraph" w:styleId="ListParagraph">
    <w:name w:val="List Paragraph"/>
    <w:basedOn w:val="Normal"/>
    <w:uiPriority w:val="34"/>
    <w:qFormat/>
    <w:rsid w:val="00AD314C"/>
    <w:pPr>
      <w:ind w:left="720"/>
      <w:contextualSpacing/>
    </w:pPr>
  </w:style>
  <w:style w:type="character" w:styleId="IntenseEmphasis">
    <w:name w:val="Intense Emphasis"/>
    <w:basedOn w:val="DefaultParagraphFont"/>
    <w:uiPriority w:val="21"/>
    <w:qFormat/>
    <w:rsid w:val="00AD314C"/>
    <w:rPr>
      <w:i/>
      <w:iCs/>
      <w:color w:val="0F4761" w:themeColor="accent1" w:themeShade="BF"/>
    </w:rPr>
  </w:style>
  <w:style w:type="paragraph" w:styleId="IntenseQuote">
    <w:name w:val="Intense Quote"/>
    <w:basedOn w:val="Normal"/>
    <w:next w:val="Normal"/>
    <w:link w:val="IntenseQuoteChar"/>
    <w:uiPriority w:val="30"/>
    <w:qFormat/>
    <w:rsid w:val="00AD3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14C"/>
    <w:rPr>
      <w:i/>
      <w:iCs/>
      <w:color w:val="0F4761" w:themeColor="accent1" w:themeShade="BF"/>
    </w:rPr>
  </w:style>
  <w:style w:type="character" w:styleId="IntenseReference">
    <w:name w:val="Intense Reference"/>
    <w:basedOn w:val="DefaultParagraphFont"/>
    <w:uiPriority w:val="32"/>
    <w:qFormat/>
    <w:rsid w:val="00AD314C"/>
    <w:rPr>
      <w:b/>
      <w:bCs/>
      <w:smallCaps/>
      <w:color w:val="0F4761" w:themeColor="accent1" w:themeShade="BF"/>
      <w:spacing w:val="5"/>
    </w:rPr>
  </w:style>
  <w:style w:type="paragraph" w:styleId="NormalWeb">
    <w:name w:val="Normal (Web)"/>
    <w:basedOn w:val="Normal"/>
    <w:uiPriority w:val="99"/>
    <w:semiHidden/>
    <w:unhideWhenUsed/>
    <w:rsid w:val="00AD31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314C"/>
    <w:rPr>
      <w:b/>
      <w:bCs/>
    </w:rPr>
  </w:style>
  <w:style w:type="character" w:customStyle="1" w:styleId="katex-mathml">
    <w:name w:val="katex-mathml"/>
    <w:basedOn w:val="DefaultParagraphFont"/>
    <w:rsid w:val="00AD314C"/>
  </w:style>
  <w:style w:type="character" w:customStyle="1" w:styleId="mord">
    <w:name w:val="mord"/>
    <w:basedOn w:val="DefaultParagraphFont"/>
    <w:rsid w:val="00AD314C"/>
  </w:style>
  <w:style w:type="character" w:customStyle="1" w:styleId="mrel">
    <w:name w:val="mrel"/>
    <w:basedOn w:val="DefaultParagraphFont"/>
    <w:rsid w:val="00AD314C"/>
  </w:style>
  <w:style w:type="character" w:customStyle="1" w:styleId="mbin">
    <w:name w:val="mbin"/>
    <w:basedOn w:val="DefaultParagraphFont"/>
    <w:rsid w:val="00AD314C"/>
  </w:style>
  <w:style w:type="character" w:customStyle="1" w:styleId="mpunct">
    <w:name w:val="mpunct"/>
    <w:basedOn w:val="DefaultParagraphFont"/>
    <w:rsid w:val="00AD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98753">
      <w:bodyDiv w:val="1"/>
      <w:marLeft w:val="0"/>
      <w:marRight w:val="0"/>
      <w:marTop w:val="0"/>
      <w:marBottom w:val="0"/>
      <w:divBdr>
        <w:top w:val="none" w:sz="0" w:space="0" w:color="auto"/>
        <w:left w:val="none" w:sz="0" w:space="0" w:color="auto"/>
        <w:bottom w:val="none" w:sz="0" w:space="0" w:color="auto"/>
        <w:right w:val="none" w:sz="0" w:space="0" w:color="auto"/>
      </w:divBdr>
    </w:div>
    <w:div w:id="983312658">
      <w:bodyDiv w:val="1"/>
      <w:marLeft w:val="0"/>
      <w:marRight w:val="0"/>
      <w:marTop w:val="0"/>
      <w:marBottom w:val="0"/>
      <w:divBdr>
        <w:top w:val="none" w:sz="0" w:space="0" w:color="auto"/>
        <w:left w:val="none" w:sz="0" w:space="0" w:color="auto"/>
        <w:bottom w:val="none" w:sz="0" w:space="0" w:color="auto"/>
        <w:right w:val="none" w:sz="0" w:space="0" w:color="auto"/>
      </w:divBdr>
    </w:div>
    <w:div w:id="1020739514">
      <w:bodyDiv w:val="1"/>
      <w:marLeft w:val="0"/>
      <w:marRight w:val="0"/>
      <w:marTop w:val="0"/>
      <w:marBottom w:val="0"/>
      <w:divBdr>
        <w:top w:val="none" w:sz="0" w:space="0" w:color="auto"/>
        <w:left w:val="none" w:sz="0" w:space="0" w:color="auto"/>
        <w:bottom w:val="none" w:sz="0" w:space="0" w:color="auto"/>
        <w:right w:val="none" w:sz="0" w:space="0" w:color="auto"/>
      </w:divBdr>
      <w:divsChild>
        <w:div w:id="1814710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8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18</cp:revision>
  <dcterms:created xsi:type="dcterms:W3CDTF">2024-03-12T10:32:00Z</dcterms:created>
  <dcterms:modified xsi:type="dcterms:W3CDTF">2024-03-25T15:37:00Z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2024-03-12T10:33:07Z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846d3c00-7910-42a7-abff-9b9d7bae4b89</vt:lpwstr>
  </property>
  <property fmtid="{D5CDD505-2E9C-101B-9397-08002B2CF9AE}" pid="8" name="MSIP_Label_dbd95877-2e0c-4f81-8274-2c7dc12e45a8_ContentBits">
    <vt:lpwstr>0</vt:lpwstr>
  </property>
</Properties>
</file>