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b/>
          <w:color w:val="1F4E79"/>
          <w:sz w:val="48"/>
        </w:rPr>
        <w:t>ASR Shootout: Benchmarking Indian Conversational Speech</w:t>
      </w:r>
    </w:p>
    <w:p>
      <w:pPr>
        <w:spacing w:after="480"/>
      </w:pPr>
      <w:r>
        <w:rPr>
          <w:i/>
          <w:color w:val="595959"/>
          <w:sz w:val="24"/>
        </w:rPr>
        <w:t>Vahan AI Intern Assessment — Evaluation Report</w:t>
      </w:r>
    </w:p>
    <w:p>
      <w:pPr>
        <w:spacing w:after="240"/>
        <w:pBdr>
          <w:bottom w:val="single" w:sz="6" w:space="1" w:color="D3D3D3"/>
        </w:pBdr>
      </w:pPr>
    </w:p>
    <w:p>
      <w:pPr>
        <w:spacing w:before="240" w:after="120"/>
      </w:pPr>
      <w:r>
        <w:rPr>
          <w:b/>
          <w:color w:val="1F4E79"/>
          <w:sz w:val="32"/>
        </w:rPr>
        <w:t>1. Goal</w:t>
      </w:r>
    </w:p>
    <w:p>
      <w:pPr>
        <w:spacing w:after="360"/>
        <w:ind w:left="288" w:right="288"/>
        <w:shd w:fill="F2F2F2"/>
        <w:pBdr>
          <w:left w:val="single" w:sz="24" w:space="12" w:color="1F4E79"/>
        </w:pBdr>
      </w:pPr>
      <w:r>
        <w:rPr>
          <w:sz w:val="22"/>
        </w:rPr>
        <w:t>Evaluate and select the optimal ASR model for transcribing Hinglish conversational queries and extracting Bangalore locality names under realistic noise, speech speed, and volume conditions.</w:t>
      </w:r>
    </w:p>
    <w:p>
      <w:pPr>
        <w:spacing w:before="240" w:after="120"/>
      </w:pPr>
      <w:r>
        <w:rPr>
          <w:b/>
          <w:color w:val="1F4E79"/>
          <w:sz w:val="32"/>
        </w:rPr>
        <w:t>2. Models Evaluated</w:t>
      </w:r>
    </w:p>
    <w:p>
      <w:pPr>
        <w:spacing w:after="120"/>
      </w:pPr>
      <w:r>
        <w:t>The following ASR systems were benchmarked across the dataset:</w:t>
      </w:r>
    </w:p>
    <w:p>
      <w:pPr>
        <w:pStyle w:val="ListBullet"/>
        <w:spacing w:after="80"/>
      </w:pPr>
      <w:r>
        <w:rPr>
          <w:b/>
        </w:rPr>
        <w:t xml:space="preserve">Deepgram (Nova-2-General): </w:t>
      </w:r>
      <w:r>
        <w:t>Baseline model. Chosen for its fast telephony latency, low costs, and robust multilingual transcriptions.</w:t>
      </w:r>
    </w:p>
    <w:p>
      <w:pPr>
        <w:pStyle w:val="ListBullet"/>
        <w:spacing w:after="80"/>
      </w:pPr>
      <w:r>
        <w:rPr>
          <w:b/>
        </w:rPr>
        <w:t xml:space="preserve">OpenAI Whisper (whisper-large-v3 via Groq): </w:t>
      </w:r>
      <w:r>
        <w:t>Industry standard for high-accuracy transcriptions across diverse accents. Executed via Groq's hardware LPU for sub-second responses.</w:t>
      </w:r>
    </w:p>
    <w:p>
      <w:pPr>
        <w:pStyle w:val="ListBullet"/>
        <w:spacing w:after="80"/>
      </w:pPr>
      <w:r>
        <w:rPr>
          <w:b/>
        </w:rPr>
        <w:t xml:space="preserve">Sarvam AI (Saaras-v3 API): </w:t>
      </w:r>
      <w:r>
        <w:t>An India-focused ASR specifically pre-trained to capture Indian regional nuances, accents, and complex Hindi-English code-switching.</w:t>
      </w:r>
    </w:p>
    <w:p>
      <w:pPr>
        <w:spacing w:after="240"/>
      </w:pPr>
    </w:p>
    <w:p>
      <w:pPr>
        <w:spacing w:before="240" w:after="120"/>
      </w:pPr>
      <w:r>
        <w:rPr>
          <w:b/>
          <w:color w:val="1F4E79"/>
          <w:sz w:val="32"/>
        </w:rPr>
        <w:t>3. Dataset Design</w:t>
      </w:r>
    </w:p>
    <w:p>
      <w:pPr>
        <w:spacing w:after="120"/>
      </w:pPr>
      <w:r>
        <w:t>The evaluation dataset consists of 20 self-recorded audio clips in .wav format, containing natural Hinglish phrases and Bangalore locality names. Instead of reading flat lists of names, recordings mimic candidate phone call or WhatsApp audio responses (e.g. "Bhaiya HSR Layout sector two chalna hai" or "Haan, main Koramangala mein rehta hoon").</w:t>
      </w:r>
    </w:p>
    <w:p>
      <w:pPr>
        <w:spacing w:after="120"/>
      </w:pPr>
      <w:r>
        <w:t>To stress-test ASR robustness under telephony conditions, the audios were recorded across 5 acoustic conditions:</w:t>
      </w:r>
    </w:p>
    <w:p>
      <w:pPr>
        <w:pStyle w:val="ListBullet"/>
        <w:spacing w:after="80"/>
      </w:pPr>
      <w:r>
        <w:rPr>
          <w:b/>
        </w:rPr>
        <w:t xml:space="preserve">Quiet environment (5 clips): </w:t>
      </w:r>
      <w:r>
        <w:t>Baseline acoustic quality in a silent room.</w:t>
      </w:r>
    </w:p>
    <w:p>
      <w:pPr>
        <w:pStyle w:val="ListBullet"/>
        <w:spacing w:after="80"/>
      </w:pPr>
      <w:r>
        <w:rPr>
          <w:b/>
        </w:rPr>
        <w:t xml:space="preserve">Fan / Background noise (4 clips): </w:t>
      </w:r>
      <w:r>
        <w:t>Low-frequency steady noise from a ceiling fan.</w:t>
      </w:r>
    </w:p>
    <w:p>
      <w:pPr>
        <w:pStyle w:val="ListBullet"/>
        <w:spacing w:after="80"/>
      </w:pPr>
      <w:r>
        <w:rPr>
          <w:b/>
        </w:rPr>
        <w:t xml:space="preserve">Street Traffic noise (4 clips): </w:t>
      </w:r>
      <w:r>
        <w:t>Sudden, non-stationary vehicle and honking noise.</w:t>
      </w:r>
    </w:p>
    <w:p>
      <w:pPr>
        <w:pStyle w:val="ListBullet"/>
        <w:spacing w:after="80"/>
      </w:pPr>
      <w:r>
        <w:rPr>
          <w:b/>
        </w:rPr>
        <w:t xml:space="preserve">Whispered / Mumbled speech (4 clips): </w:t>
      </w:r>
      <w:r>
        <w:t>Low-volume speech to simulate shy or distant candidates.</w:t>
      </w:r>
    </w:p>
    <w:p>
      <w:pPr>
        <w:pStyle w:val="ListBullet"/>
        <w:spacing w:after="80"/>
      </w:pPr>
      <w:r>
        <w:rPr>
          <w:b/>
        </w:rPr>
        <w:t xml:space="preserve">Fast / Rushed speech (3 clips): </w:t>
      </w:r>
      <w:r>
        <w:t>Rapid Hinglish speaking rates under time pressure.</w:t>
      </w:r>
    </w:p>
    <w:p>
      <w:pPr>
        <w:spacing w:after="240"/>
      </w:pPr>
    </w:p>
    <w:p>
      <w:pPr>
        <w:spacing w:before="240" w:after="120"/>
      </w:pPr>
      <w:r>
        <w:rPr>
          <w:b/>
          <w:color w:val="1F4E79"/>
          <w:sz w:val="32"/>
        </w:rPr>
        <w:t>4. Evaluation Metrics</w:t>
      </w:r>
    </w:p>
    <w:p>
      <w:pPr>
        <w:spacing w:after="120"/>
      </w:pPr>
      <w:r>
        <w:t>Three core dimensions were measured:</w:t>
      </w:r>
    </w:p>
    <w:p>
      <w:pPr>
        <w:pStyle w:val="ListBullet"/>
        <w:spacing w:after="80"/>
      </w:pPr>
      <w:r>
        <w:rPr>
          <w:b/>
        </w:rPr>
        <w:t xml:space="preserve">Word Error Rate (WER): </w:t>
      </w:r>
      <w:r>
        <w:t>Calculates the percentage of word insertions, deletions, and substitutions. Transcripts are normalized (lowercased, punctuation removed) prior to evaluation to prevent formatting skew.</w:t>
      </w:r>
    </w:p>
    <w:p>
      <w:pPr>
        <w:pStyle w:val="ListBullet"/>
        <w:spacing w:after="80"/>
      </w:pPr>
      <w:r>
        <w:rPr>
          <w:b/>
        </w:rPr>
        <w:t xml:space="preserve">Locality Detection Accuracy (Custom Metric): </w:t>
      </w:r>
      <w:r>
        <w:t>A binary check showing if the target locality was correctly captured. Hinglish transcripts often result in spelling variations (e.g. "Koramangala" transcribed in Devanagari script as "कोरमंगला"). We implement a custom mapping dictionary and use fuzzy substring matching (RapidFuzz threshold &gt;= 80%) to handle script and phonetic variations.</w:t>
      </w:r>
    </w:p>
    <w:p>
      <w:pPr>
        <w:pStyle w:val="ListBullet"/>
        <w:spacing w:after="80"/>
      </w:pPr>
      <w:r>
        <w:rPr>
          <w:b/>
        </w:rPr>
        <w:t xml:space="preserve">Latency: </w:t>
      </w:r>
      <w:r>
        <w:t>Average round-trip response time (in seconds) for ASR API transcription requests.</w:t>
      </w:r>
    </w:p>
    <w:p>
      <w:pPr>
        <w:spacing w:after="240"/>
      </w:pPr>
    </w:p>
    <w:p>
      <w:pPr>
        <w:spacing w:before="240" w:after="160"/>
      </w:pPr>
      <w:r>
        <w:rPr>
          <w:b/>
          <w:color w:val="1F4E79"/>
          <w:sz w:val="32"/>
        </w:rPr>
        <w:t>5. Benchmark Results</w:t>
      </w:r>
    </w:p>
    <w:tbl>
      <w:tblPr>
        <w:tblW w:type="auto" w:w="0"/>
        <w:jc w:val="center"/>
        <w:tblLayout w:type="fixed"/>
        <w:tblLook w:firstColumn="1" w:firstRow="1" w:lastColumn="0" w:lastRow="0" w:noHBand="0" w:noVBand="1" w:val="04A0"/>
      </w:tblPr>
      <w:tblGrid>
        <w:gridCol w:w="2592"/>
        <w:gridCol w:w="1584"/>
        <w:gridCol w:w="1872"/>
        <w:gridCol w:w="1728"/>
        <w:gridCol w:w="1872"/>
      </w:tblGrid>
      <w:tr>
        <w:tc>
          <w:tcPr>
            <w:tcW w:type="dxa" w:w="1872"/>
            <w:shd w:fill="1F4E79"/>
            <w:tcMar>
              <w:top w:w="100" w:type="dxa"/>
              <w:bottom w:w="100" w:type="dxa"/>
              <w:left w:w="150" w:type="dxa"/>
              <w:right w:w="150" w:type="dxa"/>
            </w:tcMar>
            <w:tcBorders>
              <w:bottom w:val="single" w:sz="4" w:space="0" w:color="E0E0E0"/>
            </w:tcBorders>
          </w:tcPr>
          <w:p>
            <w:pPr>
              <w:jc w:val="center"/>
            </w:pPr>
            <w:r>
              <w:rPr>
                <w:b/>
                <w:color w:val="FFFFFF"/>
                <w:sz w:val="20"/>
              </w:rPr>
              <w:t>Model</w:t>
            </w:r>
          </w:p>
        </w:tc>
        <w:tc>
          <w:tcPr>
            <w:tcW w:type="dxa" w:w="1872"/>
            <w:shd w:fill="1F4E79"/>
            <w:tcMar>
              <w:top w:w="100" w:type="dxa"/>
              <w:bottom w:w="100" w:type="dxa"/>
              <w:left w:w="150" w:type="dxa"/>
              <w:right w:w="150" w:type="dxa"/>
            </w:tcMar>
            <w:tcBorders>
              <w:bottom w:val="single" w:sz="4" w:space="0" w:color="E0E0E0"/>
            </w:tcBorders>
          </w:tcPr>
          <w:p>
            <w:pPr>
              <w:jc w:val="center"/>
            </w:pPr>
            <w:r>
              <w:rPr>
                <w:b/>
                <w:color w:val="FFFFFF"/>
                <w:sz w:val="20"/>
              </w:rPr>
              <w:t>Avg. WER</w:t>
            </w:r>
          </w:p>
        </w:tc>
        <w:tc>
          <w:tcPr>
            <w:tcW w:type="dxa" w:w="1872"/>
            <w:shd w:fill="1F4E79"/>
            <w:tcMar>
              <w:top w:w="100" w:type="dxa"/>
              <w:bottom w:w="100" w:type="dxa"/>
              <w:left w:w="150" w:type="dxa"/>
              <w:right w:w="150" w:type="dxa"/>
            </w:tcMar>
            <w:tcBorders>
              <w:bottom w:val="single" w:sz="4" w:space="0" w:color="E0E0E0"/>
            </w:tcBorders>
          </w:tcPr>
          <w:p>
            <w:pPr>
              <w:jc w:val="center"/>
            </w:pPr>
            <w:r>
              <w:rPr>
                <w:b/>
                <w:color w:val="FFFFFF"/>
                <w:sz w:val="20"/>
              </w:rPr>
              <w:t>Locality Acc.</w:t>
            </w:r>
          </w:p>
        </w:tc>
        <w:tc>
          <w:tcPr>
            <w:tcW w:type="dxa" w:w="1872"/>
            <w:shd w:fill="1F4E79"/>
            <w:tcMar>
              <w:top w:w="100" w:type="dxa"/>
              <w:bottom w:w="100" w:type="dxa"/>
              <w:left w:w="150" w:type="dxa"/>
              <w:right w:w="150" w:type="dxa"/>
            </w:tcMar>
            <w:tcBorders>
              <w:bottom w:val="single" w:sz="4" w:space="0" w:color="E0E0E0"/>
            </w:tcBorders>
          </w:tcPr>
          <w:p>
            <w:pPr>
              <w:jc w:val="center"/>
            </w:pPr>
            <w:r>
              <w:rPr>
                <w:b/>
                <w:color w:val="FFFFFF"/>
                <w:sz w:val="20"/>
              </w:rPr>
              <w:t>Avg. Latency</w:t>
            </w:r>
          </w:p>
        </w:tc>
        <w:tc>
          <w:tcPr>
            <w:tcW w:type="dxa" w:w="1872"/>
            <w:shd w:fill="1F4E79"/>
            <w:tcMar>
              <w:top w:w="100" w:type="dxa"/>
              <w:bottom w:w="100" w:type="dxa"/>
              <w:left w:w="150" w:type="dxa"/>
              <w:right w:w="150" w:type="dxa"/>
            </w:tcMar>
            <w:tcBorders>
              <w:bottom w:val="single" w:sz="4" w:space="0" w:color="E0E0E0"/>
            </w:tcBorders>
          </w:tcPr>
          <w:p>
            <w:pPr>
              <w:jc w:val="center"/>
            </w:pPr>
            <w:r>
              <w:rPr>
                <w:b/>
                <w:color w:val="FFFFFF"/>
                <w:sz w:val="20"/>
              </w:rPr>
              <w:t>Est. Cost / 1k Hrs</w:t>
            </w:r>
          </w:p>
        </w:tc>
      </w:tr>
      <w:tr>
        <w:tc>
          <w:tcPr>
            <w:tcW w:type="dxa" w:w="1872"/>
            <w:shd w:fill="FFFFFF"/>
            <w:tcMar>
              <w:top w:w="100" w:type="dxa"/>
              <w:bottom w:w="100" w:type="dxa"/>
              <w:left w:w="150" w:type="dxa"/>
              <w:right w:w="150" w:type="dxa"/>
            </w:tcMar>
            <w:tcBorders>
              <w:bottom w:val="single" w:sz="4" w:space="0" w:color="E0E0E0"/>
            </w:tcBorders>
          </w:tcPr>
          <w:p>
            <w:pPr>
              <w:jc w:val="left"/>
            </w:pPr>
            <w:r>
              <w:rPr>
                <w:sz w:val="19"/>
              </w:rPr>
              <w:t>Deepgram (Nova-2)</w:t>
            </w:r>
          </w:p>
        </w:tc>
        <w:tc>
          <w:tcPr>
            <w:tcW w:type="dxa" w:w="1872"/>
            <w:shd w:fill="FFFFFF"/>
            <w:tcMar>
              <w:top w:w="100" w:type="dxa"/>
              <w:bottom w:w="100" w:type="dxa"/>
              <w:left w:w="150" w:type="dxa"/>
              <w:right w:w="150" w:type="dxa"/>
            </w:tcMar>
            <w:tcBorders>
              <w:bottom w:val="single" w:sz="4" w:space="0" w:color="E0E0E0"/>
            </w:tcBorders>
          </w:tcPr>
          <w:p>
            <w:pPr>
              <w:jc w:val="center"/>
            </w:pPr>
            <w:r>
              <w:rPr>
                <w:b/>
                <w:color w:val="1F4E79"/>
                <w:sz w:val="19"/>
              </w:rPr>
              <w:t>83.43%</w:t>
            </w:r>
          </w:p>
        </w:tc>
        <w:tc>
          <w:tcPr>
            <w:tcW w:type="dxa" w:w="1872"/>
            <w:shd w:fill="FFFFFF"/>
            <w:tcMar>
              <w:top w:w="100" w:type="dxa"/>
              <w:bottom w:w="100" w:type="dxa"/>
              <w:left w:w="150" w:type="dxa"/>
              <w:right w:w="150" w:type="dxa"/>
            </w:tcMar>
            <w:tcBorders>
              <w:bottom w:val="single" w:sz="4" w:space="0" w:color="E0E0E0"/>
            </w:tcBorders>
          </w:tcPr>
          <w:p>
            <w:pPr>
              <w:jc w:val="center"/>
            </w:pPr>
            <w:r>
              <w:rPr>
                <w:sz w:val="19"/>
              </w:rPr>
              <w:t>70.00%</w:t>
            </w:r>
          </w:p>
        </w:tc>
        <w:tc>
          <w:tcPr>
            <w:tcW w:type="dxa" w:w="1872"/>
            <w:shd w:fill="FFFFFF"/>
            <w:tcMar>
              <w:top w:w="100" w:type="dxa"/>
              <w:bottom w:w="100" w:type="dxa"/>
              <w:left w:w="150" w:type="dxa"/>
              <w:right w:w="150" w:type="dxa"/>
            </w:tcMar>
            <w:tcBorders>
              <w:bottom w:val="single" w:sz="4" w:space="0" w:color="E0E0E0"/>
            </w:tcBorders>
          </w:tcPr>
          <w:p>
            <w:pPr>
              <w:jc w:val="center"/>
            </w:pPr>
            <w:r>
              <w:rPr>
                <w:sz w:val="19"/>
              </w:rPr>
              <w:t>2.49s</w:t>
            </w:r>
          </w:p>
        </w:tc>
        <w:tc>
          <w:tcPr>
            <w:tcW w:type="dxa" w:w="1872"/>
            <w:shd w:fill="FFFFFF"/>
            <w:tcMar>
              <w:top w:w="100" w:type="dxa"/>
              <w:bottom w:w="100" w:type="dxa"/>
              <w:left w:w="150" w:type="dxa"/>
              <w:right w:w="150" w:type="dxa"/>
            </w:tcMar>
            <w:tcBorders>
              <w:bottom w:val="single" w:sz="4" w:space="0" w:color="E0E0E0"/>
            </w:tcBorders>
          </w:tcPr>
          <w:p>
            <w:pPr>
              <w:jc w:val="center"/>
            </w:pPr>
            <w:r>
              <w:rPr>
                <w:sz w:val="19"/>
              </w:rPr>
              <w:t>~$10.00</w:t>
            </w:r>
          </w:p>
        </w:tc>
      </w:tr>
      <w:tr>
        <w:tc>
          <w:tcPr>
            <w:tcW w:type="dxa" w:w="1872"/>
            <w:shd w:fill="F9FBFD"/>
            <w:tcMar>
              <w:top w:w="100" w:type="dxa"/>
              <w:bottom w:w="100" w:type="dxa"/>
              <w:left w:w="150" w:type="dxa"/>
              <w:right w:w="150" w:type="dxa"/>
            </w:tcMar>
            <w:tcBorders>
              <w:bottom w:val="single" w:sz="4" w:space="0" w:color="E0E0E0"/>
            </w:tcBorders>
          </w:tcPr>
          <w:p>
            <w:pPr>
              <w:jc w:val="left"/>
            </w:pPr>
            <w:r>
              <w:rPr>
                <w:sz w:val="19"/>
              </w:rPr>
              <w:t>OpenAI Whisper (Groq)</w:t>
            </w:r>
          </w:p>
        </w:tc>
        <w:tc>
          <w:tcPr>
            <w:tcW w:type="dxa" w:w="1872"/>
            <w:shd w:fill="F9FBFD"/>
            <w:tcMar>
              <w:top w:w="100" w:type="dxa"/>
              <w:bottom w:w="100" w:type="dxa"/>
              <w:left w:w="150" w:type="dxa"/>
              <w:right w:w="150" w:type="dxa"/>
            </w:tcMar>
            <w:tcBorders>
              <w:bottom w:val="single" w:sz="4" w:space="0" w:color="E0E0E0"/>
            </w:tcBorders>
          </w:tcPr>
          <w:p>
            <w:pPr>
              <w:jc w:val="center"/>
            </w:pPr>
            <w:r>
              <w:rPr>
                <w:sz w:val="19"/>
              </w:rPr>
              <w:t>104.65%</w:t>
            </w:r>
          </w:p>
        </w:tc>
        <w:tc>
          <w:tcPr>
            <w:tcW w:type="dxa" w:w="1872"/>
            <w:shd w:fill="F9FBFD"/>
            <w:tcMar>
              <w:top w:w="100" w:type="dxa"/>
              <w:bottom w:w="100" w:type="dxa"/>
              <w:left w:w="150" w:type="dxa"/>
              <w:right w:w="150" w:type="dxa"/>
            </w:tcMar>
            <w:tcBorders>
              <w:bottom w:val="single" w:sz="4" w:space="0" w:color="E0E0E0"/>
            </w:tcBorders>
          </w:tcPr>
          <w:p>
            <w:pPr>
              <w:jc w:val="center"/>
            </w:pPr>
            <w:r>
              <w:rPr>
                <w:sz w:val="19"/>
              </w:rPr>
              <w:t>80.00%</w:t>
            </w:r>
          </w:p>
        </w:tc>
        <w:tc>
          <w:tcPr>
            <w:tcW w:type="dxa" w:w="1872"/>
            <w:shd w:fill="F9FBFD"/>
            <w:tcMar>
              <w:top w:w="100" w:type="dxa"/>
              <w:bottom w:w="100" w:type="dxa"/>
              <w:left w:w="150" w:type="dxa"/>
              <w:right w:w="150" w:type="dxa"/>
            </w:tcMar>
            <w:tcBorders>
              <w:bottom w:val="single" w:sz="4" w:space="0" w:color="E0E0E0"/>
            </w:tcBorders>
          </w:tcPr>
          <w:p>
            <w:pPr>
              <w:jc w:val="center"/>
            </w:pPr>
            <w:r>
              <w:rPr>
                <w:b/>
                <w:color w:val="1F4E79"/>
                <w:sz w:val="19"/>
              </w:rPr>
              <w:t>0.46s</w:t>
            </w:r>
          </w:p>
        </w:tc>
        <w:tc>
          <w:tcPr>
            <w:tcW w:type="dxa" w:w="1872"/>
            <w:shd w:fill="F9FBFD"/>
            <w:tcMar>
              <w:top w:w="100" w:type="dxa"/>
              <w:bottom w:w="100" w:type="dxa"/>
              <w:left w:w="150" w:type="dxa"/>
              <w:right w:w="150" w:type="dxa"/>
            </w:tcMar>
            <w:tcBorders>
              <w:bottom w:val="single" w:sz="4" w:space="0" w:color="E0E0E0"/>
            </w:tcBorders>
          </w:tcPr>
          <w:p>
            <w:pPr>
              <w:jc w:val="center"/>
            </w:pPr>
            <w:r>
              <w:rPr>
                <w:sz w:val="19"/>
              </w:rPr>
              <w:t>~$0.00 (Free Tier)</w:t>
            </w:r>
          </w:p>
        </w:tc>
      </w:tr>
      <w:tr>
        <w:tc>
          <w:tcPr>
            <w:tcW w:type="dxa" w:w="1872"/>
            <w:shd w:fill="FFFFFF"/>
            <w:tcMar>
              <w:top w:w="100" w:type="dxa"/>
              <w:bottom w:w="100" w:type="dxa"/>
              <w:left w:w="150" w:type="dxa"/>
              <w:right w:w="150" w:type="dxa"/>
            </w:tcMar>
            <w:tcBorders>
              <w:bottom w:val="single" w:sz="4" w:space="0" w:color="E0E0E0"/>
            </w:tcBorders>
          </w:tcPr>
          <w:p>
            <w:pPr>
              <w:jc w:val="left"/>
            </w:pPr>
            <w:r>
              <w:rPr>
                <w:sz w:val="19"/>
              </w:rPr>
              <w:t>Sarvam AI (Saaras-v3)</w:t>
            </w:r>
          </w:p>
        </w:tc>
        <w:tc>
          <w:tcPr>
            <w:tcW w:type="dxa" w:w="1872"/>
            <w:shd w:fill="FFFFFF"/>
            <w:tcMar>
              <w:top w:w="100" w:type="dxa"/>
              <w:bottom w:w="100" w:type="dxa"/>
              <w:left w:w="150" w:type="dxa"/>
              <w:right w:w="150" w:type="dxa"/>
            </w:tcMar>
            <w:tcBorders>
              <w:bottom w:val="single" w:sz="4" w:space="0" w:color="E0E0E0"/>
            </w:tcBorders>
          </w:tcPr>
          <w:p>
            <w:pPr>
              <w:jc w:val="center"/>
            </w:pPr>
            <w:r>
              <w:rPr>
                <w:sz w:val="19"/>
              </w:rPr>
              <w:t>109.43%</w:t>
            </w:r>
          </w:p>
        </w:tc>
        <w:tc>
          <w:tcPr>
            <w:tcW w:type="dxa" w:w="1872"/>
            <w:shd w:fill="FFFFFF"/>
            <w:tcMar>
              <w:top w:w="100" w:type="dxa"/>
              <w:bottom w:w="100" w:type="dxa"/>
              <w:left w:w="150" w:type="dxa"/>
              <w:right w:w="150" w:type="dxa"/>
            </w:tcMar>
            <w:tcBorders>
              <w:bottom w:val="single" w:sz="4" w:space="0" w:color="E0E0E0"/>
            </w:tcBorders>
          </w:tcPr>
          <w:p>
            <w:pPr>
              <w:jc w:val="center"/>
            </w:pPr>
            <w:r>
              <w:rPr>
                <w:b/>
                <w:color w:val="1F4E79"/>
                <w:sz w:val="19"/>
              </w:rPr>
              <w:t>85.00%</w:t>
            </w:r>
          </w:p>
        </w:tc>
        <w:tc>
          <w:tcPr>
            <w:tcW w:type="dxa" w:w="1872"/>
            <w:shd w:fill="FFFFFF"/>
            <w:tcMar>
              <w:top w:w="100" w:type="dxa"/>
              <w:bottom w:w="100" w:type="dxa"/>
              <w:left w:w="150" w:type="dxa"/>
              <w:right w:w="150" w:type="dxa"/>
            </w:tcMar>
            <w:tcBorders>
              <w:bottom w:val="single" w:sz="4" w:space="0" w:color="E0E0E0"/>
            </w:tcBorders>
          </w:tcPr>
          <w:p>
            <w:pPr>
              <w:jc w:val="center"/>
            </w:pPr>
            <w:r>
              <w:rPr>
                <w:sz w:val="19"/>
              </w:rPr>
              <w:t>0.86s</w:t>
            </w:r>
          </w:p>
        </w:tc>
        <w:tc>
          <w:tcPr>
            <w:tcW w:type="dxa" w:w="1872"/>
            <w:shd w:fill="FFFFFF"/>
            <w:tcMar>
              <w:top w:w="100" w:type="dxa"/>
              <w:bottom w:w="100" w:type="dxa"/>
              <w:left w:w="150" w:type="dxa"/>
              <w:right w:w="150" w:type="dxa"/>
            </w:tcMar>
            <w:tcBorders>
              <w:bottom w:val="single" w:sz="4" w:space="0" w:color="E0E0E0"/>
            </w:tcBorders>
          </w:tcPr>
          <w:p>
            <w:pPr>
              <w:jc w:val="center"/>
            </w:pPr>
            <w:r>
              <w:rPr>
                <w:sz w:val="19"/>
              </w:rPr>
              <w:t>~$120.00</w:t>
            </w:r>
          </w:p>
        </w:tc>
      </w:tr>
    </w:tbl>
    <w:p>
      <w:pPr>
        <w:spacing w:after="360"/>
      </w:pPr>
    </w:p>
    <w:p>
      <w:pPr>
        <w:spacing w:before="240" w:after="120"/>
      </w:pPr>
      <w:r>
        <w:rPr>
          <w:b/>
          <w:color w:val="1F4E79"/>
          <w:sz w:val="32"/>
        </w:rPr>
        <w:t>6. Qualitative &amp; Failure Analysis</w:t>
      </w:r>
    </w:p>
    <w:p>
      <w:pPr>
        <w:spacing w:after="120"/>
      </w:pPr>
      <w:r>
        <w:t>Auditing the individual model transcriptions highlighted three main acoustic failure modes:</w:t>
      </w:r>
    </w:p>
    <w:p>
      <w:pPr>
        <w:spacing w:after="80"/>
      </w:pPr>
      <w:r>
        <w:rPr>
          <w:b/>
          <w:color w:val="1F4E79"/>
        </w:rPr>
        <w:t xml:space="preserve">•  Phonetic Word Splits (The Hinglish Challenge): </w:t>
      </w:r>
      <w:r>
        <w:t>ASR models frequently divide regional locality names into separate dictionary Hindi words. For example, "Marathahalli" was transcribed as "मारा थाली" (Deepgram: 'hit plate'), "मारत अली" (Whisper: 'Marat Ali'), or "मारा था अली" (Sarvam: 'Ali had hit'). Similarly, "Yelahanka" was transcribed as "Yellanka" or "ये लंका" (Sarvam: 'this Lanka') due to the swallowed 'ha' phoneme.</w:t>
      </w:r>
    </w:p>
    <w:p>
      <w:pPr>
        <w:spacing w:after="80"/>
      </w:pPr>
      <w:r>
        <w:rPr>
          <w:b/>
          <w:color w:val="1F4E79"/>
        </w:rPr>
        <w:t xml:space="preserve">•  Auditory Hallucinations in Whispered Speech: </w:t>
      </w:r>
      <w:r>
        <w:t>Under low-volume whispered speech conditions, models struggled to resolve phonemes, causing hallucinations. For instance, "Silk Board" was transcribed as "Self board" (Deepgram) or "चलक बोर" (Whisper), whereas Sarvam successfully captured it as "सिल्क बोर्ड". "Bellandur" was transcribed as "Leyland दूर" (Deepgram) or "पेलंदू" (Whisper), while Sarvam correctly transcribed it as "बेलनदूर".</w:t>
      </w:r>
    </w:p>
    <w:p>
      <w:pPr>
        <w:spacing w:after="80"/>
      </w:pPr>
      <w:r>
        <w:rPr>
          <w:b/>
          <w:color w:val="1F4E79"/>
        </w:rPr>
        <w:t xml:space="preserve">•  Background Noise Distortions: </w:t>
      </w:r>
      <w:r>
        <w:t>Traffic noise caused significant phoneme loss, especially during rushed/fast speech. For example, "Banashankari" was transcribed as "बंद संक्री" (Deepgram: 'closed narrow') or "बन्शंक्री" (Whisper). Sarvam captured it as "भंजशंकरी", showing much greater acoustic resilience to noise.</w:t>
      </w:r>
    </w:p>
    <w:p>
      <w:pPr>
        <w:spacing w:after="240"/>
      </w:pPr>
    </w:p>
    <w:p>
      <w:pPr>
        <w:spacing w:before="240" w:after="120"/>
      </w:pPr>
      <w:r>
        <w:rPr>
          <w:b/>
          <w:color w:val="1F4E79"/>
          <w:sz w:val="32"/>
        </w:rPr>
        <w:t>7. Opinionated Recommendation</w:t>
      </w:r>
    </w:p>
    <w:p>
      <w:pPr>
        <w:spacing w:after="360"/>
        <w:ind w:left="288" w:right="288"/>
        <w:shd w:fill="F2F5F8"/>
        <w:pBdr>
          <w:left w:val="single" w:sz="24" w:space="12" w:color="1F4E79"/>
        </w:pBdr>
      </w:pPr>
      <w:r>
        <w:rPr>
          <w:sz w:val="21"/>
        </w:rPr>
        <w:t>For Vahan's blue-collar telephony pipeline, we recommend deploying a hybrid routing architecture:</w:t>
        <w:br/>
        <w:br/>
        <w:t>1. Primary Model — Sarvam AI (Saaras-v3): At 85.00% Locality Detection Accuracy, it is the most robust system for transcribing whispered, mumbled, and noisy regional Indian names (correctly capturing Bellandur and Silk Board where others failed). While its raw WER is 109.43% due to transcribing Hinglish phonetically in Devanagari, this is a script formatting mismatch, not a transcription error.</w:t>
        <w:br/>
        <w:br/>
        <w:t>2. Fallback Model — Groq-hosted Whisper: With an average latency of 0.46s, Groq is the optimal fallback for high-concurrency, real-time conversational contexts where sub-second latency is critical.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