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004B" w14:textId="71738F94" w:rsidR="00EF2620" w:rsidRDefault="00EF2620" w:rsidP="009516D6">
      <w:r>
        <w:rPr>
          <w:noProof/>
        </w:rPr>
        <w:drawing>
          <wp:inline distT="0" distB="0" distL="0" distR="0" wp14:anchorId="79582550" wp14:editId="12CA63DA">
            <wp:extent cx="5943600" cy="5747385"/>
            <wp:effectExtent l="0" t="0" r="0" b="5715"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348C" w14:textId="77777777" w:rsidR="00EF2620" w:rsidRDefault="00EF2620" w:rsidP="00EF2620">
      <w:r>
        <w:t>______________________________________________________________________________</w:t>
      </w:r>
    </w:p>
    <w:p w14:paraId="68DDD6ED" w14:textId="77777777" w:rsidR="00EF2620" w:rsidRDefault="00EF2620" w:rsidP="009516D6"/>
    <w:p w14:paraId="1E137A1F" w14:textId="392C058D" w:rsidR="0013271C" w:rsidRDefault="0013271C" w:rsidP="009516D6">
      <w:r>
        <w:t>CALCULATING OVERTREATMENT DALYs:</w:t>
      </w:r>
    </w:p>
    <w:p w14:paraId="7804224D" w14:textId="49E9A909" w:rsidR="002C7BDD" w:rsidRDefault="002C7BDD" w:rsidP="002C7BDD">
      <w:r>
        <w:t>This applies to the overtreatment branches: branches B &amp; C (WHO) and branches K and L (NIRUDAK)</w:t>
      </w:r>
    </w:p>
    <w:p w14:paraId="42F0FD08" w14:textId="77777777" w:rsidR="0013271C" w:rsidRDefault="0013271C" w:rsidP="009516D6"/>
    <w:p w14:paraId="606F81A1" w14:textId="3D88FA8A" w:rsidR="009516D6" w:rsidRDefault="0013271C" w:rsidP="009516D6">
      <w:r w:rsidRPr="0013271C">
        <w:t>PART 1</w:t>
      </w:r>
      <w:r>
        <w:t>, YLL</w:t>
      </w:r>
      <w:r w:rsidRPr="0013271C">
        <w:t>:</w:t>
      </w:r>
      <w:r>
        <w:t xml:space="preserve"> </w:t>
      </w:r>
      <w:r w:rsidR="009516D6" w:rsidRPr="009516D6">
        <w:rPr>
          <w:b/>
          <w:bCs/>
          <w:u w:val="single"/>
        </w:rPr>
        <w:t>Deaths due to overtreatment</w:t>
      </w:r>
      <w:r w:rsidR="009516D6">
        <w:t xml:space="preserve"> are now included</w:t>
      </w:r>
    </w:p>
    <w:p w14:paraId="44E9044C" w14:textId="77777777" w:rsidR="009516D6" w:rsidRPr="00257189" w:rsidRDefault="009516D6" w:rsidP="009516D6">
      <w:pPr>
        <w:pStyle w:val="ListParagraph"/>
        <w:numPr>
          <w:ilvl w:val="0"/>
          <w:numId w:val="1"/>
        </w:numPr>
      </w:pPr>
      <w:r>
        <w:t xml:space="preserve">The </w:t>
      </w:r>
      <w:r w:rsidRPr="007040F2">
        <w:rPr>
          <w:color w:val="0070C0"/>
        </w:rPr>
        <w:t xml:space="preserve">incidence is calculated using the 50/50 death/seizure split from </w:t>
      </w:r>
      <w:r>
        <w:rPr>
          <w:color w:val="0070C0"/>
        </w:rPr>
        <w:t>the developing societies section of</w:t>
      </w:r>
      <w:r w:rsidRPr="007040F2">
        <w:rPr>
          <w:color w:val="0070C0"/>
        </w:rPr>
        <w:t xml:space="preserve"> Figure 5 of the Fonseca et al.</w:t>
      </w:r>
      <w:r>
        <w:rPr>
          <w:color w:val="0070C0"/>
        </w:rPr>
        <w:t xml:space="preserve"> </w:t>
      </w:r>
      <w:r w:rsidRPr="007040F2">
        <w:rPr>
          <w:color w:val="0070C0"/>
        </w:rPr>
        <w:t>meta-analysis as discussed in the meeting (i.e., the incidence is now 0.0</w:t>
      </w:r>
      <w:r>
        <w:rPr>
          <w:color w:val="0070C0"/>
        </w:rPr>
        <w:t>2</w:t>
      </w:r>
      <w:r w:rsidRPr="007040F2">
        <w:rPr>
          <w:color w:val="0070C0"/>
        </w:rPr>
        <w:t>)</w:t>
      </w:r>
    </w:p>
    <w:p w14:paraId="67B4ACCB" w14:textId="77777777" w:rsidR="009516D6" w:rsidRDefault="009516D6" w:rsidP="009516D6"/>
    <w:p w14:paraId="18B7F740" w14:textId="7F53A867" w:rsidR="009516D6" w:rsidRDefault="009516D6" w:rsidP="009516D6">
      <w:r>
        <w:t>YLL = incidence of death x life expectancy at given age</w:t>
      </w:r>
    </w:p>
    <w:p w14:paraId="272CC828" w14:textId="0050D4D9" w:rsidR="009516D6" w:rsidRDefault="0013271C" w:rsidP="009516D6">
      <w:r>
        <w:t xml:space="preserve">= (0.02) (average life expectancy at patient age for that branch) </w:t>
      </w:r>
    </w:p>
    <w:p w14:paraId="380228AD" w14:textId="45DF5642" w:rsidR="00AA048F" w:rsidRDefault="00AA048F" w:rsidP="009516D6"/>
    <w:p w14:paraId="23FCE8F0" w14:textId="4F13A7D5" w:rsidR="00AA048F" w:rsidRDefault="00AA048F" w:rsidP="009516D6">
      <w:r>
        <w:t xml:space="preserve">Branch B (WHO severe, actual some): </w:t>
      </w:r>
    </w:p>
    <w:p w14:paraId="401A66DA" w14:textId="4B80982C" w:rsidR="00AA048F" w:rsidRDefault="00AA048F" w:rsidP="009516D6">
      <w:proofErr w:type="gramStart"/>
      <w:r>
        <w:t>=(</w:t>
      </w:r>
      <w:proofErr w:type="gramEnd"/>
      <w:r>
        <w:t xml:space="preserve">0.02)(42.13) = </w:t>
      </w:r>
      <w:r w:rsidR="002C7BDD">
        <w:t>0.8426</w:t>
      </w:r>
    </w:p>
    <w:p w14:paraId="42BA6553" w14:textId="5C549F8E" w:rsidR="00AA048F" w:rsidRDefault="00AA048F" w:rsidP="00AA048F">
      <w:r>
        <w:t xml:space="preserve">Branch C (WHO severe, actual no): </w:t>
      </w:r>
    </w:p>
    <w:p w14:paraId="7CE6F10C" w14:textId="1A176A29" w:rsidR="00AA048F" w:rsidRDefault="00AA048F" w:rsidP="009516D6">
      <w:proofErr w:type="gramStart"/>
      <w:r>
        <w:t>=(</w:t>
      </w:r>
      <w:proofErr w:type="gramEnd"/>
      <w:r>
        <w:t>0.02)(</w:t>
      </w:r>
      <w:r w:rsidR="002C7BDD">
        <w:t>31.82</w:t>
      </w:r>
      <w:r>
        <w:t xml:space="preserve">) = </w:t>
      </w:r>
      <w:r w:rsidR="002C7BDD">
        <w:t>0.6364</w:t>
      </w:r>
    </w:p>
    <w:p w14:paraId="146E4F92" w14:textId="66EF56CC" w:rsidR="002C7BDD" w:rsidRDefault="002C7BDD" w:rsidP="009516D6"/>
    <w:p w14:paraId="1F188936" w14:textId="0FBB159B" w:rsidR="002C7BDD" w:rsidRDefault="002C7BDD" w:rsidP="002C7BDD">
      <w:r>
        <w:t xml:space="preserve">Branch K (NIRUDAK severe, actual some): </w:t>
      </w:r>
    </w:p>
    <w:p w14:paraId="0B54AA8C" w14:textId="2229E14B" w:rsidR="002C7BDD" w:rsidRDefault="002C7BDD" w:rsidP="002C7BDD">
      <w:proofErr w:type="gramStart"/>
      <w:r>
        <w:t>=(</w:t>
      </w:r>
      <w:proofErr w:type="gramEnd"/>
      <w:r>
        <w:t xml:space="preserve">0.02)(49.65) = 0.993 </w:t>
      </w:r>
    </w:p>
    <w:p w14:paraId="4A1F6CBD" w14:textId="66412DE4" w:rsidR="002C7BDD" w:rsidRDefault="002C7BDD" w:rsidP="002C7BDD">
      <w:r>
        <w:t xml:space="preserve">Branch L (NIRUDAK severe, actual no): </w:t>
      </w:r>
    </w:p>
    <w:p w14:paraId="329B6B1F" w14:textId="587A82BB" w:rsidR="002C7BDD" w:rsidRDefault="002C7BDD" w:rsidP="002C7BDD">
      <w:proofErr w:type="gramStart"/>
      <w:r>
        <w:t>=(</w:t>
      </w:r>
      <w:proofErr w:type="gramEnd"/>
      <w:r>
        <w:t>0.02)(45.98) = 0.9196</w:t>
      </w:r>
    </w:p>
    <w:p w14:paraId="06E1CA3F" w14:textId="77777777" w:rsidR="002C7BDD" w:rsidRDefault="002C7BDD" w:rsidP="009516D6"/>
    <w:p w14:paraId="506D5B82" w14:textId="77777777" w:rsidR="005C6E5A" w:rsidRDefault="005C6E5A" w:rsidP="005C6E5A">
      <w:pPr>
        <w:pStyle w:val="ListParagraph"/>
      </w:pPr>
    </w:p>
    <w:p w14:paraId="37CE9BE2" w14:textId="71CC95A7" w:rsidR="00D2139F" w:rsidRDefault="0013271C" w:rsidP="009516D6">
      <w:r>
        <w:t xml:space="preserve">PART 2, YLD: </w:t>
      </w:r>
      <w:r w:rsidR="00D2139F">
        <w:t xml:space="preserve">I incorrectly calculated the probability of </w:t>
      </w:r>
      <w:r w:rsidR="00D2139F" w:rsidRPr="009516D6">
        <w:rPr>
          <w:b/>
          <w:bCs/>
          <w:u w:val="single"/>
        </w:rPr>
        <w:t>seizures</w:t>
      </w:r>
      <w:r w:rsidR="00D2139F">
        <w:t xml:space="preserve"> in two ways:</w:t>
      </w:r>
    </w:p>
    <w:p w14:paraId="520A2266" w14:textId="28E5EEBB" w:rsidR="00D2139F" w:rsidRDefault="00D2139F" w:rsidP="009516D6">
      <w:pPr>
        <w:pStyle w:val="ListParagraph"/>
        <w:numPr>
          <w:ilvl w:val="0"/>
          <w:numId w:val="1"/>
        </w:numPr>
      </w:pPr>
      <w:r>
        <w:t>Firstly, the incidence was wrongly calculated using the Sharifi et al. paper</w:t>
      </w:r>
      <w:r w:rsidR="007040F2">
        <w:t xml:space="preserve"> (I was using an incidence of 25% based a </w:t>
      </w:r>
      <w:proofErr w:type="spellStart"/>
      <w:r w:rsidR="007040F2">
        <w:t>hypernatremic</w:t>
      </w:r>
      <w:proofErr w:type="spellEnd"/>
      <w:r w:rsidR="007040F2">
        <w:t xml:space="preserve"> subset of the sample)</w:t>
      </w:r>
    </w:p>
    <w:p w14:paraId="4A5A98BC" w14:textId="388211EA" w:rsidR="00D2139F" w:rsidRDefault="00D2139F" w:rsidP="009516D6">
      <w:pPr>
        <w:pStyle w:val="ListParagraph"/>
        <w:numPr>
          <w:ilvl w:val="0"/>
          <w:numId w:val="1"/>
        </w:numPr>
      </w:pPr>
      <w:r>
        <w:t xml:space="preserve">Secondly, </w:t>
      </w:r>
      <w:r w:rsidR="00B06DD9">
        <w:t>the DALY was multiplied by the number of people in the branch</w:t>
      </w:r>
    </w:p>
    <w:p w14:paraId="70F60B55" w14:textId="651260E8" w:rsidR="00B06DD9" w:rsidRDefault="00B06DD9" w:rsidP="009516D6">
      <w:pPr>
        <w:pStyle w:val="ListParagraph"/>
        <w:numPr>
          <w:ilvl w:val="0"/>
          <w:numId w:val="1"/>
        </w:numPr>
      </w:pPr>
      <w:r>
        <w:t>Both errors are corrected in this revised version</w:t>
      </w:r>
    </w:p>
    <w:p w14:paraId="7F3EF4CC" w14:textId="5CF38385" w:rsidR="004D395B" w:rsidRPr="004D395B" w:rsidRDefault="00B06DD9" w:rsidP="009516D6">
      <w:pPr>
        <w:pStyle w:val="ListParagraph"/>
        <w:numPr>
          <w:ilvl w:val="1"/>
          <w:numId w:val="1"/>
        </w:numPr>
        <w:rPr>
          <w:color w:val="0070C0"/>
        </w:rPr>
      </w:pPr>
      <w:r w:rsidRPr="007040F2">
        <w:rPr>
          <w:color w:val="0070C0"/>
        </w:rPr>
        <w:t xml:space="preserve">Seizure incidence values </w:t>
      </w:r>
      <w:r w:rsidR="00485264" w:rsidRPr="007040F2">
        <w:rPr>
          <w:color w:val="0070C0"/>
        </w:rPr>
        <w:t xml:space="preserve">now calculated using the 50/50 </w:t>
      </w:r>
      <w:r w:rsidR="007E2FB7" w:rsidRPr="007040F2">
        <w:rPr>
          <w:color w:val="0070C0"/>
        </w:rPr>
        <w:t xml:space="preserve">death/seizure </w:t>
      </w:r>
      <w:r w:rsidR="00485264" w:rsidRPr="007040F2">
        <w:rPr>
          <w:color w:val="0070C0"/>
        </w:rPr>
        <w:t>split from</w:t>
      </w:r>
      <w:r w:rsidR="004D395B">
        <w:rPr>
          <w:color w:val="0070C0"/>
        </w:rPr>
        <w:t xml:space="preserve"> the developing societies section of</w:t>
      </w:r>
      <w:r w:rsidR="00485264" w:rsidRPr="007040F2">
        <w:rPr>
          <w:color w:val="0070C0"/>
        </w:rPr>
        <w:t xml:space="preserve"> Figure 5 of the Fonseca et al. meta-analysis as discussed in the meeting</w:t>
      </w:r>
      <w:r w:rsidR="004D395B">
        <w:rPr>
          <w:color w:val="0070C0"/>
        </w:rPr>
        <w:t xml:space="preserve"> (we are using a 50/50 death/seizure split since the Fonseca article does not parse out death vs. seizure in its reporting of adverse events)</w:t>
      </w:r>
    </w:p>
    <w:p w14:paraId="59228D74" w14:textId="6C7E5AA6" w:rsidR="009516D6" w:rsidRDefault="00F27B7B" w:rsidP="009516D6">
      <w:pPr>
        <w:pStyle w:val="ListParagraph"/>
        <w:numPr>
          <w:ilvl w:val="2"/>
          <w:numId w:val="1"/>
        </w:numPr>
      </w:pPr>
      <w:r>
        <w:t>Incidence is now 7/</w:t>
      </w:r>
      <w:r w:rsidR="004D395B">
        <w:t>419</w:t>
      </w:r>
      <w:r>
        <w:t xml:space="preserve"> or 0.0</w:t>
      </w:r>
      <w:r w:rsidR="004D395B">
        <w:t xml:space="preserve">2 </w:t>
      </w:r>
    </w:p>
    <w:p w14:paraId="0B09CC4F" w14:textId="176731FE" w:rsidR="007040F2" w:rsidRDefault="007040F2" w:rsidP="009516D6">
      <w:r>
        <w:t xml:space="preserve">YLD </w:t>
      </w:r>
      <w:r w:rsidR="004D395B">
        <w:t>(</w:t>
      </w:r>
      <w:r w:rsidR="009516D6">
        <w:t xml:space="preserve">Years Lived with Disability) </w:t>
      </w:r>
      <w:r>
        <w:t>= incidence x length of illness x disability weight</w:t>
      </w:r>
    </w:p>
    <w:p w14:paraId="11EFA6B4" w14:textId="492B5118" w:rsidR="007040F2" w:rsidRDefault="007040F2" w:rsidP="009516D6">
      <w:r>
        <w:t xml:space="preserve">= </w:t>
      </w:r>
      <w:r w:rsidRPr="009516D6">
        <w:rPr>
          <w:color w:val="0070C0"/>
        </w:rPr>
        <w:t>(</w:t>
      </w:r>
      <w:proofErr w:type="gramStart"/>
      <w:r w:rsidRPr="009516D6">
        <w:rPr>
          <w:color w:val="0070C0"/>
        </w:rPr>
        <w:t>0.0</w:t>
      </w:r>
      <w:r w:rsidR="004D395B" w:rsidRPr="009516D6">
        <w:rPr>
          <w:color w:val="0070C0"/>
        </w:rPr>
        <w:t>2</w:t>
      </w:r>
      <w:r w:rsidRPr="009516D6">
        <w:rPr>
          <w:color w:val="0070C0"/>
        </w:rPr>
        <w:t>)</w:t>
      </w:r>
      <w:r>
        <w:t>(</w:t>
      </w:r>
      <w:proofErr w:type="gramEnd"/>
      <w:r>
        <w:t>0.003)(0.263)</w:t>
      </w:r>
    </w:p>
    <w:p w14:paraId="281D151E" w14:textId="279934F8" w:rsidR="009516D6" w:rsidRDefault="007040F2" w:rsidP="009516D6">
      <w:r>
        <w:t xml:space="preserve">= </w:t>
      </w:r>
      <w:r w:rsidR="004D395B" w:rsidRPr="004D395B">
        <w:t>0.000013</w:t>
      </w:r>
    </w:p>
    <w:p w14:paraId="3B91E1DD" w14:textId="6692B7F8" w:rsidR="0013271C" w:rsidRDefault="0013271C" w:rsidP="009516D6"/>
    <w:p w14:paraId="25A89962" w14:textId="3E983FC2" w:rsidR="0013271C" w:rsidRDefault="002C7BDD" w:rsidP="009516D6">
      <w:r>
        <w:t xml:space="preserve">PART 3, SUMMATION: </w:t>
      </w:r>
    </w:p>
    <w:p w14:paraId="1E564B75" w14:textId="0B7DC902" w:rsidR="0013271C" w:rsidRDefault="009516D6" w:rsidP="0013271C">
      <w:r>
        <w:t>DALYs = YLL + YLD</w:t>
      </w:r>
    </w:p>
    <w:p w14:paraId="78B36544" w14:textId="037B6FDF" w:rsidR="0013271C" w:rsidRDefault="0013271C" w:rsidP="0013271C"/>
    <w:p w14:paraId="006B4302" w14:textId="77777777" w:rsidR="002C7BDD" w:rsidRDefault="002C7BDD" w:rsidP="002C7BDD">
      <w:r>
        <w:t xml:space="preserve">Branch B (WHO severe, actual some): </w:t>
      </w:r>
    </w:p>
    <w:p w14:paraId="2DF66690" w14:textId="29184150" w:rsidR="002C7BDD" w:rsidRDefault="002C7BDD" w:rsidP="002C7BDD">
      <w:r>
        <w:t xml:space="preserve">DALY = 0.8426 + </w:t>
      </w:r>
      <w:r w:rsidRPr="004D395B">
        <w:t>0.000013</w:t>
      </w:r>
      <w:r>
        <w:t xml:space="preserve"> = </w:t>
      </w:r>
      <w:r w:rsidR="00A0213C" w:rsidRPr="00A0213C">
        <w:t>0.842613</w:t>
      </w:r>
    </w:p>
    <w:p w14:paraId="60C97D0D" w14:textId="77777777" w:rsidR="002C7BDD" w:rsidRDefault="002C7BDD" w:rsidP="002C7BDD">
      <w:r>
        <w:t xml:space="preserve">Branch C (WHO severe, actual no): </w:t>
      </w:r>
    </w:p>
    <w:p w14:paraId="68F3626B" w14:textId="5C138A32" w:rsidR="002C7BDD" w:rsidRPr="002C7BDD" w:rsidRDefault="002C7BDD" w:rsidP="002C7BDD">
      <w:pPr>
        <w:rPr>
          <w:rFonts w:ascii="Calibri" w:eastAsia="Times New Roman" w:hAnsi="Calibri" w:cs="Calibri"/>
          <w:color w:val="000000"/>
        </w:rPr>
      </w:pPr>
      <w:r>
        <w:t xml:space="preserve">DALY = 0.6364 + </w:t>
      </w:r>
      <w:r w:rsidRPr="004D395B">
        <w:t>0.000013</w:t>
      </w:r>
      <w:r>
        <w:t xml:space="preserve"> = </w:t>
      </w:r>
      <w:r w:rsidRPr="002C7BDD">
        <w:rPr>
          <w:rFonts w:ascii="Calibri" w:eastAsia="Times New Roman" w:hAnsi="Calibri" w:cs="Calibri"/>
          <w:color w:val="000000"/>
        </w:rPr>
        <w:t>0.636413</w:t>
      </w:r>
    </w:p>
    <w:p w14:paraId="25CF054C" w14:textId="77777777" w:rsidR="002C7BDD" w:rsidRDefault="002C7BDD" w:rsidP="002C7BDD"/>
    <w:p w14:paraId="120AF114" w14:textId="77777777" w:rsidR="002C7BDD" w:rsidRDefault="002C7BDD" w:rsidP="002C7BDD">
      <w:r>
        <w:t xml:space="preserve">Branch K (NIRUDAK severe, actual some): </w:t>
      </w:r>
    </w:p>
    <w:p w14:paraId="48CF5625" w14:textId="646B14C6" w:rsidR="002C7BDD" w:rsidRDefault="002C7BDD" w:rsidP="002C7BDD">
      <w:r>
        <w:t xml:space="preserve">DALY = 0.993 + </w:t>
      </w:r>
      <w:r w:rsidRPr="004D395B">
        <w:t>0.000013</w:t>
      </w:r>
      <w:r>
        <w:t xml:space="preserve"> = </w:t>
      </w:r>
      <w:r w:rsidRPr="002C7BDD">
        <w:t>0.993013</w:t>
      </w:r>
    </w:p>
    <w:p w14:paraId="5528A707" w14:textId="77777777" w:rsidR="002C7BDD" w:rsidRDefault="002C7BDD" w:rsidP="002C7BDD">
      <w:r>
        <w:t xml:space="preserve">Branch L (NIRUDAK severe, actual no): </w:t>
      </w:r>
    </w:p>
    <w:p w14:paraId="3B5DDF44" w14:textId="05940FBA" w:rsidR="00A35B9A" w:rsidRDefault="002C7BDD" w:rsidP="0013271C">
      <w:r>
        <w:t xml:space="preserve">DALY = 0.9196 + </w:t>
      </w:r>
      <w:r w:rsidRPr="004D395B">
        <w:t>0.000013</w:t>
      </w:r>
      <w:r>
        <w:t xml:space="preserve"> = </w:t>
      </w:r>
      <w:r w:rsidRPr="002C7BDD">
        <w:t>0.919613</w:t>
      </w:r>
    </w:p>
    <w:p w14:paraId="5F753197" w14:textId="77777777" w:rsidR="00A35B9A" w:rsidRDefault="00A35B9A" w:rsidP="00A35B9A">
      <w:r>
        <w:t>______________________________________________________________________________</w:t>
      </w:r>
    </w:p>
    <w:p w14:paraId="2DFC5F00" w14:textId="77777777" w:rsidR="00A35B9A" w:rsidRDefault="00A35B9A" w:rsidP="00A35B9A"/>
    <w:p w14:paraId="15C854B3" w14:textId="496D0D5E" w:rsidR="00A35B9A" w:rsidRDefault="00A35B9A" w:rsidP="00A35B9A">
      <w:r>
        <w:t>Therefore, the new ICER is:</w:t>
      </w:r>
    </w:p>
    <w:p w14:paraId="7A57AEBD" w14:textId="3BE2E863" w:rsidR="00A35B9A" w:rsidRPr="00A35B9A" w:rsidRDefault="00A35B9A" w:rsidP="00A35B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NIRUDAK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WHO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Effectiveness</m:t>
                  </m:r>
                </m:e>
                <m:sub>
                  <m:r>
                    <w:rPr>
                      <w:rFonts w:ascii="Cambria Math" w:hAnsi="Cambria Math"/>
                    </w:rPr>
                    <m:t>NIRUDAK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Effectiveness</m:t>
                  </m:r>
                </m:e>
                <m:sub>
                  <m:r>
                    <w:rPr>
                      <w:rFonts w:ascii="Cambria Math" w:hAnsi="Cambria Math"/>
                    </w:rPr>
                    <m:t>WHO</m:t>
                  </m:r>
                </m:sub>
              </m:sSub>
            </m:den>
          </m:f>
        </m:oMath>
      </m:oMathPara>
    </w:p>
    <w:p w14:paraId="0AF9F27D" w14:textId="77777777" w:rsidR="00A35B9A" w:rsidRPr="00A35B9A" w:rsidRDefault="00A35B9A" w:rsidP="00A35B9A">
      <w:pPr>
        <w:rPr>
          <w:rFonts w:eastAsiaTheme="minorEastAsia"/>
        </w:rPr>
      </w:pPr>
    </w:p>
    <w:p w14:paraId="47EE2603" w14:textId="53A1E051" w:rsidR="00A35B9A" w:rsidRPr="00A35B9A" w:rsidRDefault="00A35B9A" w:rsidP="00A35B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48.18-48.06</m:t>
              </m:r>
            </m:num>
            <m:den>
              <m: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1.53-3.71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47470C6" w14:textId="2FD2C82F" w:rsidR="00A35B9A" w:rsidRPr="00372CD3" w:rsidRDefault="00A35B9A" w:rsidP="00A35B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=-0.05</m:t>
          </m:r>
        </m:oMath>
      </m:oMathPara>
    </w:p>
    <w:p w14:paraId="44568CEA" w14:textId="1E1AF32A" w:rsidR="00372CD3" w:rsidRDefault="00372CD3" w:rsidP="00A35B9A">
      <w:pPr>
        <w:rPr>
          <w:rFonts w:eastAsiaTheme="minorEastAsia"/>
        </w:rPr>
      </w:pPr>
      <w:r>
        <w:rPr>
          <w:rFonts w:eastAsiaTheme="minorEastAsia"/>
        </w:rPr>
        <w:t>negative sign preserves ICER interpretation (switches calculation from incremental DALYs to incremental DALYS averted)</w:t>
      </w:r>
    </w:p>
    <w:p w14:paraId="1867F29A" w14:textId="77777777" w:rsidR="00372CD3" w:rsidRPr="00A35B9A" w:rsidRDefault="00372CD3" w:rsidP="00A35B9A">
      <w:pPr>
        <w:rPr>
          <w:rFonts w:eastAsiaTheme="minorEastAsia"/>
        </w:rPr>
      </w:pPr>
    </w:p>
    <w:p w14:paraId="1C2C02D4" w14:textId="51EBC0ED" w:rsidR="00A35B9A" w:rsidRDefault="00A35B9A" w:rsidP="0013271C">
      <w:r>
        <w:t>Interpretation: using NIRUDAK over WHO means spending an extra $0.05 per DALY averted</w:t>
      </w:r>
    </w:p>
    <w:p w14:paraId="5C552787" w14:textId="49DA414E" w:rsidR="00A35B9A" w:rsidRDefault="00A35B9A" w:rsidP="0013271C"/>
    <w:p w14:paraId="4C47BE64" w14:textId="496BE81D" w:rsidR="00621BFF" w:rsidRDefault="00A35B9A" w:rsidP="00621BFF">
      <w:r>
        <w:t xml:space="preserve">More notes about calculation can be found in the Excel file attached to this email titled </w:t>
      </w:r>
      <w:r w:rsidRPr="00A35B9A">
        <w:t>nirudak_cea_tree_calculations</w:t>
      </w:r>
      <w:r>
        <w:t>.xlsx</w:t>
      </w:r>
    </w:p>
    <w:p w14:paraId="30FA8E83" w14:textId="27ADD966" w:rsidR="007040F2" w:rsidRDefault="009516D6" w:rsidP="007E2FB7">
      <w:r>
        <w:t>______________________________________________________________________________</w:t>
      </w:r>
    </w:p>
    <w:p w14:paraId="3D64F396" w14:textId="77777777" w:rsidR="00A35B9A" w:rsidRDefault="00A35B9A" w:rsidP="009516D6"/>
    <w:p w14:paraId="77C7E2F1" w14:textId="4ED7870E" w:rsidR="00A23A0C" w:rsidRDefault="00621BFF" w:rsidP="009516D6">
      <w:r>
        <w:t xml:space="preserve">During a follow-up call, Jonah and I checked the total probability of overtreatment vs. undertreatment in the two models. </w:t>
      </w:r>
      <w:r w:rsidR="00A23A0C">
        <w:t>NIRUDAK tends to overtreat while WHO tends to undertreat</w:t>
      </w:r>
    </w:p>
    <w:p w14:paraId="0AF8146E" w14:textId="14F014A3" w:rsidR="00A23A0C" w:rsidRDefault="00A23A0C" w:rsidP="00621BFF">
      <w:pPr>
        <w:pStyle w:val="ListParagraph"/>
        <w:numPr>
          <w:ilvl w:val="0"/>
          <w:numId w:val="1"/>
        </w:numPr>
      </w:pPr>
      <w:r>
        <w:t>Undertreatment</w:t>
      </w:r>
      <w:r w:rsidR="00621BFF">
        <w:t xml:space="preserve">: WHO 0.061 &gt; </w:t>
      </w:r>
      <w:r>
        <w:t>NIRUDAK 0.027</w:t>
      </w:r>
    </w:p>
    <w:p w14:paraId="3B314F8E" w14:textId="586C7F29" w:rsidR="00A23A0C" w:rsidRDefault="00A23A0C" w:rsidP="00621BFF">
      <w:pPr>
        <w:pStyle w:val="ListParagraph"/>
        <w:numPr>
          <w:ilvl w:val="0"/>
          <w:numId w:val="1"/>
        </w:numPr>
      </w:pPr>
      <w:r>
        <w:t>Overtreatment</w:t>
      </w:r>
      <w:r w:rsidR="00621BFF">
        <w:t xml:space="preserve">: NIRUDAK 0.322 &gt; WHO </w:t>
      </w:r>
      <w:r>
        <w:t>0.274</w:t>
      </w:r>
    </w:p>
    <w:p w14:paraId="55572089" w14:textId="289D9CDB" w:rsidR="00621BFF" w:rsidRDefault="00621BFF" w:rsidP="00621BFF">
      <w:r>
        <w:t>Clinical question: which is worse? Overtreatment or undertreatment?</w:t>
      </w:r>
    </w:p>
    <w:p w14:paraId="6E2077C6" w14:textId="77777777" w:rsidR="009516D6" w:rsidRDefault="009516D6" w:rsidP="009516D6">
      <w:r>
        <w:t>______________________________________________________________________________</w:t>
      </w:r>
    </w:p>
    <w:p w14:paraId="1F16F591" w14:textId="77777777" w:rsidR="00A35B9A" w:rsidRDefault="00A35B9A" w:rsidP="00621BFF"/>
    <w:p w14:paraId="45FE8DA4" w14:textId="3A530C98" w:rsidR="00621BFF" w:rsidRDefault="001871F9" w:rsidP="00621BFF">
      <w:r>
        <w:t>Prior to this meeting, we had considered the alternative of using the average years of life lost based on Japanese life expectancy tables</w:t>
      </w:r>
      <w:r w:rsidR="00621BFF">
        <w:t>.</w:t>
      </w:r>
    </w:p>
    <w:p w14:paraId="46EBB755" w14:textId="2D2D82C5" w:rsidR="001871F9" w:rsidRDefault="001871F9" w:rsidP="00621BFF">
      <w:r>
        <w:t>Per discussion in the meeting, we are keeping the Years of Life Lost (YLL) calculation (part of the DALY calculation) as is, since the NIRUDAK model takes age into account — we are not using average YLL based on Japanese life expectancy tables</w:t>
      </w:r>
    </w:p>
    <w:p w14:paraId="0D3F8635" w14:textId="7E194F2F" w:rsidR="001871F9" w:rsidRDefault="001871F9" w:rsidP="001871F9">
      <w:r>
        <w:t>______________________________________________________________________________</w:t>
      </w:r>
    </w:p>
    <w:p w14:paraId="2BFFC060" w14:textId="77777777" w:rsidR="001871F9" w:rsidRDefault="001871F9" w:rsidP="001871F9"/>
    <w:p w14:paraId="428AE378" w14:textId="7033C5FE" w:rsidR="009516D6" w:rsidRDefault="009516D6" w:rsidP="009516D6">
      <w:r>
        <w:t xml:space="preserve">During a follow-up call, Jonah and I checked the ages of people in the undertreatment groups to make sure the DALYs weren’t being driven by age differences between the group </w:t>
      </w:r>
      <w:r w:rsidR="001871F9">
        <w:t xml:space="preserve">of </w:t>
      </w:r>
      <w:r>
        <w:t>people who were undertreated by WHO and</w:t>
      </w:r>
      <w:r w:rsidR="001871F9">
        <w:t xml:space="preserve"> </w:t>
      </w:r>
      <w:r>
        <w:t>the group people who were undertreated by NIRUDAK</w:t>
      </w:r>
      <w:r w:rsidR="001871F9">
        <w:t>. Per my recollection, these differences were either fine or Jonah planned to statistically account for the differences.</w:t>
      </w:r>
    </w:p>
    <w:p w14:paraId="6CB7FB9E" w14:textId="693CCFB6" w:rsidR="009516D6" w:rsidRDefault="009516D6" w:rsidP="009516D6"/>
    <w:p w14:paraId="5CF967EF" w14:textId="21344D14" w:rsidR="009516D6" w:rsidRDefault="009516D6" w:rsidP="009516D6">
      <w:r>
        <w:t>Undertreatment WHO:</w:t>
      </w:r>
    </w:p>
    <w:p w14:paraId="6E7DB9C0" w14:textId="3B91E533" w:rsidR="009516D6" w:rsidRDefault="001871F9" w:rsidP="009516D6">
      <w:r>
        <w:rPr>
          <w:noProof/>
        </w:rPr>
        <w:lastRenderedPageBreak/>
        <w:drawing>
          <wp:inline distT="0" distB="0" distL="0" distR="0" wp14:anchorId="087E925C" wp14:editId="1FE36F6F">
            <wp:extent cx="5943600" cy="428371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AF5D" w14:textId="52DE7AD2" w:rsidR="001871F9" w:rsidRDefault="001871F9" w:rsidP="009516D6"/>
    <w:p w14:paraId="6EF8886C" w14:textId="30AD3F98" w:rsidR="001871F9" w:rsidRDefault="001871F9" w:rsidP="001871F9">
      <w:r>
        <w:t>Undertreatment NIRUDAK:</w:t>
      </w:r>
    </w:p>
    <w:p w14:paraId="3C1AA3AE" w14:textId="5EC6C3C5" w:rsidR="001871F9" w:rsidRDefault="001871F9" w:rsidP="009516D6">
      <w:r>
        <w:rPr>
          <w:noProof/>
        </w:rPr>
        <w:lastRenderedPageBreak/>
        <w:drawing>
          <wp:inline distT="0" distB="0" distL="0" distR="0" wp14:anchorId="0A514792" wp14:editId="630BE7AC">
            <wp:extent cx="5943600" cy="4188549"/>
            <wp:effectExtent l="0" t="0" r="0" b="254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1"/>
                    <a:stretch/>
                  </pic:blipFill>
                  <pic:spPr bwMode="auto">
                    <a:xfrm>
                      <a:off x="0" y="0"/>
                      <a:ext cx="5943600" cy="418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89E"/>
    <w:multiLevelType w:val="hybridMultilevel"/>
    <w:tmpl w:val="66B83EC4"/>
    <w:lvl w:ilvl="0" w:tplc="4A286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F49FD"/>
    <w:multiLevelType w:val="hybridMultilevel"/>
    <w:tmpl w:val="E0B0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C569C"/>
    <w:multiLevelType w:val="hybridMultilevel"/>
    <w:tmpl w:val="56602416"/>
    <w:lvl w:ilvl="0" w:tplc="85DE2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6428">
    <w:abstractNumId w:val="1"/>
  </w:num>
  <w:num w:numId="2" w16cid:durableId="1384058154">
    <w:abstractNumId w:val="0"/>
  </w:num>
  <w:num w:numId="3" w16cid:durableId="825165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BA"/>
    <w:rsid w:val="00053255"/>
    <w:rsid w:val="00086CDE"/>
    <w:rsid w:val="00091D33"/>
    <w:rsid w:val="000A0D6C"/>
    <w:rsid w:val="000B0844"/>
    <w:rsid w:val="0010053F"/>
    <w:rsid w:val="0010726D"/>
    <w:rsid w:val="0013271C"/>
    <w:rsid w:val="00152793"/>
    <w:rsid w:val="00152F45"/>
    <w:rsid w:val="0018429E"/>
    <w:rsid w:val="001871F9"/>
    <w:rsid w:val="001D53D2"/>
    <w:rsid w:val="00257189"/>
    <w:rsid w:val="00285DF5"/>
    <w:rsid w:val="002C7BDD"/>
    <w:rsid w:val="002F18B8"/>
    <w:rsid w:val="00310363"/>
    <w:rsid w:val="003205DB"/>
    <w:rsid w:val="00367DD4"/>
    <w:rsid w:val="00372CD3"/>
    <w:rsid w:val="00375F4C"/>
    <w:rsid w:val="003938D1"/>
    <w:rsid w:val="003B0982"/>
    <w:rsid w:val="003B73BF"/>
    <w:rsid w:val="003C0B21"/>
    <w:rsid w:val="003E2E7E"/>
    <w:rsid w:val="003E3B8B"/>
    <w:rsid w:val="0041002D"/>
    <w:rsid w:val="00426649"/>
    <w:rsid w:val="00466A21"/>
    <w:rsid w:val="00485264"/>
    <w:rsid w:val="004D395B"/>
    <w:rsid w:val="004E523C"/>
    <w:rsid w:val="00526284"/>
    <w:rsid w:val="00536683"/>
    <w:rsid w:val="0054369D"/>
    <w:rsid w:val="00545252"/>
    <w:rsid w:val="00566C9C"/>
    <w:rsid w:val="005C6E5A"/>
    <w:rsid w:val="00621BFF"/>
    <w:rsid w:val="006244E9"/>
    <w:rsid w:val="00682A99"/>
    <w:rsid w:val="007040F2"/>
    <w:rsid w:val="00740238"/>
    <w:rsid w:val="00743DE9"/>
    <w:rsid w:val="00757DE8"/>
    <w:rsid w:val="00784A60"/>
    <w:rsid w:val="007B7FF1"/>
    <w:rsid w:val="007D05F5"/>
    <w:rsid w:val="007E2FB7"/>
    <w:rsid w:val="00866836"/>
    <w:rsid w:val="008834B9"/>
    <w:rsid w:val="008C2291"/>
    <w:rsid w:val="009103BA"/>
    <w:rsid w:val="00911963"/>
    <w:rsid w:val="0092695E"/>
    <w:rsid w:val="009516D6"/>
    <w:rsid w:val="00965C3A"/>
    <w:rsid w:val="009707DE"/>
    <w:rsid w:val="009963FE"/>
    <w:rsid w:val="009A5F47"/>
    <w:rsid w:val="009D1724"/>
    <w:rsid w:val="009D4BBD"/>
    <w:rsid w:val="00A0213C"/>
    <w:rsid w:val="00A22E59"/>
    <w:rsid w:val="00A23A0C"/>
    <w:rsid w:val="00A30F10"/>
    <w:rsid w:val="00A35B9A"/>
    <w:rsid w:val="00A62D5B"/>
    <w:rsid w:val="00AA048F"/>
    <w:rsid w:val="00AA782F"/>
    <w:rsid w:val="00AE3987"/>
    <w:rsid w:val="00AF3005"/>
    <w:rsid w:val="00B06DD9"/>
    <w:rsid w:val="00B1350D"/>
    <w:rsid w:val="00B23EE8"/>
    <w:rsid w:val="00B304B0"/>
    <w:rsid w:val="00B6159A"/>
    <w:rsid w:val="00B910C9"/>
    <w:rsid w:val="00C07115"/>
    <w:rsid w:val="00C6006F"/>
    <w:rsid w:val="00CB122B"/>
    <w:rsid w:val="00CB283D"/>
    <w:rsid w:val="00D2139F"/>
    <w:rsid w:val="00D45248"/>
    <w:rsid w:val="00D6524C"/>
    <w:rsid w:val="00E0395F"/>
    <w:rsid w:val="00E142D1"/>
    <w:rsid w:val="00E24603"/>
    <w:rsid w:val="00E471D3"/>
    <w:rsid w:val="00ED1449"/>
    <w:rsid w:val="00ED1B39"/>
    <w:rsid w:val="00ED6064"/>
    <w:rsid w:val="00EF2620"/>
    <w:rsid w:val="00EF773F"/>
    <w:rsid w:val="00F27B7B"/>
    <w:rsid w:val="00F5199A"/>
    <w:rsid w:val="00F66E0B"/>
    <w:rsid w:val="00F97707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A1EB9"/>
  <w15:chartTrackingRefBased/>
  <w15:docId w15:val="{40C2C405-F8CF-FB49-9411-9909EE76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558</Words>
  <Characters>3367</Characters>
  <Application>Microsoft Office Word</Application>
  <DocSecurity>0</DocSecurity>
  <Lines>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Lokhande, Anagha</dc:creator>
  <cp:keywords/>
  <dc:description/>
  <cp:lastModifiedBy>Lokhande, Anagha</cp:lastModifiedBy>
  <cp:revision>31</cp:revision>
  <dcterms:created xsi:type="dcterms:W3CDTF">2022-11-28T16:15:00Z</dcterms:created>
  <dcterms:modified xsi:type="dcterms:W3CDTF">2023-01-25T00:19:00Z</dcterms:modified>
</cp:coreProperties>
</file>