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color w:val="4A55A2"/>
          <w:b/>
          <w:bCs/>
          <w:rFonts w:ascii="IBM Plex Sans" w:eastAsia="IBM Plex Sans" w:hAnsi="IBM Plex Sans" w:cs="IBM Plex Sans"/>
          <w:sz w:val="28"/>
          <w:szCs w:val="28"/>
        </w:rPr>
        <w:t>Blaxol Risensi LLP</w:t>
      </w:r>
      <w:r>
        <w:br/>
      </w:r>
      <w:r>
        <w:rPr>
          <w:color w:val="4A55A2"/>
          <w:b/>
          <w:bCs/>
          <w:rFonts w:ascii="IBM Plex Sans" w:eastAsia="IBM Plex Sans" w:hAnsi="IBM Plex Sans" w:cs="IBM Plex Sans"/>
          <w:sz w:val="48"/>
          <w:szCs w:val="48"/>
        </w:rPr>
        <w:t>Project Iris</w:t>
      </w:r>
      <w:r>
        <w:br/>
      </w:r>
      <w:r>
        <w:rPr>
          <w:color w:val="4A55A2"/>
          <w:rFonts w:ascii="IBM Plex Sans" w:eastAsia="IBM Plex Sans" w:hAnsi="IBM Plex Sans" w:cs="IBM Plex Sans"/>
          <w:sz w:val="28"/>
          <w:szCs w:val="28"/>
        </w:rPr>
        <w:t>Consulting Services Engagement Letter,</w:t>
      </w:r>
      <w:r>
        <w:br/>
      </w:r>
      <w:r>
        <w:rPr>
          <w:color w:val="4A55A2"/>
          <w:rFonts w:ascii="IBM Plex Sans" w:eastAsia="IBM Plex Sans" w:hAnsi="IBM Plex Sans" w:cs="IBM Plex Sans"/>
          <w:sz w:val="28"/>
          <w:szCs w:val="28"/>
        </w:rPr>
        <w:t>Rules for Engagement</w:t>
      </w:r>
      <w:r>
        <w:br/>
      </w:r>
      <w:r>
        <w:rPr>
          <w:color w:val="4A55A2"/>
          <w:rFonts w:ascii="IBM Plex Sans" w:eastAsia="IBM Plex Sans" w:hAnsi="IBM Plex Sans" w:cs="IBM Plex Sans"/>
          <w:sz w:val="28"/>
          <w:szCs w:val="28"/>
        </w:rPr>
        <w:t>Proposal for: A Shankarnarayanan</w:t>
      </w:r>
      <w:r>
        <w:br/>
      </w:r>
      <w:r>
        <w:rPr>
          <w:color w:val="4A55A2"/>
          <w:rFonts w:ascii="IBM Plex Sans" w:eastAsia="IBM Plex Sans" w:hAnsi="IBM Plex Sans" w:cs="IBM Plex Sans"/>
          <w:sz w:val="28"/>
          <w:szCs w:val="28"/>
        </w:rPr>
        <w:t>BRLLP/2023-2024/080001/RFP</w:t>
      </w:r>
      <w:r>
        <w:br/>
      </w:r>
      <w:r>
        <w:rPr>
          <w:color w:val="4A55A2"/>
          <w:rFonts w:ascii="IBM Plex Sans" w:eastAsia="IBM Plex Sans" w:hAnsi="IBM Plex Sans" w:cs="IBM Plex Sans"/>
          <w:sz w:val="28"/>
          <w:szCs w:val="28"/>
        </w:rPr>
        <w:t>® Blaxol Risensi LLP (A Member of Blaxol LLC)</w:t>
      </w:r>
      <w:r>
        <w:br/>
      </w:r>
      <w:r>
        <w:rPr>
          <w:color w:val="4A55A2"/>
          <w:rFonts w:ascii="IBM Plex Sans" w:eastAsia="IBM Plex Sans" w:hAnsi="IBM Plex Sans" w:cs="IBM Plex Sans"/>
          <w:sz w:val="28"/>
          <w:szCs w:val="28"/>
        </w:rPr>
        <w:t>August 11, 2023</w:t>
      </w:r>
      <w:r>
        <w:br/>
      </w:r>
      <w:r>
        <w:rPr>
          <w:color w:val="4A55A2"/>
          <w:rFonts w:ascii="IBM Plex Sans" w:eastAsia="IBM Plex Sans" w:hAnsi="IBM Plex Sans" w:cs="IBM Plex Sans"/>
          <w:sz w:val="28"/>
          <w:szCs w:val="28"/>
        </w:rPr>
        <w:t>ENG - BLR</w:t>
      </w:r>
      <w:r>
        <w:br/>
      </w:r>
      <w:r>
        <w:br/>
      </w:r>
      <w:r>
        <w:br/>
      </w:r>
      <w:r>
        <w:br/>
      </w:r>
    </w:p>
    <w:p w:rsidR="00A77427" w:rsidRDefault="007F1D13">
      <w:pPr>
        <w:ind/>
        <w:jc w:val="right"/>
      </w:pPr>
      <w:r>
        <w:rPr>
          <w:noProof/>
        </w:rPr>
        <w:drawing>
          <wp:inline distT="0" distB="0" distL="0" distR="0">
            <wp:extent cx="2857500" cy="1905000"/>
            <wp:effectExtent l="19050" t="0" r="9525" b="0"/>
            <wp:docPr id="1" name="Picture 0" descr="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7" cstate="print"/>
                    <a:stretch>
                      <a:fillRect/>
                    </a:stretch>
                  </pic:blipFill>
                  <pic:spPr>
                    <a:xfrm>
                      <a:off x="0" y="0"/>
                      <a:ext cx="2857500" cy="1905000"/>
                    </a:xfrm>
                    <a:prstGeom prst="rect">
                      <a:avLst/>
                    </a:prstGeom>
                  </pic:spPr>
                </pic:pic>
              </a:graphicData>
            </a:graphic>
          </wp:inline>
        </w:drawing>
      </w:r>
      <w:r>
        <w:br/>
      </w:r>
    </w:p>
    <w:p w:rsidR="00A77427" w:rsidRDefault="007F1D13">
      <w:pPr>
        <w:ind/>
        <w:jc w:val="both"/>
      </w:pPr>
      <w:r>
        <w:rPr>
          <w:rFonts w:ascii="Calibri" w:eastAsia="Calibri" w:hAnsi="Calibri" w:cs="Calibri"/>
          <w:sz w:val="19"/>
          <w:szCs w:val="19"/>
        </w:rPr>
        <w:t>This proposal and contract are the property of Blaxol Risensi LLP (“Blaxol”) and must not be disclosed outside the family of A Shankarnarayanan or be duplicated, used, or disclosed—in whole or in part—for any purpose other than to evaluate this proposal. If a contract is awarded to Blaxol as a result of, or in connection with, this proposal, the Promoters shall have the right to duplicate, use, or disclose the data to the extent provided in the resulting contract and subject to the limitations of the Privacy Policy and other applicable bylaws. This proposal contains trade secrets and proprietary commercial or financial information, and information of a personal nature that is exempt from disclosure under OPRAA and other applicable laws.Accordingly, no portion of this document should be released without consulting BLAXOL. This information is contingent on the Parties reaching mutually agreeable terms and conditions and upon acceptance of any limitations described herein</w:t>
      </w:r>
    </w:p>
    <w:p w:rsidR="00A77427" w:rsidRDefault="007F1D13">
      <w:pPr>
        <w:ind/>
        <w:jc w:val="right"/>
      </w:pPr>
      <w:r>
        <w:rPr>
          <w:color w:val="4A55A2"/>
          <w:rFonts w:ascii="IBM Plex Sans" w:eastAsia="IBM Plex Sans" w:hAnsi="IBM Plex Sans" w:cs="IBM Plex Sans"/>
          <w:sz w:val="24"/>
          <w:szCs w:val="24"/>
        </w:rPr>
        <w:t>#30, 2 nd Floor, 4 th Main Road,</w:t>
      </w:r>
      <w:r>
        <w:br/>
      </w:r>
      <w:r>
        <w:rPr>
          <w:color w:val="4A55A2"/>
          <w:rFonts w:ascii="IBM Plex Sans" w:eastAsia="IBM Plex Sans" w:hAnsi="IBM Plex Sans" w:cs="IBM Plex Sans"/>
          <w:sz w:val="24"/>
          <w:szCs w:val="24"/>
        </w:rPr>
        <w:t>Jayanagar 7th Block, Bengaluru,</w:t>
      </w:r>
      <w:r>
        <w:br/>
      </w:r>
      <w:r>
        <w:rPr>
          <w:color w:val="4A55A2"/>
          <w:rFonts w:ascii="IBM Plex Sans" w:eastAsia="IBM Plex Sans" w:hAnsi="IBM Plex Sans" w:cs="IBM Plex Sans"/>
          <w:sz w:val="24"/>
          <w:szCs w:val="24"/>
        </w:rPr>
        <w:t>Karnataka, India 560070</w:t>
      </w:r>
      <w:r>
        <w:br/>
      </w:r>
    </w:p>
    <w:p w:rsidR="00A77427" w:rsidRDefault="007F1D13">
      <w:pPr>
        <w:ind/>
      </w:pPr>
      <w:r>
        <w:rPr>
          <w:color w:val="4A55A2"/>
          <w:rFonts w:ascii="IBM Plex Sans" w:eastAsia="IBM Plex Sans" w:hAnsi="IBM Plex Sans" w:cs="IBM Plex Sans"/>
          <w:sz w:val="24"/>
          <w:szCs w:val="24"/>
        </w:rPr>
        <w:t>August 11, 2023</w:t>
      </w:r>
      <w:r>
        <w:br/>
      </w:r>
      <w:r>
        <w:br/>
      </w:r>
      <w:r>
        <w:rPr>
          <w:color w:val="4A55A2"/>
          <w:rFonts w:ascii="IBM Plex Sans" w:eastAsia="IBM Plex Sans" w:hAnsi="IBM Plex Sans" w:cs="IBM Plex Sans"/>
          <w:sz w:val="24"/>
          <w:szCs w:val="24"/>
        </w:rPr>
        <w:t>Attn: A Shankarnarayanan</w:t>
      </w:r>
      <w:r>
        <w:br/>
      </w:r>
      <w:r>
        <w:rPr>
          <w:color w:val="4A55A2"/>
          <w:rFonts w:ascii="IBM Plex Sans" w:eastAsia="IBM Plex Sans" w:hAnsi="IBM Plex Sans" w:cs="IBM Plex Sans"/>
          <w:sz w:val="24"/>
          <w:szCs w:val="24"/>
        </w:rPr>
        <w:t>A Shankarnarayanan</w:t>
      </w:r>
      <w:r>
        <w:br/>
      </w:r>
      <w:r>
        <w:rPr>
          <w:color w:val="4A55A2"/>
          <w:rFonts w:ascii="IBM Plex Sans" w:eastAsia="IBM Plex Sans" w:hAnsi="IBM Plex Sans" w:cs="IBM Plex Sans"/>
          <w:sz w:val="24"/>
          <w:szCs w:val="24"/>
        </w:rPr>
        <w:t>Bsk</w:t>
      </w:r>
      <w:r>
        <w:br/>
      </w:r>
      <w:r>
        <w:rPr>
          <w:color w:val="4A55A2"/>
          <w:rFonts w:ascii="IBM Plex Sans" w:eastAsia="IBM Plex Sans" w:hAnsi="IBM Plex Sans" w:cs="IBM Plex Sans"/>
          <w:sz w:val="24"/>
          <w:szCs w:val="24"/>
        </w:rPr>
        <w:t>Bengaluru</w:t>
      </w:r>
      <w:r>
        <w:br/>
      </w:r>
      <w:r>
        <w:rPr>
          <w:color w:val="4A55A2"/>
          <w:rFonts w:ascii="IBM Plex Sans" w:eastAsia="IBM Plex Sans" w:hAnsi="IBM Plex Sans" w:cs="IBM Plex Sans"/>
          <w:sz w:val="24"/>
          <w:szCs w:val="24"/>
        </w:rPr>
        <w:t>INDIA</w:t>
      </w:r>
      <w:r>
        <w:br/>
      </w:r>
    </w:p>
    <w:p w:rsidR="00A77427" w:rsidRDefault="007F1D13">
      <w:pPr>
        <w:ind/>
      </w:pPr>
      <w:r>
        <w:rPr>
          <w:color w:val="4A55A2"/>
          <w:u w:val="single"/>
          <w:rFonts w:ascii="IBM Plex Sans" w:eastAsia="IBM Plex Sans" w:hAnsi="IBM Plex Sans" w:cs="IBM Plex Sans"/>
          <w:sz w:val="24"/>
          <w:szCs w:val="24"/>
        </w:rPr>
        <w:t>Subject: Letter of Intent / Declaration and Explanation</w:t>
      </w:r>
      <w:r>
        <w:br/>
      </w:r>
      <w:r>
        <w:br/>
      </w:r>
    </w:p>
    <w:p w:rsidR="00A77427" w:rsidRDefault="007F1D13">
      <w:pPr>
        <w:ind/>
        <w:jc w:val="both"/>
      </w:pPr>
      <w:r>
        <w:rPr>
          <w:color w:val="4A55A2"/>
          <w:rFonts w:ascii="IBM Plex Sans" w:eastAsia="IBM Plex Sans" w:hAnsi="IBM Plex Sans" w:cs="IBM Plex Sans"/>
          <w:sz w:val="24"/>
          <w:szCs w:val="24"/>
        </w:rPr>
        <w:t>Blaxol LLC and Blaxol Risensi LLP, jointly referred to as “Blaxol”, have submitted a preliminary deliverables and milestones document to Deep Blue Insights LLP, prior to their official onboarding, in good faith. However, it is important to note that the engagement contract between Deep Blue Insights LLP and Blaxol must be signed before any further services can be availed. Any pre-engagement deliverables and consulting services are only provided until the preliminary discussion materials and additional discussion materials, including the milestone analysis and budget deck, have been shared.</w:t>
      </w:r>
      <w:r>
        <w:br/>
      </w:r>
      <w:r>
        <w:br/>
      </w:r>
      <w:r>
        <w:rPr>
          <w:color w:val="4A55A2"/>
          <w:rFonts w:ascii="IBM Plex Sans" w:eastAsia="IBM Plex Sans" w:hAnsi="IBM Plex Sans" w:cs="IBM Plex Sans"/>
          <w:sz w:val="24"/>
          <w:szCs w:val="24"/>
        </w:rPr>
        <w:t>Blaxol highly recommends the completion of the engagement process to take advantage of its strategy consulting and advisory services as service consultants and accelerators for raising funds. It is also important to note that any pre-engagement discussions and deliverables are of an advisory nature and are not covered by warranty or liability. Therefore, Blaxol relinquishes responsibility for all pre-engagement discussions/materials. Blaxol firmly believes that engaging in a formal and legal manner in accordance with their Code of Conduct, which is available upon request, is in the best interests of both the client and the consultant.</w:t>
      </w:r>
      <w:r>
        <w:br/>
      </w:r>
      <w:r>
        <w:br/>
      </w:r>
      <w:r>
        <w:rPr>
          <w:color w:val="4A55A2"/>
          <w:rFonts w:ascii="IBM Plex Sans" w:eastAsia="IBM Plex Sans" w:hAnsi="IBM Plex Sans" w:cs="IBM Plex Sans"/>
          <w:sz w:val="24"/>
          <w:szCs w:val="24"/>
        </w:rPr>
        <w:t>Furthermore, Blaxol has agreed to provide service consulting and acceleration for raising funds to Deep Blue Insights LLP on their premises, under the guidance of their functional experts, in good faith. However, to formalize the engagement, it is highly encouraged to complete the engagement process.</w:t>
      </w:r>
      <w:r>
        <w:br/>
      </w:r>
      <w:r>
        <w:br/>
      </w:r>
      <w:r>
        <w:rPr>
          <w:color w:val="4A55A2"/>
          <w:rFonts w:ascii="IBM Plex Sans" w:eastAsia="IBM Plex Sans" w:hAnsi="IBM Plex Sans" w:cs="IBM Plex Sans"/>
          <w:sz w:val="24"/>
          <w:szCs w:val="24"/>
        </w:rPr>
        <w:t>Regards</w:t>
      </w:r>
      <w:r>
        <w:br/>
      </w:r>
      <w:r>
        <w:br/>
      </w:r>
      <w:r>
        <w:rPr>
          <w:color w:val="4A55A2"/>
          <w:rFonts w:ascii="IBM Plex Sans" w:eastAsia="IBM Plex Sans" w:hAnsi="IBM Plex Sans" w:cs="IBM Plex Sans"/>
          <w:sz w:val="24"/>
          <w:szCs w:val="24"/>
        </w:rPr>
        <w:t>Compliance Officer, Blaxol Risensi LLP</w:t>
      </w:r>
    </w:p>
    <w:tbl>
      <w:tblPr>
        <w:tblStyle w:val="a3"/>
        <w:tblW w:w="0" w:type="auto"/>
        <w:tblInd w:w="0" w:type="dxa"/>
        <w:tblLook w:val="04A0" w:firstRow="1" w:lastRow="0" w:firstColumn="1" w:lastColumn="0" w:noHBand="0" w:noVBand="1"/>
      </w:tblPr>
      <w:tblLayout w:type="auto"/>
      <w:tblGrid>
        <w:gridCol w:w="2400"/>
        <w:gridCol w:w="4261"/>
        <w:gridCol w:w="2400"/>
        <w:gridCol w:w="2400"/>
        <w:gridCol w:w="2400"/>
      </w:tblGrid>
      <w:tr w:rsidR="00995B51" w:rsidTr="007F1D13">
        <w:tc>
          <w:tcPr>
            <w:gridSpan w:val="1"/>
            <w:vAlign w:val="top"/>
            <w:tcW w:w="24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ada"/>
                <w:b/>
                <w:sz w:val="26"/>
                <w:szCs w:val="26"/>
              </w:rPr>
              <w:t>Activity</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ada"/>
                <w:b/>
                <w:sz w:val="26"/>
                <w:szCs w:val="26"/>
              </w:rPr>
              <w:t>Timeline</w:t>
            </w:r>
          </w:p>
        </w:tc>
        <w:tc>
          <w:tcPr>
            <w:gridSpan w:val="1"/>
            <w:vAlign w:val="top"/>
            <w:tcW w:w="24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ada"/>
                <w:b/>
                <w:sz w:val="26"/>
                <w:szCs w:val="26"/>
              </w:rPr>
              <w:t>Professional Fee</w:t>
            </w:r>
          </w:p>
        </w:tc>
        <w:tc>
          <w:tcPr>
            <w:gridSpan w:val="1"/>
            <w:vAlign w:val="top"/>
            <w:tcW w:w="24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ada"/>
                <w:b/>
                <w:sz w:val="26"/>
                <w:szCs w:val="26"/>
              </w:rPr>
              <w:t>Reimbursement</w:t>
            </w:r>
          </w:p>
        </w:tc>
        <w:tc>
          <w:tcPr>
            <w:gridSpan w:val="1"/>
            <w:vAlign w:val="top"/>
            <w:tcW w:w="24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ada"/>
                <w:b/>
                <w:sz w:val="26"/>
                <w:szCs w:val="26"/>
              </w:rPr>
              <w:t>Government Fees</w:t>
            </w:r>
          </w:p>
        </w:tc>
      </w:tr>
      <w:tr w:rsidR="00995B51" w:rsidTr="007F1D13">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ada"/>
                <w:sz w:val="24"/>
                <w:szCs w:val="24"/>
              </w:rPr>
              <w:t>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ada"/>
                <w:sz w:val="24"/>
                <w:szCs w:val="24"/>
              </w:rPr>
              <w:t>All grown-ups were once children</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ada"/>
                <w:sz w:val="24"/>
                <w:szCs w:val="24"/>
              </w:rPr>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ada"/>
                <w:sz w:val="24"/>
                <w:szCs w:val="24"/>
              </w:rPr>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ada"/>
                <w:sz w:val="24"/>
                <w:szCs w:val="24"/>
              </w:rPr>
            </w:r>
          </w:p>
        </w:tc>
      </w:tr>
      <w:tr w:rsidR="00995B51" w:rsidTr="007F1D13">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ada"/>
                <w:sz w:val="24"/>
                <w:szCs w:val="24"/>
              </w:rPr>
              <w:t>2</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ada"/>
                <w:sz w:val="24"/>
                <w:szCs w:val="24"/>
              </w:rPr>
              <w:t>there is no harm in putting off a piece of work until another day.</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ada"/>
                <w:sz w:val="24"/>
                <w:szCs w:val="24"/>
              </w:rPr>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ada"/>
                <w:sz w:val="24"/>
                <w:szCs w:val="24"/>
              </w:rPr>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ada"/>
                <w:sz w:val="24"/>
                <w:szCs w:val="24"/>
              </w:rPr>
            </w:r>
          </w:p>
        </w:tc>
      </w:tr>
      <w:tr w:rsidR="00995B51" w:rsidTr="007F1D13">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ada"/>
                <w:sz w:val="24"/>
                <w:szCs w:val="24"/>
              </w:rPr>
              <w:t>3</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ada"/>
                <w:sz w:val="24"/>
                <w:szCs w:val="24"/>
              </w:rPr>
              <w:t>But when it is a matter of baobabs, that always means a catastrophe.</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ada"/>
                <w:sz w:val="24"/>
                <w:szCs w:val="24"/>
              </w:rPr>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ada"/>
                <w:sz w:val="24"/>
                <w:szCs w:val="24"/>
              </w:rPr>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ada"/>
                <w:sz w:val="24"/>
                <w:szCs w:val="24"/>
              </w:rPr>
            </w:r>
          </w:p>
        </w:tc>
      </w:tr>
      <w:tr w:rsidR="00995B51" w:rsidTr="007F1D13">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ada"/>
                <w:sz w:val="24"/>
                <w:szCs w:val="24"/>
              </w:rPr>
              <w:t>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ada"/>
                <w:sz w:val="24"/>
                <w:szCs w:val="24"/>
              </w:rPr>
              <w:t>watch out for the baobabs!</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ada"/>
                <w:sz w:val="24"/>
                <w:szCs w:val="24"/>
              </w:rPr>
              <w:t>END</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ada"/>
                <w:sz w:val="24"/>
                <w:szCs w:val="24"/>
              </w:rPr>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ada"/>
                <w:sz w:val="24"/>
                <w:szCs w:val="24"/>
              </w:rPr>
            </w:r>
          </w:p>
        </w:tc>
      </w:tr>
    </w:tbl>
    <w:p w:rsidR="00A77427" w:rsidRDefault="007F1D13">
      <w:r>
        <w:br w:type="page"/>
      </w:r>
    </w:p>
    <w:p w:rsidR="00A77427" w:rsidRDefault="007F1D13">
      <w:pPr>
        <w:ind/>
      </w:pPr>
      <w:r>
        <w:rPr>
          <w:color w:val="4A55A2"/>
          <w:b/>
          <w:bCs/>
          <w:rFonts w:ascii="IBM Plex Sans" w:eastAsia="IBM Plex Sans" w:hAnsi="IBM Plex Sans" w:cs="IBM Plex Sans"/>
          <w:sz w:val="28"/>
          <w:szCs w:val="28"/>
        </w:rPr>
        <w:t>0.0  Purpose of this document</w:t>
      </w:r>
      <w:r>
        <w:br/>
      </w:r>
    </w:p>
    <w:p w:rsidR="00A77427" w:rsidRDefault="007F1D13">
      <w:pPr>
        <w:ind/>
        <w:jc w:val="both"/>
      </w:pPr>
      <w:r>
        <w:rPr>
          <w:color w:val="4A55A2"/>
          <w:rFonts w:ascii="IBM Plex Sans" w:eastAsia="IBM Plex Sans" w:hAnsi="IBM Plex Sans" w:cs="IBM Plex Sans"/>
          <w:sz w:val="24"/>
          <w:szCs w:val="24"/>
        </w:rPr>
        <w:t>The principal objective of this proposal document is to furnish a superlative fundraising blueprint for Deep Blue Insights LLP, leveraging the multifarious and elevated suite of services offered by Blaxol Risensi LLP. The document will serve to highlight Blaxol Risensi LLP&amp;#39;s renowned credentials and distinguished industry acumen and articulate a bespoke and meticulously tailored course of action that will aid Deep Blue Insights LLP in realizing its fundraising goals with utmost expediency and efficacy. The proposal will furnish a comprehensive breakdown of objectives, services, pricing, timeline, team, and references, and will emphasize the synergistic and mutually reinforcing partnership between Blaxol Risensi LLP and Deep Blue Insights LLP, with an unwavering focus on delivering exceptional fundraising outcomes. Ultimately, the primary thrust of this proposal is to evince how Blaxol Risensi LLP can bring immeasurable value and catalyse a transformative phase of growth for Deep Blue Insights LLP, through an all-encompassing and results- driven fundraising strategy.</w:t>
      </w:r>
      <w:r>
        <w:br/>
      </w:r>
    </w:p>
    <w:p w:rsidR="00A02F19" w:rsidRDefault="00A02F19"/>
    <w:sectPr w:rsidR="00A02F19" w:rsidSect="00A02F19">
      <w:headerReference w:type="default" r:id="rId9"/>
      <w:footerReference w:type="default" r:id="rId12"/>
      <w:headerReference w:type="first" r:id="rId10"/>
      <w:footerReference w:type="first" r:id="rId13"/>
      <w:headerReference w:type="even" r:id="rId8"/>
      <w:footerReference w:type="even" r:id="rId11"/>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7D7" w:rsidRDefault="002E67D7" w:rsidP="009F2180">
      <w:pPr>
        <w:spacing w:after="0" w:line="240" w:lineRule="auto"/>
      </w:pPr>
      <w:r>
        <w:separator/>
      </w:r>
    </w:p>
  </w:endnote>
  <w:endnote w:type="continuationSeparator" w:id="0">
    <w:p w:rsidR="002E67D7" w:rsidRDefault="002E67D7" w:rsidP="009F21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7D7" w:rsidRDefault="002E67D7" w:rsidP="009F2180">
      <w:pPr>
        <w:spacing w:after="0" w:line="240" w:lineRule="auto"/>
      </w:pPr>
      <w:r>
        <w:separator/>
      </w:r>
    </w:p>
  </w:footnote>
  <w:footnote w:type="continuationSeparator" w:id="0">
    <w:p w:rsidR="002E67D7" w:rsidRDefault="002E67D7" w:rsidP="009F21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7F1D13">
    <w:pPr>
      <w:ind/>
      <w:jc w:val="right"/>
    </w:pPr>
    <w:r>
      <w:rPr>
        <w:color w:val="FF0000"/>
        <w:b/>
        <w:bCs/>
      </w:rPr>
      <w:t>STRICTLY CONFIDENTIAL</w:t>
    </w:r>
    <w:r>
      <w:br/>
    </w:r>
    <w:r>
      <w:rPr>
        <w:color w:val="FF0000"/>
        <w:b/>
        <w:bCs/>
      </w:rPr>
      <w:t>PRELIMINARY DRAFT SUBJECT TO REVISION</w:t>
    </w:r>
    <w:r>
      <w:br/>
    </w:r>
    <w:r>
      <w:rPr>
        <w:color w:val="FF0000"/>
        <w:b/>
        <w:bCs/>
      </w:rPr>
      <w:t>SUBJECT TO FRE 408 AND CONFIDENTIALITY</w:t>
    </w:r>
    <w:r>
      <w:br/>
    </w:r>
    <w:r>
      <w:br/>
    </w:r>
    <w:r>
      <w:b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endnotes" Target="endnotes.xml"/><Relationship Id="rId15" Type="http://schemas.openxmlformats.org/officeDocument/2006/relationships/footernotes" Target="footnotes.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endnotes" Target="endnotes.xml"/><Relationship Id="rId15" Type="http://schemas.openxmlformats.org/officeDocument/2006/relationships/footernotes" Target="footnotes.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endnotes" Target="endnotes.xml"/><Relationship Id="rId15" Type="http://schemas.openxmlformats.org/officeDocument/2006/relationships/footernotes" Target="footnotes.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endnotes" Target="endnotes.xml"/><Relationship Id="rId15" Type="http://schemas.openxmlformats.org/officeDocument/2006/relationships/footernotes" Target="footnotes.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endnotes" Target="endnotes.xml"/><Relationship Id="rId15" Type="http://schemas.openxmlformats.org/officeDocument/2006/relationships/footernotes" Target="footnotes.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endnotes" Target="endnotes.xml"/><Relationship Id="rId15" Type="http://schemas.openxmlformats.org/officeDocument/2006/relationships/footernotes" Target="footnotes.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endnotes" Target="endnotes.xml"/><Relationship Id="rId15" Type="http://schemas.openxmlformats.org/officeDocument/2006/relationships/footer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2023-08-11T14:10:00Z</dcterms:created>
  <dcterms:modified xsi:type="dcterms:W3CDTF">2023-08-11T14:10:00Z</dcterms:modified>
</cp:coreProperties>
</file>