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3A57"/>
          <w:sz w:val="44"/>
          <w:szCs w:val="44"/>
        </w:rPr>
        <w:t xml:space="preserve">CUSTOMER CHURN PREDICTION &amp; LTV ENGINE</w:t>
      </w:r>
    </w:p>
    <w:p>
      <w:pPr>
        <w:spacing w:after="300"/>
      </w:pPr>
      <w:r>
        <w:rPr>
          <w:i/>
          <w:iCs/>
          <w:color w:val="666666"/>
          <w:sz w:val="24"/>
          <w:szCs w:val="24"/>
        </w:rPr>
        <w:t xml:space="preserve">Exploratory Data Analysis Report — Telco Customer Churn Dataset</w:t>
      </w:r>
    </w:p>
    <w:p>
      <w:pPr>
        <w:pBdr>
          <w:bottom w:val="single" w:color="17A398" w:sz="6" w:space="8"/>
        </w:pBdr>
        <w:spacing w:after="300"/>
      </w:pPr>
      <w:r>
        <w:rPr>
          <w:color w:val="666666"/>
          <w:sz w:val="20"/>
          <w:szCs w:val="20"/>
        </w:rPr>
        <w:t xml:space="preserve">7,043 customers · 21 attributes · Prepared July 2, 2026</w:t>
      </w:r>
    </w:p>
    <w:p>
      <w:pPr>
        <w:pStyle w:val="Heading2"/>
        <w:spacing w:after="150" w:before="300"/>
      </w:pPr>
      <w:r>
        <w:rPr>
          <w:b/>
          <w:bCs/>
          <w:color w:val="1B3A57"/>
          <w:sz w:val="26"/>
          <w:szCs w:val="26"/>
        </w:rPr>
        <w:t xml:space="preserve">Headline Metrics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4"/>
      </w:tblGrid>
      <w:tr>
        <w:tc>
          <w:tcPr>
            <w:tcW w:type="pct" w:w="33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E4572E"/>
                <w:sz w:val="36"/>
                <w:szCs w:val="36"/>
              </w:rPr>
              <w:t xml:space="preserve">26.5%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Overall Churn Rate</w:t>
            </w:r>
          </w:p>
        </w:tc>
        <w:tc>
          <w:tcPr>
            <w:tcW w:type="pct" w:w="33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E4572E"/>
                <w:sz w:val="36"/>
                <w:szCs w:val="36"/>
              </w:rPr>
              <w:t xml:space="preserve">$139,131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Monthly Revenue at Risk</w:t>
            </w:r>
          </w:p>
        </w:tc>
        <w:tc>
          <w:tcPr>
            <w:tcW w:type="pct" w:w="33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1B3A57"/>
                <w:sz w:val="36"/>
                <w:szCs w:val="36"/>
              </w:rPr>
              <w:t xml:space="preserve">18 mo vs 38 mo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Avg. Tenure (Churned)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B3A57"/>
          <w:sz w:val="32"/>
          <w:szCs w:val="32"/>
        </w:rPr>
        <w:t xml:space="preserve">1. Executive Summary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This report summarizes exploratory analysis of the IBM/Kaggle Telco Customer Churn dataset (7,043 customers). The goal is to surface the strongest churn drivers ahead of model development, so the classification and LTV models in Weeks 2-3 are built around the factors that matter most.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Roughly 1 in 4 customers (26.5%) has churned historically, representing about $139,131 in monthly recurring revenue at risk — 30.5% of total monthly billings. Churn is heavily concentrated among new, month-to-month, fiber-optic customers paying by electronic check with no add-on services. These segments should be the initial focus of both the predictive model's feature set and the retention team's early-warning playbook.</w:t>
      </w:r>
    </w:p>
    <w:p>
      <w:pPr>
        <w:pStyle w:val="Heading1"/>
        <w:spacing w:after="200" w:before="400"/>
      </w:pPr>
      <w:r>
        <w:rPr>
          <w:b/>
          <w:bCs/>
          <w:color w:val="1B3A57"/>
          <w:sz w:val="32"/>
          <w:szCs w:val="32"/>
        </w:rPr>
        <w:t xml:space="preserve">2. Key Findings</w:t>
      </w:r>
    </w:p>
    <w:p>
      <w:pPr>
        <w:pStyle w:val="Heading2"/>
        <w:spacing w:after="150" w:before="300"/>
      </w:pPr>
      <w:r>
        <w:rPr>
          <w:b/>
          <w:bCs/>
          <w:color w:val="1B3A57"/>
          <w:sz w:val="26"/>
          <w:szCs w:val="26"/>
        </w:rPr>
        <w:t xml:space="preserve">2.1 Contract type is the single strongest driver</w:t>
      </w:r>
    </w:p>
    <w:p>
      <w:pPr>
        <w:spacing w:before="200"/>
        <w:jc w:val="center"/>
      </w:pPr>
      <w:r>
        <w:drawing>
          <wp:inline distT="0" distB="0" distL="0" distR="0">
            <wp:extent cx="42862500000" cy="285750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0000" cy="28575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666666"/>
          <w:sz w:val="18"/>
          <w:szCs w:val="18"/>
        </w:rPr>
        <w:t xml:space="preserve">Figure 1: Churn rate by contract type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Month-to-month customers churn at 42.7%, roughly 4x the rate of one-year contracts (11.3%) and 15x two-year contracts (2.8%). Contract type alone explains a large share of churn variance and should be a top feature in the classification model.</w:t>
      </w:r>
    </w:p>
    <w:p>
      <w:pPr>
        <w:pStyle w:val="Heading2"/>
        <w:spacing w:after="150" w:before="300"/>
      </w:pPr>
      <w:r>
        <w:rPr>
          <w:b/>
          <w:bCs/>
          <w:color w:val="1B3A57"/>
          <w:sz w:val="26"/>
          <w:szCs w:val="26"/>
        </w:rPr>
        <w:t xml:space="preserve">2.2 Tenure: risk is front-loaded in the first year</w:t>
      </w:r>
    </w:p>
    <w:p>
      <w:pPr>
        <w:spacing w:before="200"/>
        <w:jc w:val="center"/>
      </w:pPr>
      <w:r>
        <w:drawing>
          <wp:inline distT="0" distB="0" distL="0" distR="0">
            <wp:extent cx="42862500000" cy="285750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0000" cy="28575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666666"/>
          <w:sz w:val="18"/>
          <w:szCs w:val="18"/>
        </w:rPr>
        <w:t xml:space="preserve">Figure 2: Churn rate by tenure bucket (months)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Customers in their first 12 months churn at 47.4%, falling steadily to 6.6% for customers past 5 years. Churned customers have a median tenure of just 10 months vs. 38 months for retained customers. New customers are the highest-priority segment for early intervention.</w:t>
      </w:r>
    </w:p>
    <w:p>
      <w:pPr>
        <w:pStyle w:val="Heading2"/>
        <w:spacing w:after="150" w:before="300"/>
      </w:pPr>
      <w:r>
        <w:rPr>
          <w:b/>
          <w:bCs/>
          <w:color w:val="1B3A57"/>
          <w:sz w:val="26"/>
          <w:szCs w:val="26"/>
        </w:rPr>
        <w:t xml:space="preserve">2.3 Fiber optic customers churn at more than double the DSL rate</w:t>
      </w:r>
    </w:p>
    <w:p>
      <w:pPr>
        <w:spacing w:before="200"/>
        <w:jc w:val="center"/>
      </w:pPr>
      <w:r>
        <w:drawing>
          <wp:inline distT="0" distB="0" distL="0" distR="0">
            <wp:extent cx="42862500000" cy="285750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0000" cy="28575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666666"/>
          <w:sz w:val="18"/>
          <w:szCs w:val="18"/>
        </w:rPr>
        <w:t xml:space="preserve">Figure 3: Churn rate by internet service type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Fiber optic subscribers churn at 41.9% versus 19.0% for DSL and 7.4% for customers with no internet service. Combined with the finding below on monthly charges, this suggests fiber pricing or service-quality perception may be a factor worth investigating with the product team.</w:t>
      </w:r>
    </w:p>
    <w:p>
      <w:pPr>
        <w:pStyle w:val="Heading2"/>
        <w:spacing w:after="150" w:before="300"/>
      </w:pPr>
      <w:r>
        <w:rPr>
          <w:b/>
          <w:bCs/>
          <w:color w:val="1B3A57"/>
          <w:sz w:val="26"/>
          <w:szCs w:val="26"/>
        </w:rPr>
        <w:t xml:space="preserve">2.4 Electronic check payers are the highest-risk payment segment</w:t>
      </w:r>
    </w:p>
    <w:p>
      <w:pPr>
        <w:spacing w:before="200"/>
        <w:jc w:val="center"/>
      </w:pPr>
      <w:r>
        <w:drawing>
          <wp:inline distT="0" distB="0" distL="0" distR="0">
            <wp:extent cx="42862500000" cy="266700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0000" cy="26670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666666"/>
          <w:sz w:val="18"/>
          <w:szCs w:val="18"/>
        </w:rPr>
        <w:t xml:space="preserve">Figure 4: Churn rate by payment method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Electronic check users churn at 45.3%, roughly 3x the rate of automatic bank transfer (16.7%) or credit card (15.2%) payers. Because this is correlated with lack of payment automation rather than being causal on its own, it is still a useful, low-cost signal for the model and for prompting customers to switch to autopay.</w:t>
      </w:r>
    </w:p>
    <w:p>
      <w:pPr>
        <w:pStyle w:val="Heading2"/>
        <w:spacing w:after="150" w:before="300"/>
      </w:pPr>
      <w:r>
        <w:rPr>
          <w:b/>
          <w:bCs/>
          <w:color w:val="1B3A57"/>
          <w:sz w:val="26"/>
          <w:szCs w:val="26"/>
        </w:rPr>
        <w:t xml:space="preserve">2.5 Higher bills correlate with higher churn</w:t>
      </w:r>
    </w:p>
    <w:p>
      <w:pPr>
        <w:spacing w:before="200"/>
        <w:jc w:val="center"/>
      </w:pPr>
      <w:r>
        <w:drawing>
          <wp:inline distT="0" distB="0" distL="0" distR="0">
            <wp:extent cx="42862500000" cy="285750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0000" cy="28575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666666"/>
          <w:sz w:val="18"/>
          <w:szCs w:val="18"/>
        </w:rPr>
        <w:t xml:space="preserve">Figure 5: Monthly charges distribution — churned vs. retained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Churned customers pay a median of $79.65/month vs. $64.43 for retained customers. Churn risk rises noticeably above roughly $70/month, reinforcing the fiber-optic finding since fiber plans carry the highest price points.</w:t>
      </w:r>
    </w:p>
    <w:p>
      <w:pPr>
        <w:pStyle w:val="Heading2"/>
        <w:spacing w:after="150" w:before="300"/>
      </w:pPr>
      <w:r>
        <w:rPr>
          <w:b/>
          <w:bCs/>
          <w:color w:val="1B3A57"/>
          <w:sz w:val="26"/>
          <w:szCs w:val="26"/>
        </w:rPr>
        <w:t xml:space="preserve">2.6 Add-on services act as a retention anchor</w:t>
      </w:r>
    </w:p>
    <w:p>
      <w:pPr>
        <w:spacing w:before="200"/>
        <w:jc w:val="center"/>
      </w:pPr>
      <w:r>
        <w:drawing>
          <wp:inline distT="0" distB="0" distL="0" distR="0">
            <wp:extent cx="42862500000" cy="285750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0000" cy="28575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666666"/>
          <w:sz w:val="18"/>
          <w:szCs w:val="18"/>
        </w:rPr>
        <w:t xml:space="preserve">Figure 6: Churn rate with vs. without support/security add-ons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Customers without Online Security or Tech Support churn at roughly 42%, compared to 15% for those who have subscribed to these add-ons. This is one of the largest effect sizes in the dataset and points to a concrete retention lever: bundling or promoting these services to at-risk segments.</w:t>
      </w:r>
    </w:p>
    <w:p>
      <w:pPr>
        <w:pStyle w:val="Heading1"/>
        <w:spacing w:after="200" w:before="400"/>
      </w:pPr>
      <w:r>
        <w:rPr>
          <w:b/>
          <w:bCs/>
          <w:color w:val="1B3A57"/>
          <w:sz w:val="32"/>
          <w:szCs w:val="32"/>
        </w:rPr>
        <w:t xml:space="preserve">3. Churn Rate by Segment (Reference Table)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800"/>
        <w:gridCol w:w="1800"/>
      </w:tblGrid>
      <w:tr>
        <w:trPr>
          <w:tblHeader/>
        </w:trPr>
        <w:tc>
          <w:tcPr>
            <w:tcW w:type="dxa" w:w="2600"/>
            <w:shd w:fill="1B3A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000"/>
            <w:shd w:fill="1B3A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1800"/>
            <w:shd w:fill="1B3A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Churn Rate</w:t>
            </w:r>
          </w:p>
        </w:tc>
        <w:tc>
          <w:tcPr>
            <w:tcW w:type="dxa" w:w="1800"/>
            <w:shd w:fill="1B3A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Contract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Month-to-month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42.7%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3,875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Contract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One year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11.3%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1,473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Contract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Two year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2.8%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1,695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Internet Service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Fiber optic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41.9%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3,096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Internet Service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DSL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19.0%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2,421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Internet Service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7.4%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1,526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Electronic check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45.3%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2,365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Mailed check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19.1%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1,612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Bank transfer (auto)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16.7%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1,544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Credit card (auto)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15.2%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1,522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Senior Citizen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41.7%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1,142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Senior Citizen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23.6%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5,901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Has Partner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33.0%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3,641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Has Partner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19.7%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3,402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Has Dependents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31.3%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4,933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Has Dependents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15.5%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2,110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3A57"/>
          <w:sz w:val="32"/>
          <w:szCs w:val="32"/>
        </w:rPr>
        <w:t xml:space="preserve">4. Data Quality Notes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11 rows (0.16%) have a blank TotalCharges value; all correspond to customers with tenure = 0 (brand-new sign-ups). These should be imputed as $0 or excluded before model training, not dropped as generic missing data.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TotalCharges is stored as text in the raw export in some distributions and must be coerced to numeric — already handled in this analysis.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No duplicate customerID values were found; all 7,043 rows are unique customers.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Categorical fields (e.g., OnlineSecurity, TechSupport) include a 'No internet service' category that is functionally different from 'No' — these were kept distinct rather than collapsed, since it changes the churn rate materially (7.4% vs ~40%).</w:t>
      </w:r>
    </w:p>
    <w:p>
      <w:pPr>
        <w:pStyle w:val="Heading1"/>
        <w:spacing w:after="200" w:before="400"/>
      </w:pPr>
      <w:r>
        <w:rPr>
          <w:b/>
          <w:bCs/>
          <w:color w:val="1B3A57"/>
          <w:sz w:val="32"/>
          <w:szCs w:val="32"/>
        </w:rPr>
        <w:t xml:space="preserve">5. Recommendations for Weeks 2–4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  <w:color w:val="222222"/>
          <w:sz w:val="22"/>
          <w:szCs w:val="22"/>
        </w:rPr>
        <w:t xml:space="preserve">Feature engineering: prioritize contract type, tenure, internet service type, payment method, and add-on service flags — these show the largest churn effect sizes and should anchor the feature set.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Consider an engineered 'digital engagement score' combining OnlineSecurity, TechSupport, OnlineBackup, and DeviceProtection into a single 0-4 count, since they behave similarly and may be collinear individually.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Given the tenure effect, a 'new customer' flag (tenure ≤ 3 months) may help the model catch the highest-risk cohort early — a natural trigger for the LTV engine's retention prioritization.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For the LTV model, note that TotalCharges is nearly deterministic from tenure × MonthlyCharges (with small variation from historical price changes/promos) — use it as a sanity check rather than a primary LTV input, since forecasted LTV should be forward-looking, not backward-looking.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 w:val="false"/>
          <w:bCs w:val="false"/>
          <w:color w:val="222222"/>
          <w:sz w:val="22"/>
          <w:szCs w:val="22"/>
        </w:rPr>
        <w:t xml:space="preserve">Recommend the retention/marketing team pilot autopay-conversion incentives for electronic-check customers and security/support add-on promotions for fiber customers — both are the largest, most actionable churn levers identified.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95dc81458f6f1668a40d2b249fa4851c4d5c9c3.png"/><Relationship Id="rId8" Type="http://schemas.openxmlformats.org/officeDocument/2006/relationships/image" Target="media/fdf1b4f791a329b81bb4b093836a90a5fd6af0cc.png"/><Relationship Id="rId9" Type="http://schemas.openxmlformats.org/officeDocument/2006/relationships/image" Target="media/ecddca8586d0a1ccdb7a49d690eff219befc5554.png"/><Relationship Id="rId10" Type="http://schemas.openxmlformats.org/officeDocument/2006/relationships/image" Target="media/a8184761010f1adc017a4c912db30f7d9e5ce5bc.png"/><Relationship Id="rId11" Type="http://schemas.openxmlformats.org/officeDocument/2006/relationships/image" Target="media/70fada30f8e5a772b5ea6e1e1c94e5adaec000e6.png"/><Relationship Id="rId12" Type="http://schemas.openxmlformats.org/officeDocument/2006/relationships/image" Target="media/08d912965a388fcf04d3f62b0ccb618085d81a2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2026-07-02T13:29:41.585Z</dcterms:created>
  <dcterms:modified xsi:type="dcterms:W3CDTF">2026-07-02T13:29:41.585Z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