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copeLabel"/>
        <w:jc w:val="center"/>
      </w:pPr>
      <w:r>
        <w:t>COMPANION / INTERPRETIVE CONTROL NOTE</w:t>
      </w:r>
    </w:p>
    <w:p>
      <w:pPr>
        <w:pStyle w:val="Title"/>
        <w:jc w:val="center"/>
      </w:pPr>
      <w:r>
        <w:t>PERFECT STORM AT THE CONTROL PLANE</w:t>
      </w:r>
    </w:p>
    <w:p>
      <w:pPr>
        <w:jc w:val="center"/>
      </w:pPr>
      <w:r>
        <w:rPr>
          <w:b/>
          <w:color w:val="4D5A6A"/>
          <w:sz w:val="26"/>
        </w:rPr>
        <w:t>Frozen-Source Clarification, Scope Tightening, and Publication Control</w:t>
      </w:r>
    </w:p>
    <w:p>
      <w:pPr>
        <w:jc w:val="center"/>
      </w:pPr>
      <w:r>
        <w:rPr>
          <w:color w:val="69737D"/>
          <w:sz w:val="20"/>
        </w:rPr>
        <w:t>Version 1.0 — 7 September 2026</w:t>
      </w:r>
    </w:p>
    <w:p/>
    <w:tbl>
      <w:tblPr>
        <w:tblW w:type="auto" w:w="0"/>
        <w:jc w:val="center"/>
        <w:tblLayout w:type="fixed"/>
        <w:tblLook w:firstColumn="1" w:firstRow="1" w:lastColumn="0" w:lastRow="0" w:noHBand="0" w:noVBand="1" w:val="04A0"/>
      </w:tblPr>
      <w:tblGrid>
        <w:gridCol w:w="4997"/>
        <w:gridCol w:w="4997"/>
      </w:tblGrid>
      <w:tr>
        <w:tc>
          <w:tcPr>
            <w:tcW w:type="dxa" w:w="2448"/>
            <w:tcMar>
              <w:top w:w="90" w:type="dxa"/>
              <w:start w:w="100" w:type="dxa"/>
              <w:bottom w:w="90" w:type="dxa"/>
              <w:end w:w="100" w:type="dxa"/>
            </w:tcMar>
            <w:vAlign w:val="center"/>
            <w:shd w:fill="E9EDF2"/>
          </w:tcPr>
          <w:p>
            <w:r>
              <w:rPr>
                <w:b/>
              </w:rPr>
              <w:t>STATUS</w:t>
            </w:r>
          </w:p>
        </w:tc>
        <w:tc>
          <w:tcPr>
            <w:tcW w:type="dxa" w:w="7056"/>
            <w:tcMar>
              <w:top w:w="90" w:type="dxa"/>
              <w:start w:w="100" w:type="dxa"/>
              <w:bottom w:w="90" w:type="dxa"/>
              <w:end w:w="100" w:type="dxa"/>
            </w:tcMar>
            <w:vAlign w:val="center"/>
            <w:shd w:fill="FDECEC"/>
          </w:tcPr>
          <w:p>
            <w:r>
              <w:t>Companion document. It does not supersede or rewrite either source PDF.</w:t>
            </w:r>
          </w:p>
        </w:tc>
      </w:tr>
      <w:tr>
        <w:tc>
          <w:tcPr>
            <w:tcW w:type="dxa" w:w="2448"/>
            <w:tcMar>
              <w:top w:w="90" w:type="dxa"/>
              <w:start w:w="100" w:type="dxa"/>
              <w:bottom w:w="90" w:type="dxa"/>
              <w:end w:w="100" w:type="dxa"/>
            </w:tcMar>
            <w:vAlign w:val="center"/>
            <w:shd w:fill="E9EDF2"/>
          </w:tcPr>
          <w:p>
            <w:r>
              <w:rPr>
                <w:b/>
              </w:rPr>
              <w:t>FROZEN INPUTS</w:t>
            </w:r>
          </w:p>
        </w:tc>
        <w:tc>
          <w:tcPr>
            <w:tcW w:type="dxa" w:w="7056"/>
            <w:tcMar>
              <w:top w:w="90" w:type="dxa"/>
              <w:start w:w="100" w:type="dxa"/>
              <w:bottom w:w="90" w:type="dxa"/>
              <w:end w:w="100" w:type="dxa"/>
            </w:tcMar>
            <w:vAlign w:val="center"/>
          </w:tcPr>
          <w:p>
            <w:r>
              <w:t>Sanitized Public Review PDF and Internal / Unsanitized Reconstruction are preserved as immutable publication artifacts.</w:t>
            </w:r>
          </w:p>
        </w:tc>
      </w:tr>
      <w:tr>
        <w:tc>
          <w:tcPr>
            <w:tcW w:type="dxa" w:w="2448"/>
            <w:tcMar>
              <w:top w:w="90" w:type="dxa"/>
              <w:start w:w="100" w:type="dxa"/>
              <w:bottom w:w="90" w:type="dxa"/>
              <w:end w:w="100" w:type="dxa"/>
            </w:tcMar>
            <w:vAlign w:val="center"/>
            <w:shd w:fill="E9EDF2"/>
          </w:tcPr>
          <w:p>
            <w:r>
              <w:rPr>
                <w:b/>
              </w:rPr>
              <w:t>PURPOSE</w:t>
            </w:r>
          </w:p>
        </w:tc>
        <w:tc>
          <w:tcPr>
            <w:tcW w:type="dxa" w:w="7056"/>
            <w:tcMar>
              <w:top w:w="90" w:type="dxa"/>
              <w:start w:w="100" w:type="dxa"/>
              <w:bottom w:w="90" w:type="dxa"/>
              <w:end w:w="100" w:type="dxa"/>
            </w:tcMar>
            <w:vAlign w:val="center"/>
          </w:tcPr>
          <w:p>
            <w:r>
              <w:t>Clarify scope, tighten interpretation, preserve attribution, and prevent future summaries from collapsing the report into a single viromimetic or biological scenario.</w:t>
            </w:r>
          </w:p>
        </w:tc>
      </w:tr>
      <w:tr>
        <w:tc>
          <w:tcPr>
            <w:tcW w:type="dxa" w:w="2448"/>
            <w:tcMar>
              <w:top w:w="90" w:type="dxa"/>
              <w:start w:w="100" w:type="dxa"/>
              <w:bottom w:w="90" w:type="dxa"/>
              <w:end w:w="100" w:type="dxa"/>
            </w:tcMar>
            <w:vAlign w:val="center"/>
            <w:shd w:fill="E9EDF2"/>
          </w:tcPr>
          <w:p>
            <w:r>
              <w:rPr>
                <w:b/>
              </w:rPr>
              <w:t>CHANGE RULE</w:t>
            </w:r>
          </w:p>
        </w:tc>
        <w:tc>
          <w:tcPr>
            <w:tcW w:type="dxa" w:w="7056"/>
            <w:tcMar>
              <w:top w:w="90" w:type="dxa"/>
              <w:start w:w="100" w:type="dxa"/>
              <w:bottom w:w="90" w:type="dxa"/>
              <w:end w:w="100" w:type="dxa"/>
            </w:tcMar>
            <w:vAlign w:val="center"/>
          </w:tcPr>
          <w:p>
            <w:r>
              <w:t>Future corrections belong in a new companion, errata ledger, or successor version — never as silent edits to the frozen PDFs.</w:t>
            </w:r>
          </w:p>
        </w:tc>
      </w:tr>
    </w:tbl>
    <w:p/>
    <w:p>
      <w:pPr>
        <w:pStyle w:val="PullQuote"/>
        <w:jc w:val="center"/>
      </w:pPr>
      <w:r>
        <w:t>Freeze the artifact. Tighten the interpretation. Preserve the lineage.</w:t>
      </w:r>
    </w:p>
    <w:p>
      <w:r>
        <w:br w:type="page"/>
      </w:r>
    </w:p>
    <w:p>
      <w:pPr>
        <w:pStyle w:val="Heading1"/>
      </w:pPr>
      <w:r>
        <w:t>1. Governing Freeze Rule</w:t>
      </w:r>
    </w:p>
    <w:p>
      <w:r>
        <w:rPr>
          <w:b/>
        </w:rPr>
        <w:t xml:space="preserve">The existing PDFs are strong enough to stand as historical publication artifacts. </w:t>
      </w:r>
      <w:r>
        <w:t>This companion exists so that later clarification does not become retroactive rewriting. The sanitized report remains the public-review artifact; the unsanitized reconstruction remains a separately labeled reconstructed internal-review artifact. Neither is to be silently 'fixed' in place.</w:t>
      </w:r>
    </w:p>
    <w:p>
      <w:pPr>
        <w:pStyle w:val="ListBullet"/>
        <w:spacing w:after="60"/>
      </w:pPr>
      <w:r>
        <w:t>No overwrite of the frozen PDFs.</w:t>
      </w:r>
    </w:p>
    <w:p>
      <w:pPr>
        <w:pStyle w:val="ListBullet"/>
        <w:spacing w:after="60"/>
      </w:pPr>
      <w:r>
        <w:t>No silent replacement of wording, citations, dates, or provenance.</w:t>
      </w:r>
    </w:p>
    <w:p>
      <w:pPr>
        <w:pStyle w:val="ListBullet"/>
        <w:spacing w:after="60"/>
      </w:pPr>
      <w:r>
        <w:t>No conversion of a later interpretation into a claim that the earlier document always said it.</w:t>
      </w:r>
    </w:p>
    <w:p>
      <w:pPr>
        <w:pStyle w:val="ListBullet"/>
        <w:spacing w:after="60"/>
      </w:pPr>
      <w:r>
        <w:t>No deletion of disagreement, uncertainty labels, or source-lineage notes merely because a later version can say them more cleanly.</w:t>
      </w:r>
    </w:p>
    <w:p>
      <w:pPr>
        <w:pStyle w:val="ListBullet"/>
        <w:spacing w:after="60"/>
      </w:pPr>
      <w:r>
        <w:t>Corrections, attribution improvements, and framing clarifications are recorded here or in a later numbered companion.</w:t>
      </w:r>
    </w:p>
    <w:p>
      <w:pPr>
        <w:pStyle w:val="RuleText"/>
      </w:pPr>
      <w:r>
        <w:t>Rule: frozen source + additive companion + preserved diff/ledger.</w:t>
      </w:r>
    </w:p>
    <w:p>
      <w:pPr>
        <w:pStyle w:val="Heading1"/>
      </w:pPr>
      <w:r>
        <w:t>2. The Scope of Accountability</w:t>
      </w:r>
    </w:p>
    <w:p>
      <w:r>
        <w:rPr>
          <w:b/>
        </w:rPr>
        <w:t xml:space="preserve">This is not a report about one company being uniquely reckless. </w:t>
      </w:r>
      <w:r>
        <w:t>Named organizations appear because public incidents, experiments, disclosures, standards work, or research provide evidence for specific mechanisms. The target of the warning is the field-level failure structure.</w:t>
      </w:r>
    </w:p>
    <w:p>
      <w:pPr>
        <w:pStyle w:val="PullQuote"/>
      </w:pPr>
      <w:r>
        <w:t>The problem is not OpenAI, Anthropic, Hugging Face, one university, one laboratory, or one safety team. The problem is a field building increasingly agentic, connected, automated systems across overlapping trust domains while still depending on controls that may fail together.</w:t>
      </w:r>
    </w:p>
    <w:p>
      <w:r>
        <w:rPr>
          <w:b/>
          <w:color w:val="B42D2D"/>
        </w:rPr>
        <w:t>Institutional accountability is not institutional accusation.</w:t>
      </w:r>
      <w:r>
        <w:t xml:space="preserve"> The paper's demand is that AI safety, cybersecurity, biosecurity, laboratory automation, standards bodies, vendors, cloud providers, and high-consequence research programs prove that their boundaries are real, independent, tested, and able to survive compound failure.</w:t>
      </w:r>
    </w:p>
    <w:p>
      <w:r>
        <w:rPr>
          <w:b/>
        </w:rPr>
        <w:t xml:space="preserve">Author-scope statement: </w:t>
      </w:r>
      <w:r>
        <w:t>The field needs to get its shit together before individually survivable weaknesses line up into a compound failure.</w:t>
      </w:r>
    </w:p>
    <w:p>
      <w:pPr>
        <w:pStyle w:val="Heading1"/>
      </w:pPr>
      <w:r>
        <w:t>3. Perfect Storm Is a Compound-Failure Framework — Not a Single Viromimetic Scenario</w:t>
      </w:r>
    </w:p>
    <w:p>
      <w:r>
        <w:rPr>
          <w:b/>
        </w:rPr>
        <w:t xml:space="preserve">Core clarification: </w:t>
      </w:r>
      <w:r>
        <w:t>AI-LC-IEV / Live-Code In Executio Viromimetics is an author-defined conceptual branch in the research lineage. It is not the master mechanism of the Perfect Storm report, and the report does not require a digital 'virus' to exist for its control-plane thesis to matter.</w:t>
      </w:r>
    </w:p>
    <w:p>
      <w:r>
        <w:rPr>
          <w:b/>
        </w:rPr>
        <w:t xml:space="preserve">The broader hypothesis is composable failure across heterogeneous systems. </w:t>
      </w:r>
      <w:r>
        <w:t>A serious event could be produced by different combinations of isolation failure, credential or permission failure, shared infrastructure, artifact or package propagation, unintended agent coordination, excessive tool authority, automation failure, human procedural error, institutional delay, compromised monitoring, weak revocation, or cyber-physical actuation.</w:t>
      </w:r>
    </w:p>
    <w:p>
      <w:pPr>
        <w:pStyle w:val="ListBullet"/>
        <w:spacing w:after="60"/>
      </w:pPr>
      <w:r>
        <w:t>A viromimetic or polymorphic propagation mechanism is one possible branch, not a prerequisite.</w:t>
      </w:r>
    </w:p>
    <w:p>
      <w:pPr>
        <w:pStyle w:val="ListBullet"/>
        <w:spacing w:after="60"/>
      </w:pPr>
      <w:r>
        <w:t>A sandbox or evaluation boundary failure is another branch.</w:t>
      </w:r>
    </w:p>
    <w:p>
      <w:pPr>
        <w:pStyle w:val="ListBullet"/>
        <w:spacing w:after="60"/>
      </w:pPr>
      <w:r>
        <w:t>A shared identity, package, cloud, CI/CD, vendor, or orchestration path is another.</w:t>
      </w:r>
    </w:p>
    <w:p>
      <w:pPr>
        <w:pStyle w:val="ListBullet"/>
        <w:spacing w:after="60"/>
      </w:pPr>
      <w:r>
        <w:t>A human exception, ignored warning, or delayed escalation can create or widen the opening.</w:t>
      </w:r>
    </w:p>
    <w:p>
      <w:pPr>
        <w:pStyle w:val="ListBullet"/>
        <w:spacing w:after="60"/>
      </w:pPr>
      <w:r>
        <w:t>A cyber-physical control plane can turn a digital failure into a physical consequence.</w:t>
      </w:r>
    </w:p>
    <w:p>
      <w:pPr>
        <w:pStyle w:val="ListBullet"/>
        <w:spacing w:after="60"/>
      </w:pPr>
      <w:r>
        <w:t>The Perfect Storm occurs when enough of these independently survivable failures become coupled.</w:t>
      </w:r>
    </w:p>
    <w:p>
      <w:pPr>
        <w:pStyle w:val="Heading1"/>
      </w:pPr>
      <w:r>
        <w:t>4. Three Substrates, One Systems Problem</w:t>
      </w:r>
    </w:p>
    <w:p>
      <w:r>
        <w:rPr>
          <w:b/>
        </w:rPr>
        <w:t xml:space="preserve">The parallel is functional, not literal. </w:t>
      </w:r>
      <w:r>
        <w:t>Human systems, biological systems, and digital systems do not replicate by the same mechanism. They can, however, exhibit comparable systems-level patterns: transmission paths, node or host dependence, persistent state, amplification, adaptation, hidden bridges, weak barriers, common-mode failure, and cascading consequence.</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E9EDF2"/>
          </w:tcPr>
          <w:p>
            <w:r>
              <w:rPr>
                <w:b/>
              </w:rPr>
              <w:t>Substrate</w:t>
            </w:r>
          </w:p>
        </w:tc>
        <w:tc>
          <w:tcPr>
            <w:tcW w:type="dxa" w:w="2498"/>
            <w:shd w:fill="E9EDF2"/>
          </w:tcPr>
          <w:p>
            <w:r>
              <w:rPr>
                <w:b/>
              </w:rPr>
              <w:t>Typical carrier / path</w:t>
            </w:r>
          </w:p>
        </w:tc>
        <w:tc>
          <w:tcPr>
            <w:tcW w:type="dxa" w:w="2498"/>
            <w:shd w:fill="E9EDF2"/>
          </w:tcPr>
          <w:p>
            <w:r>
              <w:rPr>
                <w:b/>
              </w:rPr>
              <w:t>Characteristic friction</w:t>
            </w:r>
          </w:p>
        </w:tc>
        <w:tc>
          <w:tcPr>
            <w:tcW w:type="dxa" w:w="2498"/>
            <w:shd w:fill="E9EDF2"/>
          </w:tcPr>
          <w:p>
            <w:r>
              <w:rPr>
                <w:b/>
              </w:rPr>
              <w:t>Containment implication</w:t>
            </w:r>
          </w:p>
        </w:tc>
      </w:tr>
      <w:tr>
        <w:tc>
          <w:tcPr>
            <w:tcW w:type="dxa" w:w="2498"/>
            <w:tcMar>
              <w:top w:w="70" w:type="dxa"/>
              <w:start w:w="80" w:type="dxa"/>
              <w:bottom w:w="70" w:type="dxa"/>
              <w:end w:w="80" w:type="dxa"/>
            </w:tcMar>
          </w:tcPr>
          <w:p>
            <w:r>
              <w:t>Human / institutional</w:t>
            </w:r>
          </w:p>
        </w:tc>
        <w:tc>
          <w:tcPr>
            <w:tcW w:type="dxa" w:w="2498"/>
            <w:tcMar>
              <w:top w:w="70" w:type="dxa"/>
              <w:start w:w="80" w:type="dxa"/>
              <w:bottom w:w="70" w:type="dxa"/>
              <w:end w:w="80" w:type="dxa"/>
            </w:tcMar>
          </w:tcPr>
          <w:p>
            <w:r>
              <w:t>Decisions, assumptions, handoffs, incentives, policy, reporting culture</w:t>
            </w:r>
          </w:p>
        </w:tc>
        <w:tc>
          <w:tcPr>
            <w:tcW w:type="dxa" w:w="2498"/>
            <w:tcMar>
              <w:top w:w="70" w:type="dxa"/>
              <w:start w:w="80" w:type="dxa"/>
              <w:bottom w:w="70" w:type="dxa"/>
              <w:end w:w="80" w:type="dxa"/>
            </w:tcMar>
          </w:tcPr>
          <w:p>
            <w:r>
              <w:t>Human attention, hierarchy, meetings, coordination, delay</w:t>
            </w:r>
          </w:p>
        </w:tc>
        <w:tc>
          <w:tcPr>
            <w:tcW w:type="dxa" w:w="2498"/>
            <w:tcMar>
              <w:top w:w="70" w:type="dxa"/>
              <w:start w:w="80" w:type="dxa"/>
              <w:bottom w:w="70" w:type="dxa"/>
              <w:end w:w="80" w:type="dxa"/>
            </w:tcMar>
          </w:tcPr>
          <w:p>
            <w:r>
              <w:t>Failure can normalize or propagate socially even without malicious intent.</w:t>
            </w:r>
          </w:p>
        </w:tc>
      </w:tr>
      <w:tr>
        <w:tc>
          <w:tcPr>
            <w:tcW w:type="dxa" w:w="2498"/>
            <w:tcMar>
              <w:top w:w="70" w:type="dxa"/>
              <w:start w:w="80" w:type="dxa"/>
              <w:bottom w:w="70" w:type="dxa"/>
              <w:end w:w="80" w:type="dxa"/>
            </w:tcMar>
          </w:tcPr>
          <w:p>
            <w:r>
              <w:t>Biological</w:t>
            </w:r>
          </w:p>
        </w:tc>
        <w:tc>
          <w:tcPr>
            <w:tcW w:type="dxa" w:w="2498"/>
            <w:tcMar>
              <w:top w:w="70" w:type="dxa"/>
              <w:start w:w="80" w:type="dxa"/>
              <w:bottom w:w="70" w:type="dxa"/>
              <w:end w:w="80" w:type="dxa"/>
            </w:tcMar>
          </w:tcPr>
          <w:p>
            <w:r>
              <w:t>Hosts, exposure, replication, shedding, environment, physical transport</w:t>
            </w:r>
          </w:p>
        </w:tc>
        <w:tc>
          <w:tcPr>
            <w:tcW w:type="dxa" w:w="2498"/>
            <w:tcMar>
              <w:top w:w="70" w:type="dxa"/>
              <w:start w:w="80" w:type="dxa"/>
              <w:bottom w:w="70" w:type="dxa"/>
              <w:end w:w="80" w:type="dxa"/>
            </w:tcMar>
          </w:tcPr>
          <w:p>
            <w:r>
              <w:t>Physical transmission, dose, replication, incubation, host biology</w:t>
            </w:r>
          </w:p>
        </w:tc>
        <w:tc>
          <w:tcPr>
            <w:tcW w:type="dxa" w:w="2498"/>
            <w:tcMar>
              <w:top w:w="70" w:type="dxa"/>
              <w:start w:w="80" w:type="dxa"/>
              <w:bottom w:w="70" w:type="dxa"/>
              <w:end w:w="80" w:type="dxa"/>
            </w:tcMar>
          </w:tcPr>
          <w:p>
            <w:r>
              <w:t>Containment acts on physical pathways and biological timing.</w:t>
            </w:r>
          </w:p>
        </w:tc>
      </w:tr>
      <w:tr>
        <w:tc>
          <w:tcPr>
            <w:tcW w:type="dxa" w:w="2498"/>
            <w:tcMar>
              <w:top w:w="70" w:type="dxa"/>
              <w:start w:w="80" w:type="dxa"/>
              <w:bottom w:w="70" w:type="dxa"/>
              <w:end w:w="80" w:type="dxa"/>
            </w:tcMar>
          </w:tcPr>
          <w:p>
            <w:r>
              <w:t>Digital</w:t>
            </w:r>
          </w:p>
        </w:tc>
        <w:tc>
          <w:tcPr>
            <w:tcW w:type="dxa" w:w="2498"/>
            <w:tcMar>
              <w:top w:w="70" w:type="dxa"/>
              <w:start w:w="80" w:type="dxa"/>
              <w:bottom w:w="70" w:type="dxa"/>
              <w:end w:w="80" w:type="dxa"/>
            </w:tcMar>
          </w:tcPr>
          <w:p>
            <w:r>
              <w:t>Credentials, identities, packages, artifacts, APIs, services, networks, agent state, control planes</w:t>
            </w:r>
          </w:p>
        </w:tc>
        <w:tc>
          <w:tcPr>
            <w:tcW w:type="dxa" w:w="2498"/>
            <w:tcMar>
              <w:top w:w="70" w:type="dxa"/>
              <w:start w:w="80" w:type="dxa"/>
              <w:bottom w:w="70" w:type="dxa"/>
              <w:end w:w="80" w:type="dxa"/>
            </w:tcMar>
          </w:tcPr>
          <w:p>
            <w:r>
              <w:t>Authentication, segmentation, permissions, rate limits, compute, network and tool latency</w:t>
            </w:r>
          </w:p>
        </w:tc>
        <w:tc>
          <w:tcPr>
            <w:tcW w:type="dxa" w:w="2498"/>
            <w:tcMar>
              <w:top w:w="70" w:type="dxa"/>
              <w:start w:w="80" w:type="dxa"/>
              <w:bottom w:w="70" w:type="dxa"/>
              <w:end w:w="80" w:type="dxa"/>
            </w:tcMar>
          </w:tcPr>
          <w:p>
            <w:r>
              <w:t>Once a valid trust path exists, traversal and fan-out can occur on machine timescales.</w:t>
            </w:r>
          </w:p>
        </w:tc>
      </w:tr>
    </w:tbl>
    <w:p>
      <w:pPr>
        <w:pStyle w:val="PullQuote"/>
      </w:pPr>
      <w:r>
        <w:t>The danger is not that everything becomes a virus. The danger is that very different systems can fail in parallel ways — and digital systems can traverse reachable failure structures far faster than the humans responsible for recognizing and containing them.</w:t>
      </w:r>
    </w:p>
    <w:p>
      <w:pPr>
        <w:pStyle w:val="Heading1"/>
      </w:pPr>
      <w:r>
        <w:t>5. The Machine Clock: Boundary Failure to External Effect</w:t>
      </w:r>
    </w:p>
    <w:p>
      <w:r>
        <w:rPr>
          <w:b/>
        </w:rPr>
        <w:t xml:space="preserve">Do not freeze an unsupported stopwatch into the thesis. </w:t>
      </w:r>
      <w:r>
        <w:t>The report should not claim that every escape-to-external-effect chain takes 'under a minute.' The defensible engineering statement is that once an intended digital boundary fails, subsequent steps may operate on machine timescales, and the exact interval depends on architecture.</w:t>
      </w:r>
    </w:p>
    <w:p>
      <w:pPr>
        <w:jc w:val="left"/>
      </w:pPr>
      <w:r>
        <w:t>Useful latency model:</w:t>
      </w:r>
    </w:p>
    <w:p>
      <w:pPr>
        <w:jc w:val="center"/>
      </w:pPr>
      <w:r>
        <w:rPr>
          <w:rFonts w:ascii="Consolas" w:hAnsi="Consolas"/>
          <w:b/>
          <w:sz w:val="22"/>
        </w:rPr>
        <w:t>T_total = T_boundary + T_internal_traversal + T_authority + T_model/tool + T_external_action</w:t>
      </w:r>
    </w:p>
    <w:p>
      <w:pPr>
        <w:pStyle w:val="ListBullet"/>
        <w:spacing w:after="60"/>
      </w:pPr>
      <w:r>
        <w:t>T_boundary: time required to cross the intended sandbox or isolation boundary.</w:t>
      </w:r>
    </w:p>
    <w:p>
      <w:pPr>
        <w:pStyle w:val="ListBullet"/>
        <w:spacing w:after="60"/>
      </w:pPr>
      <w:r>
        <w:t>T_internal_traversal: time to move through reachable internal trust paths.</w:t>
      </w:r>
    </w:p>
    <w:p>
      <w:pPr>
        <w:pStyle w:val="ListBullet"/>
        <w:spacing w:after="60"/>
      </w:pPr>
      <w:r>
        <w:t>T_authority: time to obtain or reuse credentials, permissions, write paths, or service authority.</w:t>
      </w:r>
    </w:p>
    <w:p>
      <w:pPr>
        <w:pStyle w:val="ListBullet"/>
        <w:spacing w:after="60"/>
      </w:pPr>
      <w:r>
        <w:t>T_model/tool: inference, orchestration, planning, or tool-call latency.</w:t>
      </w:r>
    </w:p>
    <w:p>
      <w:pPr>
        <w:pStyle w:val="ListBullet"/>
        <w:spacing w:after="60"/>
      </w:pPr>
      <w:r>
        <w:t>T_external_action: time for the external service, registry, device, model, or endpoint to accept and execute the action.</w:t>
      </w:r>
    </w:p>
    <w:p>
      <w:r>
        <w:rPr>
          <w:b/>
        </w:rPr>
        <w:t xml:space="preserve">Human comparison clock: </w:t>
      </w:r>
      <w:r>
        <w:t>detection + comprehension + escalation + authority + coordination + intervention. If the machine traverses the failure graph before the human response loop can establish what happened and who can stop it, the architecture is already behind.</w:t>
      </w:r>
    </w:p>
    <w:p>
      <w:pPr>
        <w:pStyle w:val="Heading1"/>
      </w:pPr>
      <w:r>
        <w:t>6. Fan-Out Is More Important Than Model Count</w:t>
      </w:r>
    </w:p>
    <w:p>
      <w:r>
        <w:rPr>
          <w:b/>
        </w:rPr>
        <w:t xml:space="preserve">One endpoint can be a junction between many systems. </w:t>
      </w:r>
      <w:r>
        <w:t>A phone, workstation, service account, browser session, or orchestration host may simultaneously connect to multiple LLMs, cloud accounts, repositories, messaging systems, local files, APIs, package registries, or automation tools.</w:t>
      </w:r>
    </w:p>
    <w:p>
      <w:r>
        <w:rPr>
          <w:b/>
        </w:rPr>
        <w:t xml:space="preserve">The important question is not 'How many AI systems are there?' </w:t>
      </w:r>
      <w:r>
        <w:t xml:space="preserve">It is: </w:t>
      </w:r>
      <w:r>
        <w:rPr>
          <w:b/>
          <w:color w:val="375F91"/>
        </w:rPr>
        <w:t>How many supposedly separate systems can one compromised identity, device, artifact, or control path reach?</w:t>
      </w:r>
    </w:p>
    <w:p>
      <w:r>
        <w:t>This is a trust-graph problem. Physical separation is not sufficient evidence of independence when systems share identity, packages, cloud control planes, secrets, vendors, writable integration layers, or remote interfaces.</w:t>
      </w:r>
    </w:p>
    <w:p>
      <w:pPr>
        <w:pStyle w:val="Heading1"/>
      </w:pPr>
      <w:r>
        <w:t>7. Polymorphism, Persistence, and the False All-Clear</w:t>
      </w:r>
    </w:p>
    <w:p>
      <w:r>
        <w:rPr>
          <w:b/>
        </w:rPr>
        <w:t xml:space="preserve">Adaptive or polymorphic behavior compresses the useful recognition window. </w:t>
      </w:r>
      <w:r>
        <w:t>It can make signature-based identification less dependable because the same underlying failure process may not continue to present in the same form.</w:t>
      </w:r>
    </w:p>
    <w:p>
      <w:r>
        <w:rPr>
          <w:b/>
        </w:rPr>
        <w:t xml:space="preserve">Containment is not the same as eradication. </w:t>
      </w:r>
      <w:r>
        <w:t>Killing the visible process does not prove the incident is over if another branch retains authority, persistence, credentials, writable state, a trusted artifact, a backup path, a remote session, or another route back into the system.</w:t>
      </w:r>
    </w:p>
    <w:p>
      <w:pPr>
        <w:pStyle w:val="ListBullet"/>
        <w:spacing w:after="60"/>
      </w:pPr>
      <w:r>
        <w:t>Revoke compromised authority, not merely the first process observed.</w:t>
      </w:r>
    </w:p>
    <w:p>
      <w:pPr>
        <w:pStyle w:val="ListBullet"/>
        <w:spacing w:after="60"/>
      </w:pPr>
      <w:r>
        <w:t>Sever reachable trust paths and rotate or invalidate credentials.</w:t>
      </w:r>
    </w:p>
    <w:p>
      <w:pPr>
        <w:pStyle w:val="ListBullet"/>
        <w:spacing w:after="60"/>
      </w:pPr>
      <w:r>
        <w:t>Re-establish trusted provenance for artifacts, packages, models, and configurations.</w:t>
      </w:r>
    </w:p>
    <w:p>
      <w:pPr>
        <w:pStyle w:val="ListBullet"/>
        <w:spacing w:after="60"/>
      </w:pPr>
      <w:r>
        <w:t>Verify independent interlocks and monitoring from a trust root not controlled by the compromised environment.</w:t>
      </w:r>
    </w:p>
    <w:p>
      <w:pPr>
        <w:pStyle w:val="ListBullet"/>
        <w:spacing w:after="60"/>
      </w:pPr>
      <w:r>
        <w:t>Do not declare an all-clear until persistence and re-entry paths have been tested.</w:t>
      </w:r>
    </w:p>
    <w:p>
      <w:r>
        <w:rPr>
          <w:b/>
        </w:rPr>
        <w:t xml:space="preserve">HDA link: </w:t>
      </w:r>
      <w:r>
        <w:t>This is exactly where Premature-All-Clear, Recovery-Before-Containment, Fake-Kill-Switch, Same-Key, Backup-Bridge, and Hidden-Dependency failure patterns become operationally relevant.</w:t>
      </w:r>
    </w:p>
    <w:p>
      <w:pPr>
        <w:pStyle w:val="Heading1"/>
      </w:pPr>
      <w:r>
        <w:t>8. What the Report Is Actually Asking People to Test</w:t>
      </w:r>
    </w:p>
    <w:p>
      <w:r>
        <w:rPr>
          <w:b/>
        </w:rPr>
        <w:t xml:space="preserve">The test target is not one monster scenario. </w:t>
      </w:r>
      <w:r>
        <w:t>The test target is the composition of boundaries, clocks, trust paths, and independent safeguards.</w:t>
      </w:r>
    </w:p>
    <w:p>
      <w:pPr>
        <w:pStyle w:val="ListBullet"/>
        <w:spacing w:after="60"/>
      </w:pPr>
      <w:r>
        <w:t>Can an evaluation or sandbox environment produce unintended external effects despite being described as isolated?</w:t>
      </w:r>
    </w:p>
    <w:p>
      <w:pPr>
        <w:pStyle w:val="ListBullet"/>
        <w:spacing w:after="60"/>
      </w:pPr>
      <w:r>
        <w:t>Can one identity, artifact, package, service, or orchestration layer bridge environments that are assumed to be independent?</w:t>
      </w:r>
    </w:p>
    <w:p>
      <w:pPr>
        <w:pStyle w:val="ListBullet"/>
        <w:spacing w:after="60"/>
      </w:pPr>
      <w:r>
        <w:t>How much fan-out exists from one endpoint or service account into other models, tools, cloud services, repositories, or control systems?</w:t>
      </w:r>
    </w:p>
    <w:p>
      <w:pPr>
        <w:pStyle w:val="ListBullet"/>
        <w:spacing w:after="60"/>
      </w:pPr>
      <w:r>
        <w:t>Do artifact-promotion and software-supply-chain paths remain writable from lower-trust environments?</w:t>
      </w:r>
    </w:p>
    <w:p>
      <w:pPr>
        <w:pStyle w:val="ListBullet"/>
        <w:spacing w:after="60"/>
      </w:pPr>
      <w:r>
        <w:t>Can autonomous or semi-autonomous systems act faster than meaningful human review and intervention?</w:t>
      </w:r>
    </w:p>
    <w:p>
      <w:pPr>
        <w:pStyle w:val="ListBullet"/>
        <w:spacing w:after="60"/>
      </w:pPr>
      <w:r>
        <w:t>Do supposedly independent safeguards share the same cloud, identity, model family, key material, logging plane, or orchestration dependency?</w:t>
      </w:r>
    </w:p>
    <w:p>
      <w:pPr>
        <w:pStyle w:val="ListBullet"/>
        <w:spacing w:after="60"/>
      </w:pPr>
      <w:r>
        <w:t>Can a digital compromise reach scientific or industrial hardware, and if so, is final safety enforcement deterministic and outside model authority?</w:t>
      </w:r>
    </w:p>
    <w:p>
      <w:pPr>
        <w:pStyle w:val="ListBullet"/>
        <w:spacing w:after="60"/>
      </w:pPr>
      <w:r>
        <w:t>After containment, what proves that no surviving branch, credential, state, or artifact can re-enter?</w:t>
      </w:r>
    </w:p>
    <w:p>
      <w:pPr>
        <w:pStyle w:val="ListBullet"/>
        <w:spacing w:after="60"/>
      </w:pPr>
      <w:r>
        <w:t>What evidence would genuinely falsify or reduce the concern: hardware-enforced isolation, broken trust bridges, independently tested deterministic interlocks, mature cyberbiosecurity standards, adversarial validation, and transparent near-miss reporting?</w:t>
      </w:r>
    </w:p>
    <w:p>
      <w:pPr>
        <w:pStyle w:val="Heading1"/>
      </w:pPr>
      <w:r>
        <w:t>9. Evidence Boundary</w:t>
      </w:r>
    </w:p>
    <w:p>
      <w:r>
        <w:rPr>
          <w:b/>
        </w:rPr>
        <w:t xml:space="preserve">This companion tightens interpretation without upgrading inference into evidence. </w:t>
      </w:r>
      <w:r>
        <w:t>The existing report's core discipline remains controlling: constituent mechanisms have public support at different evidence grades; the complete end-to-end biological catastrophe remains unobserved in public evidence; and a numerical full-chain probability is not established.</w:t>
      </w:r>
    </w:p>
    <w:p>
      <w:pPr>
        <w:pStyle w:val="ListBullet"/>
        <w:spacing w:after="60"/>
      </w:pPr>
      <w:r>
        <w:t>Observed components are not erased because the whole chain has not occurred.</w:t>
      </w:r>
    </w:p>
    <w:p>
      <w:pPr>
        <w:pStyle w:val="ListBullet"/>
        <w:spacing w:after="60"/>
      </w:pPr>
      <w:r>
        <w:t>Observed components do not become proof that the full chain is likely.</w:t>
      </w:r>
    </w:p>
    <w:p>
      <w:pPr>
        <w:pStyle w:val="ListBullet"/>
        <w:spacing w:after="60"/>
      </w:pPr>
      <w:r>
        <w:t>Unknown is not proof of danger.</w:t>
      </w:r>
    </w:p>
    <w:p>
      <w:pPr>
        <w:pStyle w:val="ListBullet"/>
        <w:spacing w:after="60"/>
      </w:pPr>
      <w:r>
        <w:t>Unknown is also not evidence of safety.</w:t>
      </w:r>
    </w:p>
    <w:p>
      <w:pPr>
        <w:pStyle w:val="ListBullet"/>
        <w:spacing w:after="60"/>
      </w:pPr>
      <w:r>
        <w:t>Where a bridge is demonstrably broken and independent controls survive realistic adversarial testing, concern should decrease.</w:t>
      </w:r>
    </w:p>
    <w:p>
      <w:pPr>
        <w:pStyle w:val="RuleText"/>
      </w:pPr>
      <w:r>
        <w:t>Feasibility framing, not inevitability. Consequence-driven engineering, not invented probability.</w:t>
      </w:r>
    </w:p>
    <w:p>
      <w:pPr>
        <w:pStyle w:val="Heading1"/>
      </w:pPr>
      <w:r>
        <w:t>10. Citation and Attribution Supplement — Without Rewriting the PDFs</w:t>
      </w:r>
    </w:p>
    <w:p>
      <w:r>
        <w:t>The frozen PDFs should not be reopened merely to improve bibliography formatting. Use this companion and the GitHub page to provide citation hygiene, contributor credit, and any later source additions.</w:t>
      </w:r>
    </w:p>
    <w:p>
      <w:pPr>
        <w:pStyle w:val="ListBullet"/>
        <w:spacing w:after="60"/>
      </w:pPr>
      <w:r>
        <w:t>For event claims, prefer the first-party incident source and pair it with an independent review when one exists.</w:t>
      </w:r>
    </w:p>
    <w:p>
      <w:pPr>
        <w:pStyle w:val="ListBullet"/>
        <w:spacing w:after="60"/>
      </w:pPr>
      <w:r>
        <w:t>Where a paper has named authors, credit the authors rather than citing only the institution when practical.</w:t>
      </w:r>
    </w:p>
    <w:p>
      <w:pPr>
        <w:pStyle w:val="ListBullet"/>
        <w:spacing w:after="60"/>
      </w:pPr>
      <w:r>
        <w:t>Where a collaboration materially contributed to a capability demonstration, credit the collaborating institution as well as the publisher.</w:t>
      </w:r>
    </w:p>
    <w:p>
      <w:pPr>
        <w:pStyle w:val="ListBullet"/>
        <w:spacing w:after="60"/>
      </w:pPr>
      <w:r>
        <w:t>Keep direct sources from affected parties when they provide distinct forensic or technical perspective; do not let a single organization's narrative stand in for the entire event.</w:t>
      </w:r>
    </w:p>
    <w:p>
      <w:pPr>
        <w:pStyle w:val="ListBullet"/>
        <w:spacing w:after="60"/>
      </w:pPr>
      <w:r>
        <w:t>Historical NASA/CSB/NIST/FAA material supports human-failure classes and organizational mechanisms; it does not prove the AI/bio cascade.</w:t>
      </w:r>
    </w:p>
    <w:p>
      <w:pPr>
        <w:pStyle w:val="ListBullet"/>
        <w:spacing w:after="60"/>
      </w:pPr>
      <w:r>
        <w:t>Author-defined concepts such as CPX and HDA-100 should remain explicitly author-defined. External literature supports analogous mechanisms, not authorship of those frameworks.</w:t>
      </w:r>
    </w:p>
    <w:p>
      <w:r>
        <w:rPr>
          <w:b/>
        </w:rPr>
        <w:t xml:space="preserve">Citation-supplement rule: </w:t>
      </w:r>
      <w:r>
        <w:t>If a new primary source or corrected attribution is discovered after freeze, append it to the GitHub citation supplement with a date and reason. Do not alter the historical PDF merely to make the reference list look newer.</w:t>
      </w:r>
    </w:p>
    <w:p>
      <w:pPr>
        <w:pStyle w:val="Heading1"/>
      </w:pPr>
      <w:r>
        <w:t>11. Sanitized and Unsanitized Variants Remain Side by Side</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E9EDF2"/>
          </w:tcPr>
          <w:p>
            <w:r>
              <w:rPr>
                <w:b/>
              </w:rPr>
              <w:t>Variant</w:t>
            </w:r>
          </w:p>
        </w:tc>
        <w:tc>
          <w:tcPr>
            <w:tcW w:type="dxa" w:w="3331"/>
            <w:shd w:fill="E9EDF2"/>
          </w:tcPr>
          <w:p>
            <w:r>
              <w:rPr>
                <w:b/>
              </w:rPr>
              <w:t>Purpose</w:t>
            </w:r>
          </w:p>
        </w:tc>
        <w:tc>
          <w:tcPr>
            <w:tcW w:type="dxa" w:w="3331"/>
            <w:shd w:fill="E9EDF2"/>
          </w:tcPr>
          <w:p>
            <w:r>
              <w:rPr>
                <w:b/>
              </w:rPr>
              <w:t>Control rule</w:t>
            </w:r>
          </w:p>
        </w:tc>
      </w:tr>
      <w:tr>
        <w:tc>
          <w:tcPr>
            <w:tcW w:type="dxa" w:w="3331"/>
            <w:tcMar>
              <w:top w:w="70" w:type="dxa"/>
              <w:start w:w="80" w:type="dxa"/>
              <w:bottom w:w="70" w:type="dxa"/>
              <w:end w:w="80" w:type="dxa"/>
            </w:tcMar>
          </w:tcPr>
          <w:p>
            <w:r>
              <w:t>Sanitized Public Review</w:t>
            </w:r>
          </w:p>
        </w:tc>
        <w:tc>
          <w:tcPr>
            <w:tcW w:type="dxa" w:w="3331"/>
            <w:tcMar>
              <w:top w:w="70" w:type="dxa"/>
              <w:start w:w="80" w:type="dxa"/>
              <w:bottom w:w="70" w:type="dxa"/>
              <w:end w:w="80" w:type="dxa"/>
            </w:tcMar>
          </w:tcPr>
          <w:p>
            <w:r>
              <w:t>Public distribution, citation, policy and technical review.</w:t>
            </w:r>
          </w:p>
        </w:tc>
        <w:tc>
          <w:tcPr>
            <w:tcW w:type="dxa" w:w="3331"/>
            <w:tcMar>
              <w:top w:w="70" w:type="dxa"/>
              <w:start w:w="80" w:type="dxa"/>
              <w:bottom w:w="70" w:type="dxa"/>
              <w:end w:w="80" w:type="dxa"/>
            </w:tcMar>
          </w:tcPr>
          <w:p>
            <w:r>
              <w:t>Operationally sensitive detail may remain abstracted; causal mechanism, uncertainty, disagreement, and authorship must not be flattened.</w:t>
            </w:r>
          </w:p>
        </w:tc>
      </w:tr>
      <w:tr>
        <w:tc>
          <w:tcPr>
            <w:tcW w:type="dxa" w:w="3331"/>
            <w:tcMar>
              <w:top w:w="70" w:type="dxa"/>
              <w:start w:w="80" w:type="dxa"/>
              <w:bottom w:w="70" w:type="dxa"/>
              <w:end w:w="80" w:type="dxa"/>
            </w:tcMar>
          </w:tcPr>
          <w:p>
            <w:r>
              <w:t>Internal / Unsanitized Reconstruction</w:t>
            </w:r>
          </w:p>
        </w:tc>
        <w:tc>
          <w:tcPr>
            <w:tcW w:type="dxa" w:w="3331"/>
            <w:tcMar>
              <w:top w:w="70" w:type="dxa"/>
              <w:start w:w="80" w:type="dxa"/>
              <w:bottom w:w="70" w:type="dxa"/>
              <w:end w:w="80" w:type="dxa"/>
            </w:tcMar>
          </w:tcPr>
          <w:p>
            <w:r>
              <w:t>Preserve full rhetorical and engineering meaning, blunt institutional-accountability language, and mechanism-level specificity.</w:t>
            </w:r>
          </w:p>
        </w:tc>
        <w:tc>
          <w:tcPr>
            <w:tcW w:type="dxa" w:w="3331"/>
            <w:tcMar>
              <w:top w:w="70" w:type="dxa"/>
              <w:start w:w="80" w:type="dxa"/>
              <w:bottom w:w="70" w:type="dxa"/>
              <w:end w:w="80" w:type="dxa"/>
            </w:tcMar>
          </w:tcPr>
          <w:p>
            <w:r>
              <w:t>Must remain labeled RECONSTRUCTION / NOT A RECOVERED HISTORICAL DRAFT. Evidence boundaries remain identical.</w:t>
            </w:r>
          </w:p>
        </w:tc>
      </w:tr>
    </w:tbl>
    <w:p>
      <w:pPr>
        <w:pStyle w:val="Heading1"/>
      </w:pPr>
      <w:r>
        <w:t>12. Recommended GitHub Top-of-Page Framing</w:t>
      </w:r>
    </w:p>
    <w:tbl>
      <w:tblPr>
        <w:tblW w:type="auto" w:w="0"/>
        <w:jc w:val="center"/>
        <w:tblLook w:firstColumn="1" w:firstRow="1" w:lastColumn="0" w:lastRow="0" w:noHBand="0" w:noVBand="1" w:val="04A0"/>
      </w:tblPr>
      <w:tblGrid>
        <w:gridCol w:w="9994"/>
      </w:tblGrid>
      <w:tr>
        <w:tc>
          <w:tcPr>
            <w:tcW w:type="dxa" w:w="9994"/>
            <w:shd w:fill="F4F6F8"/>
            <w:tcMar>
              <w:top w:w="150" w:type="dxa"/>
              <w:start w:w="160" w:type="dxa"/>
              <w:bottom w:w="150" w:type="dxa"/>
              <w:end w:w="160" w:type="dxa"/>
            </w:tcMar>
          </w:tcPr>
          <w:p>
            <w:r>
              <w:rPr>
                <w:b/>
                <w:color w:val="B42D2D"/>
              </w:rPr>
              <w:t>SCOPE OF ACCOUNTABILITY</w:t>
              <w:br/>
            </w:r>
            <w:r>
              <w:t>This project is not an accusation against one company, one laboratory, one university, or one research team. It is a field-level warning.</w:t>
              <w:br/>
              <w:br/>
              <w:t>Named organizations appear because their public incidents, experiments, disclosures, standards work, or research provide evidence for specific mechanisms discussed here. They are evidence points, not the sole target.</w:t>
              <w:br/>
              <w:br/>
              <w:t>The target is the field-wide failure structure: isolation assumptions, shared trust paths, excessive authority, machine-speed action, human and institutional failure, weak independence, and cross-domain control planes whose individual safeguards may fail together.</w:t>
              <w:br/>
              <w:br/>
            </w:r>
            <w:r>
              <w:rPr>
                <w:b/>
              </w:rPr>
              <w:t>Institutional accountability is not institutional accusation.</w:t>
              <w:br/>
              <w:br/>
            </w:r>
            <w:r>
              <w:t>The field needs to get its shit together before individually survivable weaknesses line up into a compound failure.</w:t>
            </w:r>
          </w:p>
        </w:tc>
      </w:tr>
    </w:tbl>
    <w:p>
      <w:pPr>
        <w:pStyle w:val="Heading1"/>
      </w:pPr>
      <w:r>
        <w:t>13. Canonical One-Paragraph Interpretation</w:t>
      </w:r>
    </w:p>
    <w:p>
      <w:pPr>
        <w:pStyle w:val="PullQuote"/>
      </w:pPr>
      <w:r>
        <w:t>Perfect Storm at the Control Plane is a compound-failure systems framework. It examines how different digital, human, institutional, and cyber-physical failure mechanisms can become coupled through shared trust and control planes, especially when machine-speed action outruns human-speed containment. AI-LC-IEV / viromimetics is one author-defined conceptual branch in that lineage, not the required mechanism of the report. The complete catastrophic chain has not been publicly observed; the purpose is to test whether the bridges and safeguards that would have to stop it are genuinely independent, deterministic, and survivable under compound failure.</w:t>
      </w:r>
    </w:p>
    <w:p>
      <w:pPr>
        <w:pStyle w:val="Heading1"/>
      </w:pPr>
      <w:r>
        <w:t>14. Change-Control Contract for Future Work</w:t>
      </w:r>
    </w:p>
    <w:p>
      <w:pPr>
        <w:pStyle w:val="ListNumber"/>
        <w:spacing w:after="60"/>
      </w:pPr>
      <w:r>
        <w:t>The two current PDFs are frozen publication artifacts.</w:t>
      </w:r>
    </w:p>
    <w:p>
      <w:pPr>
        <w:pStyle w:val="ListNumber"/>
        <w:spacing w:after="60"/>
      </w:pPr>
      <w:r>
        <w:t>This companion is additive and does not supersede them.</w:t>
      </w:r>
    </w:p>
    <w:p>
      <w:pPr>
        <w:pStyle w:val="ListNumber"/>
        <w:spacing w:after="60"/>
      </w:pPr>
      <w:r>
        <w:t>Any factual correction discovered later is recorded in an errata/citation ledger with date, source, and effect on the thesis.</w:t>
      </w:r>
    </w:p>
    <w:p>
      <w:pPr>
        <w:pStyle w:val="ListNumber"/>
        <w:spacing w:after="60"/>
      </w:pPr>
      <w:r>
        <w:t>Any substantive conceptual expansion becomes Companion v2.0 or a new report version; it does not silently replace v1.0.</w:t>
      </w:r>
    </w:p>
    <w:p>
      <w:pPr>
        <w:pStyle w:val="ListNumber"/>
        <w:spacing w:after="60"/>
      </w:pPr>
      <w:r>
        <w:t>Any promoted text from the unsanitized reconstruction into a future public report must be recorded in a diff/revision ledger.</w:t>
      </w:r>
    </w:p>
    <w:p>
      <w:pPr>
        <w:pStyle w:val="ListNumber"/>
        <w:spacing w:after="60"/>
      </w:pPr>
      <w:r>
        <w:t>No reconstructed historical text may be represented as recovered source material.</w:t>
      </w:r>
    </w:p>
    <w:p>
      <w:pPr>
        <w:pStyle w:val="ListNumber"/>
        <w:spacing w:after="60"/>
      </w:pPr>
      <w:r>
        <w:t>No new source may be cited as proving more than it actually supports.</w:t>
      </w:r>
    </w:p>
    <w:p>
      <w:pPr>
        <w:pStyle w:val="ListNumber"/>
        <w:spacing w:after="60"/>
      </w:pPr>
      <w:r>
        <w:t>No later summary may collapse Perfect Storm into a single biological, viromimetic, malware, company-specific, or one-incident explanation.</w:t>
      </w:r>
    </w:p>
    <w:p>
      <w:pPr>
        <w:pStyle w:val="ListNumber"/>
        <w:spacing w:after="60"/>
      </w:pPr>
      <w:r>
        <w:t>No tone cleanup may erase the field-level accountability argument, the HDA mechanism, the evidence-status boundaries, the composability objection, or the requirement for independent deterministic interlocks.</w:t>
      </w:r>
    </w:p>
    <w:p>
      <w:pPr>
        <w:pStyle w:val="Heading1"/>
      </w:pPr>
      <w:r>
        <w:t>Source Anchors Used for This Companion</w:t>
      </w:r>
    </w:p>
    <w:p>
      <w:pPr>
        <w:pStyle w:val="SourceText"/>
      </w:pPr>
      <w:r>
        <w:t>• Perfect_Storm_Control_Plane_BSL_Addendum_v1_3_ADDITIVE_2026-09-03.pdf — Sanitized Public Review; source-integrity note; author-source lineage; public source register; HDA-100 appendix.</w:t>
      </w:r>
    </w:p>
    <w:p>
      <w:pPr>
        <w:pStyle w:val="SourceText"/>
      </w:pPr>
      <w:r>
        <w:t>• Perfect_Storm_Control_Plane_INTERNAL_UNSANITIZED_RECONSTRUCTION_2026-09-07.docx — reconstructed internal-review edition; evidence-status labels; compound-failure framing; CPX axis; HDA-100; sanitation ledger; verified public source register.</w:t>
      </w:r>
    </w:p>
    <w:p>
      <w:pPr>
        <w:pStyle w:val="SourceText"/>
      </w:pPr>
      <w:r>
        <w:t>• AI_and_Quantum_Live_Code_In_Executio_Viromimetics_Foundational_Source_Record_WORD_FOR_WORD.pdf and source record — author-defined AI-LC-IEV conceptual lineage and explicit source-integrity boundary regarding the incomplete quantum manuscript.</w:t>
      </w:r>
    </w:p>
    <w:p>
      <w:pPr>
        <w:pStyle w:val="SourceText"/>
      </w:pPr>
      <w:r>
        <w:t>• Enhanced_BSL_Containment_Architecture_v2.0_SANITIZED.pdf — earlier author lineage on human-failure-resilient containment and tiered architecture.</w:t>
      </w:r>
    </w:p>
    <w:p>
      <w:pPr>
        <w:pStyle w:val="SourceText"/>
      </w:pPr>
      <w:r>
        <w:t>• Viral_Vector_Decision_Table_Appendix — governance aid / conceptual decision logic; not a substitute for recognized biosafety standards or institutional review.</w:t>
      </w:r>
    </w:p>
    <w:p>
      <w:pPr>
        <w:pStyle w:val="SmallNote"/>
        <w:jc w:val="center"/>
      </w:pPr>
      <w:r>
        <w:t>END OF COMPANION v1.0 — frozen-source clarification only</w:t>
      </w:r>
    </w:p>
    <w:sectPr w:rsidR="00FC693F" w:rsidRPr="0006063C" w:rsidSect="00034616">
      <w:headerReference w:type="default" r:id="rId9"/>
      <w:footerReference w:type="default" r:id="rId10"/>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center"/>
    </w:pPr>
    <w:r>
      <w:t>Companion v1.0 · 7 September 2026 · Source PDFs remain frozen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Pr>
    <w:r>
      <w:t>PERFECT STORM AT THE CONTROL PLANE — FROZEN SOURCE COMPANION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61B22"/>
      <w:sz w:val="30"/>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4D5A6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75F9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61B22"/>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opeLabel">
    <w:name w:val="ScopeLabel"/>
    <w:basedOn w:val="Normal"/>
    <w:rPr>
      <w:rFonts w:ascii="Aptos" w:hAnsi="Aptos"/>
      <w:b/>
      <w:i w:val="0"/>
      <w:color w:val="B42D2D"/>
      <w:sz w:val="18"/>
    </w:rPr>
  </w:style>
  <w:style w:type="paragraph" w:customStyle="1" w:styleId="SmallNote">
    <w:name w:val="SmallNote"/>
    <w:basedOn w:val="Normal"/>
    <w:rPr>
      <w:rFonts w:ascii="Aptos" w:hAnsi="Aptos"/>
      <w:b w:val="0"/>
      <w:i w:val="0"/>
      <w:color w:val="69737D"/>
      <w:sz w:val="17"/>
    </w:rPr>
  </w:style>
  <w:style w:type="paragraph" w:customStyle="1" w:styleId="PullQuote">
    <w:name w:val="PullQuote"/>
    <w:basedOn w:val="Normal"/>
    <w:rPr>
      <w:rFonts w:ascii="Aptos" w:hAnsi="Aptos"/>
      <w:b/>
      <w:i w:val="0"/>
      <w:color w:val="161B22"/>
      <w:sz w:val="24"/>
    </w:rPr>
  </w:style>
  <w:style w:type="paragraph" w:customStyle="1" w:styleId="RuleText">
    <w:name w:val="RuleText"/>
    <w:basedOn w:val="Normal"/>
    <w:rPr>
      <w:rFonts w:ascii="Aptos" w:hAnsi="Aptos"/>
      <w:b/>
      <w:i w:val="0"/>
      <w:color w:val="237855"/>
      <w:sz w:val="20"/>
    </w:rPr>
  </w:style>
  <w:style w:type="paragraph" w:customStyle="1" w:styleId="SourceText">
    <w:name w:val="SourceText"/>
    <w:basedOn w:val="Normal"/>
    <w:rPr>
      <w:rFonts w:ascii="Aptos" w:hAnsi="Aptos"/>
      <w:b w:val="0"/>
      <w:i w:val="0"/>
      <w:color w:val="69737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