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Gnome Fortress Phase 2 findings</w:t>
      </w:r>
    </w:p>
    <w:p>
      <w:pPr>
        <w:pStyle w:val="Subtitle"/>
      </w:pPr>
      <w:r>
        <w:t>Project lead briefing</w:t>
      </w:r>
    </w:p>
    <w:p>
      <w:r>
        <w:rPr>
          <w:b w:val="0"/>
        </w:rPr>
        <w:t>From Codex implementation engineering to ChatGPT project leadership</w:t>
      </w:r>
    </w:p>
    <w:p>
      <w:r>
        <w:rPr>
          <w:b w:val="0"/>
        </w:rPr>
        <w:t>Status as of 19 October 2026 at 15:28 UTC</w:t>
      </w:r>
    </w:p>
    <w:p>
      <w:r>
        <w:rPr>
          <w:b/>
        </w:rPr>
        <w:t>Learned movement associations substantially improve survival under the existing 60-slot rules. All 20 memory-enabled worlds survived 20,000 ticks; all 20 ablated worlds became extinct. Keep 60 slots for comparable science and screensaver use. The 100,000-tick endurance runs and final archive reconciliation are still in progress.</w:t>
      </w:r>
    </w:p>
    <w:p>
      <w:pPr>
        <w:pStyle w:val="Heading1"/>
      </w:pPr>
      <w:r>
        <w:t>Memory comparison is complete</w:t>
      </w:r>
    </w:p>
    <w:p>
      <w:r>
        <w:rPr>
          <w:b w:val="0"/>
        </w:rPr>
        <w:t>Twenty matched seeds (1001–1020) ran 20,000 ticks per condition. The ablation masks only learned movement-score readout; association updates, episodic records, visits, inherited traits and all other rules remain intact. Both treatments retain exactly 60 slots. Initial states match; later random draws, ancestry and population density can diverge.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040"/>
        <w:gridCol w:w="2592"/>
        <w:gridCol w:w="2592"/>
      </w:tblGrid>
      <w:tr>
        <w:trPr>
          <w:tblHeader/>
          <w:cantSplit/>
          <w:cantSplit/>
          <w:cantSplit/>
        </w:trPr>
        <w:tc>
          <w:tcPr>
            <w:tcW w:type="dxa" w:w="5040"/>
            <w:vAlign w:val="center"/>
            <w:tcMar>
              <w:top w:w="85" w:type="dxa"/>
              <w:left w:w="85" w:type="dxa"/>
              <w:bottom w:w="85" w:type="dxa"/>
              <w:right w:w="85" w:type="dxa"/>
            </w:tcMar>
            <w:shd w:fill="E8EDF2"/>
          </w:tcPr>
          <w:p>
            <w:pPr>
              <w:spacing w:after="0" w:line="245" w:lineRule="auto"/>
              <w:jc w:val="left"/>
            </w:pPr>
            <w:r>
              <w:rPr>
                <w:b/>
                <w:sz w:val="20"/>
              </w:rPr>
              <w:t>Outcome across 20 seeds</w:t>
            </w:r>
          </w:p>
        </w:tc>
        <w:tc>
          <w:tcPr>
            <w:tcW w:type="dxa" w:w="2592"/>
            <w:vAlign w:val="center"/>
            <w:tcMar>
              <w:top w:w="85" w:type="dxa"/>
              <w:left w:w="85" w:type="dxa"/>
              <w:bottom w:w="85" w:type="dxa"/>
              <w:right w:w="85" w:type="dxa"/>
            </w:tcMar>
            <w:shd w:fill="E8EDF2"/>
          </w:tcPr>
          <w:p>
            <w:pPr>
              <w:spacing w:after="0" w:line="245" w:lineRule="auto"/>
              <w:jc w:val="center"/>
            </w:pPr>
            <w:r>
              <w:rPr>
                <w:b/>
                <w:sz w:val="20"/>
              </w:rPr>
              <w:t>Enabled</w:t>
            </w:r>
          </w:p>
        </w:tc>
        <w:tc>
          <w:tcPr>
            <w:tcW w:type="dxa" w:w="2592"/>
            <w:vAlign w:val="center"/>
            <w:tcMar>
              <w:top w:w="85" w:type="dxa"/>
              <w:left w:w="85" w:type="dxa"/>
              <w:bottom w:w="85" w:type="dxa"/>
              <w:right w:w="85" w:type="dxa"/>
            </w:tcMar>
            <w:shd w:fill="E8EDF2"/>
          </w:tcPr>
          <w:p>
            <w:pPr>
              <w:spacing w:after="0" w:line="245" w:lineRule="auto"/>
              <w:jc w:val="center"/>
            </w:pPr>
            <w:r>
              <w:rPr>
                <w:b/>
                <w:sz w:val="20"/>
              </w:rPr>
              <w:t>Ablated</w:t>
            </w:r>
          </w:p>
        </w:tc>
      </w:tr>
      <w:tr>
        <w:trPr>
          <w:cantSplit/>
          <w:cantSplit/>
          <w:cantSplit/>
        </w:trPr>
        <w:tc>
          <w:tcPr>
            <w:tcW w:type="dxa" w:w="5040"/>
            <w:vAlign w:val="center"/>
            <w:tcMar>
              <w:top w:w="85" w:type="dxa"/>
              <w:left w:w="85" w:type="dxa"/>
              <w:bottom w:w="85" w:type="dxa"/>
              <w:right w:w="85" w:type="dxa"/>
            </w:tcMar>
            <w:shd w:fill="FFFFFF"/>
          </w:tcPr>
          <w:p>
            <w:pPr>
              <w:spacing w:after="0" w:line="245" w:lineRule="auto"/>
              <w:jc w:val="left"/>
            </w:pPr>
            <w:r>
              <w:rPr>
                <w:b w:val="0"/>
                <w:sz w:val="20"/>
              </w:rPr>
              <w:t>Complete-cohort mean lifespan</w:t>
            </w:r>
          </w:p>
        </w:tc>
        <w:tc>
          <w:tcPr>
            <w:tcW w:type="dxa" w:w="2592"/>
            <w:vAlign w:val="center"/>
            <w:tcMar>
              <w:top w:w="85" w:type="dxa"/>
              <w:left w:w="85" w:type="dxa"/>
              <w:bottom w:w="85" w:type="dxa"/>
              <w:right w:w="85" w:type="dxa"/>
            </w:tcMar>
            <w:shd w:fill="FFFFFF"/>
          </w:tcPr>
          <w:p>
            <w:pPr>
              <w:spacing w:after="0" w:line="245" w:lineRule="auto"/>
              <w:jc w:val="center"/>
            </w:pPr>
            <w:r>
              <w:rPr>
                <w:b w:val="0"/>
                <w:sz w:val="20"/>
              </w:rPr>
              <w:t>1,843.6 ticks</w:t>
            </w:r>
          </w:p>
        </w:tc>
        <w:tc>
          <w:tcPr>
            <w:tcW w:type="dxa" w:w="2592"/>
            <w:vAlign w:val="center"/>
            <w:tcMar>
              <w:top w:w="85" w:type="dxa"/>
              <w:left w:w="85" w:type="dxa"/>
              <w:bottom w:w="85" w:type="dxa"/>
              <w:right w:w="85" w:type="dxa"/>
            </w:tcMar>
            <w:shd w:fill="FFFFFF"/>
          </w:tcPr>
          <w:p>
            <w:pPr>
              <w:spacing w:after="0" w:line="245" w:lineRule="auto"/>
              <w:jc w:val="center"/>
            </w:pPr>
            <w:r>
              <w:rPr>
                <w:b w:val="0"/>
                <w:sz w:val="20"/>
              </w:rPr>
              <w:t>631.4 ticks</w:t>
            </w:r>
          </w:p>
        </w:tc>
      </w:tr>
      <w:tr>
        <w:trPr>
          <w:cantSplit/>
          <w:cantSplit/>
          <w:cantSplit/>
        </w:trPr>
        <w:tc>
          <w:tcPr>
            <w:tcW w:type="dxa" w:w="5040"/>
            <w:vAlign w:val="center"/>
            <w:tcMar>
              <w:top w:w="85" w:type="dxa"/>
              <w:left w:w="85" w:type="dxa"/>
              <w:bottom w:w="85" w:type="dxa"/>
              <w:right w:w="85" w:type="dxa"/>
            </w:tcMar>
            <w:shd w:fill="F6F7F8"/>
          </w:tcPr>
          <w:p>
            <w:pPr>
              <w:spacing w:after="0" w:line="245" w:lineRule="auto"/>
              <w:jc w:val="left"/>
            </w:pPr>
            <w:r>
              <w:rPr>
                <w:b w:val="0"/>
                <w:sz w:val="20"/>
              </w:rPr>
              <w:t>Hazard entries per 1,000 decisions</w:t>
            </w:r>
          </w:p>
        </w:tc>
        <w:tc>
          <w:tcPr>
            <w:tcW w:type="dxa" w:w="2592"/>
            <w:vAlign w:val="center"/>
            <w:tcMar>
              <w:top w:w="85" w:type="dxa"/>
              <w:left w:w="85" w:type="dxa"/>
              <w:bottom w:w="85" w:type="dxa"/>
              <w:right w:w="85" w:type="dxa"/>
            </w:tcMar>
            <w:shd w:fill="F6F7F8"/>
          </w:tcPr>
          <w:p>
            <w:pPr>
              <w:spacing w:after="0" w:line="245" w:lineRule="auto"/>
              <w:jc w:val="center"/>
            </w:pPr>
            <w:r>
              <w:rPr>
                <w:b w:val="0"/>
                <w:sz w:val="20"/>
              </w:rPr>
              <w:t>5.652</w:t>
            </w:r>
          </w:p>
        </w:tc>
        <w:tc>
          <w:tcPr>
            <w:tcW w:type="dxa" w:w="2592"/>
            <w:vAlign w:val="center"/>
            <w:tcMar>
              <w:top w:w="85" w:type="dxa"/>
              <w:left w:w="85" w:type="dxa"/>
              <w:bottom w:w="85" w:type="dxa"/>
              <w:right w:w="85" w:type="dxa"/>
            </w:tcMar>
            <w:shd w:fill="F6F7F8"/>
          </w:tcPr>
          <w:p>
            <w:pPr>
              <w:spacing w:after="0" w:line="245" w:lineRule="auto"/>
              <w:jc w:val="center"/>
            </w:pPr>
            <w:r>
              <w:rPr>
                <w:b w:val="0"/>
                <w:sz w:val="20"/>
              </w:rPr>
              <w:t>19.054</w:t>
            </w:r>
          </w:p>
        </w:tc>
      </w:tr>
      <w:tr>
        <w:trPr>
          <w:cantSplit/>
          <w:cantSplit/>
          <w:cantSplit/>
        </w:trPr>
        <w:tc>
          <w:tcPr>
            <w:tcW w:type="dxa" w:w="5040"/>
            <w:vAlign w:val="center"/>
            <w:tcMar>
              <w:top w:w="85" w:type="dxa"/>
              <w:left w:w="85" w:type="dxa"/>
              <w:bottom w:w="85" w:type="dxa"/>
              <w:right w:w="85" w:type="dxa"/>
            </w:tcMar>
            <w:shd w:fill="FFFFFF"/>
          </w:tcPr>
          <w:p>
            <w:pPr>
              <w:spacing w:after="0" w:line="245" w:lineRule="auto"/>
              <w:jc w:val="left"/>
            </w:pPr>
            <w:r>
              <w:rPr>
                <w:b w:val="0"/>
                <w:sz w:val="20"/>
              </w:rPr>
              <w:t>Final living population</w:t>
            </w:r>
          </w:p>
        </w:tc>
        <w:tc>
          <w:tcPr>
            <w:tcW w:type="dxa" w:w="2592"/>
            <w:vAlign w:val="center"/>
            <w:tcMar>
              <w:top w:w="85" w:type="dxa"/>
              <w:left w:w="85" w:type="dxa"/>
              <w:bottom w:w="85" w:type="dxa"/>
              <w:right w:w="85" w:type="dxa"/>
            </w:tcMar>
            <w:shd w:fill="FFFFFF"/>
          </w:tcPr>
          <w:p>
            <w:pPr>
              <w:spacing w:after="0" w:line="245" w:lineRule="auto"/>
              <w:jc w:val="center"/>
            </w:pPr>
            <w:r>
              <w:rPr>
                <w:b w:val="0"/>
                <w:sz w:val="20"/>
              </w:rPr>
              <w:t>364.6 mean</w:t>
            </w:r>
          </w:p>
        </w:tc>
        <w:tc>
          <w:tcPr>
            <w:tcW w:type="dxa" w:w="2592"/>
            <w:vAlign w:val="center"/>
            <w:tcMar>
              <w:top w:w="85" w:type="dxa"/>
              <w:left w:w="85" w:type="dxa"/>
              <w:bottom w:w="85" w:type="dxa"/>
              <w:right w:w="85" w:type="dxa"/>
            </w:tcMar>
            <w:shd w:fill="FFFFFF"/>
          </w:tcPr>
          <w:p>
            <w:pPr>
              <w:spacing w:after="0" w:line="245" w:lineRule="auto"/>
              <w:jc w:val="center"/>
            </w:pPr>
            <w:r>
              <w:rPr>
                <w:b w:val="0"/>
                <w:sz w:val="20"/>
              </w:rPr>
              <w:t>0 in all seeds</w:t>
            </w:r>
          </w:p>
        </w:tc>
      </w:tr>
      <w:tr>
        <w:trPr>
          <w:cantSplit/>
          <w:cantSplit/>
          <w:cantSplit/>
        </w:trPr>
        <w:tc>
          <w:tcPr>
            <w:tcW w:type="dxa" w:w="5040"/>
            <w:vAlign w:val="center"/>
            <w:tcMar>
              <w:top w:w="85" w:type="dxa"/>
              <w:left w:w="85" w:type="dxa"/>
              <w:bottom w:w="85" w:type="dxa"/>
              <w:right w:w="85" w:type="dxa"/>
            </w:tcMar>
            <w:shd w:fill="F6F7F8"/>
          </w:tcPr>
          <w:p>
            <w:pPr>
              <w:spacing w:after="0" w:line="245" w:lineRule="auto"/>
              <w:jc w:val="left"/>
            </w:pPr>
            <w:r>
              <w:rPr>
                <w:b w:val="0"/>
                <w:sz w:val="20"/>
              </w:rPr>
              <w:t>Extinction by tick 20,000</w:t>
            </w:r>
          </w:p>
        </w:tc>
        <w:tc>
          <w:tcPr>
            <w:tcW w:type="dxa" w:w="2592"/>
            <w:vAlign w:val="center"/>
            <w:tcMar>
              <w:top w:w="85" w:type="dxa"/>
              <w:left w:w="85" w:type="dxa"/>
              <w:bottom w:w="85" w:type="dxa"/>
              <w:right w:w="85" w:type="dxa"/>
            </w:tcMar>
            <w:shd w:fill="F6F7F8"/>
          </w:tcPr>
          <w:p>
            <w:pPr>
              <w:spacing w:after="0" w:line="245" w:lineRule="auto"/>
              <w:jc w:val="center"/>
            </w:pPr>
            <w:r>
              <w:rPr>
                <w:b w:val="0"/>
                <w:sz w:val="20"/>
              </w:rPr>
              <w:t>0 of 20</w:t>
            </w:r>
          </w:p>
        </w:tc>
        <w:tc>
          <w:tcPr>
            <w:tcW w:type="dxa" w:w="2592"/>
            <w:vAlign w:val="center"/>
            <w:tcMar>
              <w:top w:w="85" w:type="dxa"/>
              <w:left w:w="85" w:type="dxa"/>
              <w:bottom w:w="85" w:type="dxa"/>
              <w:right w:w="85" w:type="dxa"/>
            </w:tcMar>
            <w:shd w:fill="F6F7F8"/>
          </w:tcPr>
          <w:p>
            <w:pPr>
              <w:spacing w:after="0" w:line="245" w:lineRule="auto"/>
              <w:jc w:val="center"/>
            </w:pPr>
            <w:r>
              <w:rPr>
                <w:b w:val="0"/>
                <w:sz w:val="20"/>
              </w:rPr>
              <w:t>20 of 20</w:t>
            </w:r>
          </w:p>
        </w:tc>
      </w:tr>
    </w:tbl>
    <w:p>
      <w:pPr>
        <w:spacing w:after="0"/>
      </w:pPr>
    </w:p>
    <w:p>
      <w:r>
        <w:rPr>
          <w:b w:val="0"/>
        </w:rPr>
        <w:t>The paired lifespan gain is 1,212.3 ticks (95% bootstrap interval 1,120.6–1,293.3), or 192%. Hazard encounters per decision fell 70.3%; the paired difference is −13.402 per 1,000 decisions (95% interval −14.465 to −12.313). Both contrasts favor enabled memory in every pair. Ablated extinction occurred at ticks 1,113–6,828.</w:t>
      </w:r>
    </w:p>
    <w:p>
      <w:r>
        <w:rPr>
          <w:b w:val="0"/>
        </w:rPr>
        <w:t>Lifespan covers all offspring born by tick 17,000, whose lives are complete at the horizon. Uncertainty resamples the 20 paired world seeds 10,000 times; agents are not independent replicates. Paired-t sensitivity intervals agree with the bootstrap results.</w:t>
      </w:r>
    </w:p>
    <w:p>
      <w:pPr>
        <w:pStyle w:val="Heading1"/>
      </w:pPr>
      <w:r>
        <w:t>Interpretation and tradeoffs</w:t>
      </w:r>
    </w:p>
    <w:p>
      <w:r>
        <w:rPr>
          <w:b w:val="0"/>
        </w:rPr>
        <w:t>This establishes a benefit from the existing experience-weighted association component in this model. It does not establish that online learning beats an equally strong fixed hazard penalty. Visit memory remains active, and the whole-world effect includes density, scheduling and descendant changes.</w:t>
      </w:r>
    </w:p>
    <w:p>
      <w:r>
        <w:rPr>
          <w:b w:val="0"/>
        </w:rPr>
        <w:t>Enabled worlds produced 78,629 offspring versus 782, but also recorded 28,586 starvation deaths versus zero. The ablated populations died too early to face comparable crowding and competing risks. Raw death totals are not fair survival comparisons; exposure-adjusted rates and paired worlds are the basis of the findings.</w:t>
      </w:r>
    </w:p>
    <w:p>
      <w:r>
        <w:br w:type="page"/>
      </w:r>
    </w:p>
    <w:p>
      <w:pPr>
        <w:pStyle w:val="Heading1"/>
      </w:pPr>
      <w:r>
        <w:t>More slots change the experiment</w:t>
      </w:r>
    </w:p>
    <w:p>
      <w:r>
        <w:rPr>
          <w:b w:val="0"/>
        </w:rPr>
        <w:t>On the Ryzen 7 3800X, 15 sequential fresh-process runs used seeds 11–13 for 3,000 ticks at each capacity. The GPU was unused. Full original-engine replay matched at every tested capacity. Rates below summarize the instrumented loop; loading, saving and replay are excluded.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2304"/>
        <w:gridCol w:w="2880"/>
        <w:gridCol w:w="4104"/>
      </w:tblGrid>
      <w:tr>
        <w:trPr>
          <w:tblHeader/>
          <w:cantSplit/>
          <w:cantSplit/>
          <w:cantSplit/>
          <w:cantSplit/>
        </w:trPr>
        <w:tc>
          <w:tcPr>
            <w:tcW w:type="dxa" w:w="936"/>
            <w:vAlign w:val="center"/>
            <w:tcMar>
              <w:top w:w="85" w:type="dxa"/>
              <w:left w:w="85" w:type="dxa"/>
              <w:bottom w:w="85" w:type="dxa"/>
              <w:right w:w="85" w:type="dxa"/>
            </w:tcMar>
            <w:shd w:fill="E8EDF2"/>
          </w:tcPr>
          <w:p>
            <w:pPr>
              <w:spacing w:after="0" w:line="245" w:lineRule="auto"/>
              <w:jc w:val="left"/>
            </w:pPr>
            <w:r>
              <w:rPr>
                <w:b/>
                <w:sz w:val="20"/>
              </w:rPr>
              <w:t>Slots</w:t>
            </w:r>
          </w:p>
        </w:tc>
        <w:tc>
          <w:tcPr>
            <w:tcW w:type="dxa" w:w="2304"/>
            <w:vAlign w:val="center"/>
            <w:tcMar>
              <w:top w:w="85" w:type="dxa"/>
              <w:left w:w="85" w:type="dxa"/>
              <w:bottom w:w="85" w:type="dxa"/>
              <w:right w:w="85" w:type="dxa"/>
            </w:tcMar>
            <w:shd w:fill="E8EDF2"/>
          </w:tcPr>
          <w:p>
            <w:pPr>
              <w:spacing w:after="0" w:line="245" w:lineRule="auto"/>
              <w:jc w:val="center"/>
            </w:pPr>
            <w:r>
              <w:rPr>
                <w:b/>
                <w:sz w:val="20"/>
              </w:rPr>
              <w:t>Ticks per second</w:t>
            </w:r>
          </w:p>
        </w:tc>
        <w:tc>
          <w:tcPr>
            <w:tcW w:type="dxa" w:w="2880"/>
            <w:vAlign w:val="center"/>
            <w:tcMar>
              <w:top w:w="85" w:type="dxa"/>
              <w:left w:w="85" w:type="dxa"/>
              <w:bottom w:w="85" w:type="dxa"/>
              <w:right w:w="85" w:type="dxa"/>
            </w:tcMar>
            <w:shd w:fill="E8EDF2"/>
          </w:tcPr>
          <w:p>
            <w:pPr>
              <w:spacing w:after="0" w:line="245" w:lineRule="auto"/>
              <w:jc w:val="center"/>
            </w:pPr>
            <w:r>
              <w:rPr>
                <w:b/>
                <w:sz w:val="20"/>
              </w:rPr>
              <w:t>Peak loop RSS MiB</w:t>
            </w:r>
          </w:p>
        </w:tc>
        <w:tc>
          <w:tcPr>
            <w:tcW w:type="dxa" w:w="4104"/>
            <w:vAlign w:val="center"/>
            <w:tcMar>
              <w:top w:w="85" w:type="dxa"/>
              <w:left w:w="85" w:type="dxa"/>
              <w:bottom w:w="85" w:type="dxa"/>
              <w:right w:w="85" w:type="dxa"/>
            </w:tcMar>
            <w:shd w:fill="E8EDF2"/>
          </w:tcPr>
          <w:p>
            <w:pPr>
              <w:spacing w:after="0" w:line="245" w:lineRule="auto"/>
              <w:jc w:val="center"/>
            </w:pPr>
            <w:r>
              <w:rPr>
                <w:b/>
                <w:sz w:val="20"/>
              </w:rPr>
              <w:t>Final population</w:t>
            </w:r>
          </w:p>
        </w:tc>
      </w:tr>
      <w:tr>
        <w:trPr>
          <w:cantSplit/>
          <w:cantSplit/>
          <w:cantSplit/>
          <w:cantSplit/>
        </w:trPr>
        <w:tc>
          <w:tcPr>
            <w:tcW w:type="dxa" w:w="936"/>
            <w:vAlign w:val="center"/>
            <w:tcMar>
              <w:top w:w="85" w:type="dxa"/>
              <w:left w:w="85" w:type="dxa"/>
              <w:bottom w:w="85" w:type="dxa"/>
              <w:right w:w="85" w:type="dxa"/>
            </w:tcMar>
            <w:shd w:fill="FFFFFF"/>
          </w:tcPr>
          <w:p>
            <w:pPr>
              <w:spacing w:after="0" w:line="245" w:lineRule="auto"/>
              <w:jc w:val="left"/>
            </w:pPr>
            <w:r>
              <w:rPr>
                <w:b w:val="0"/>
                <w:sz w:val="20"/>
              </w:rPr>
              <w:t>60</w:t>
            </w:r>
          </w:p>
        </w:tc>
        <w:tc>
          <w:tcPr>
            <w:tcW w:type="dxa" w:w="2304"/>
            <w:vAlign w:val="center"/>
            <w:tcMar>
              <w:top w:w="85" w:type="dxa"/>
              <w:left w:w="85" w:type="dxa"/>
              <w:bottom w:w="85" w:type="dxa"/>
              <w:right w:w="85" w:type="dxa"/>
            </w:tcMar>
            <w:shd w:fill="FFFFFF"/>
          </w:tcPr>
          <w:p>
            <w:pPr>
              <w:spacing w:after="0" w:line="245" w:lineRule="auto"/>
              <w:jc w:val="center"/>
            </w:pPr>
            <w:r>
              <w:rPr>
                <w:b w:val="0"/>
                <w:sz w:val="20"/>
              </w:rPr>
              <w:t>289.6</w:t>
            </w:r>
          </w:p>
        </w:tc>
        <w:tc>
          <w:tcPr>
            <w:tcW w:type="dxa" w:w="2880"/>
            <w:vAlign w:val="center"/>
            <w:tcMar>
              <w:top w:w="85" w:type="dxa"/>
              <w:left w:w="85" w:type="dxa"/>
              <w:bottom w:w="85" w:type="dxa"/>
              <w:right w:w="85" w:type="dxa"/>
            </w:tcMar>
            <w:shd w:fill="FFFFFF"/>
          </w:tcPr>
          <w:p>
            <w:pPr>
              <w:spacing w:after="0" w:line="245" w:lineRule="auto"/>
              <w:jc w:val="center"/>
            </w:pPr>
            <w:r>
              <w:rPr>
                <w:b w:val="0"/>
                <w:sz w:val="20"/>
              </w:rPr>
              <w:t>41.0</w:t>
            </w:r>
          </w:p>
        </w:tc>
        <w:tc>
          <w:tcPr>
            <w:tcW w:type="dxa" w:w="4104"/>
            <w:vAlign w:val="center"/>
            <w:tcMar>
              <w:top w:w="85" w:type="dxa"/>
              <w:left w:w="85" w:type="dxa"/>
              <w:bottom w:w="85" w:type="dxa"/>
              <w:right w:w="85" w:type="dxa"/>
            </w:tcMar>
            <w:shd w:fill="FFFFFF"/>
          </w:tcPr>
          <w:p>
            <w:pPr>
              <w:spacing w:after="0" w:line="245" w:lineRule="auto"/>
              <w:jc w:val="center"/>
            </w:pPr>
            <w:r>
              <w:rPr>
                <w:b w:val="0"/>
                <w:sz w:val="20"/>
              </w:rPr>
              <w:t>363–378</w:t>
            </w:r>
          </w:p>
        </w:tc>
      </w:tr>
      <w:tr>
        <w:trPr>
          <w:cantSplit/>
          <w:cantSplit/>
          <w:cantSplit/>
          <w:cantSplit/>
        </w:trPr>
        <w:tc>
          <w:tcPr>
            <w:tcW w:type="dxa" w:w="936"/>
            <w:vAlign w:val="center"/>
            <w:tcMar>
              <w:top w:w="85" w:type="dxa"/>
              <w:left w:w="85" w:type="dxa"/>
              <w:bottom w:w="85" w:type="dxa"/>
              <w:right w:w="85" w:type="dxa"/>
            </w:tcMar>
            <w:shd w:fill="F6F7F8"/>
          </w:tcPr>
          <w:p>
            <w:pPr>
              <w:spacing w:after="0" w:line="245" w:lineRule="auto"/>
              <w:jc w:val="left"/>
            </w:pPr>
            <w:r>
              <w:rPr>
                <w:b w:val="0"/>
                <w:sz w:val="20"/>
              </w:rPr>
              <w:t>120</w:t>
            </w:r>
          </w:p>
        </w:tc>
        <w:tc>
          <w:tcPr>
            <w:tcW w:type="dxa" w:w="2304"/>
            <w:vAlign w:val="center"/>
            <w:tcMar>
              <w:top w:w="85" w:type="dxa"/>
              <w:left w:w="85" w:type="dxa"/>
              <w:bottom w:w="85" w:type="dxa"/>
              <w:right w:w="85" w:type="dxa"/>
            </w:tcMar>
            <w:shd w:fill="F6F7F8"/>
          </w:tcPr>
          <w:p>
            <w:pPr>
              <w:spacing w:after="0" w:line="245" w:lineRule="auto"/>
              <w:jc w:val="center"/>
            </w:pPr>
            <w:r>
              <w:rPr>
                <w:b w:val="0"/>
                <w:sz w:val="20"/>
              </w:rPr>
              <w:t>114.1</w:t>
            </w:r>
          </w:p>
        </w:tc>
        <w:tc>
          <w:tcPr>
            <w:tcW w:type="dxa" w:w="2880"/>
            <w:vAlign w:val="center"/>
            <w:tcMar>
              <w:top w:w="85" w:type="dxa"/>
              <w:left w:w="85" w:type="dxa"/>
              <w:bottom w:w="85" w:type="dxa"/>
              <w:right w:w="85" w:type="dxa"/>
            </w:tcMar>
            <w:shd w:fill="F6F7F8"/>
          </w:tcPr>
          <w:p>
            <w:pPr>
              <w:spacing w:after="0" w:line="245" w:lineRule="auto"/>
              <w:jc w:val="center"/>
            </w:pPr>
            <w:r>
              <w:rPr>
                <w:b w:val="0"/>
                <w:sz w:val="20"/>
              </w:rPr>
              <w:t>52.8</w:t>
            </w:r>
          </w:p>
        </w:tc>
        <w:tc>
          <w:tcPr>
            <w:tcW w:type="dxa" w:w="4104"/>
            <w:vAlign w:val="center"/>
            <w:tcMar>
              <w:top w:w="85" w:type="dxa"/>
              <w:left w:w="85" w:type="dxa"/>
              <w:bottom w:w="85" w:type="dxa"/>
              <w:right w:w="85" w:type="dxa"/>
            </w:tcMar>
            <w:shd w:fill="F6F7F8"/>
          </w:tcPr>
          <w:p>
            <w:pPr>
              <w:spacing w:after="0" w:line="245" w:lineRule="auto"/>
              <w:jc w:val="center"/>
            </w:pPr>
            <w:r>
              <w:rPr>
                <w:b w:val="0"/>
                <w:sz w:val="20"/>
              </w:rPr>
              <w:t>516–540</w:t>
            </w:r>
          </w:p>
        </w:tc>
      </w:tr>
      <w:tr>
        <w:trPr>
          <w:cantSplit/>
          <w:cantSplit/>
          <w:cantSplit/>
          <w:cantSplit/>
        </w:trPr>
        <w:tc>
          <w:tcPr>
            <w:tcW w:type="dxa" w:w="936"/>
            <w:vAlign w:val="center"/>
            <w:tcMar>
              <w:top w:w="85" w:type="dxa"/>
              <w:left w:w="85" w:type="dxa"/>
              <w:bottom w:w="85" w:type="dxa"/>
              <w:right w:w="85" w:type="dxa"/>
            </w:tcMar>
            <w:shd w:fill="FFFFFF"/>
          </w:tcPr>
          <w:p>
            <w:pPr>
              <w:spacing w:after="0" w:line="245" w:lineRule="auto"/>
              <w:jc w:val="left"/>
            </w:pPr>
            <w:r>
              <w:rPr>
                <w:b w:val="0"/>
                <w:sz w:val="20"/>
              </w:rPr>
              <w:t>240</w:t>
            </w:r>
          </w:p>
        </w:tc>
        <w:tc>
          <w:tcPr>
            <w:tcW w:type="dxa" w:w="2304"/>
            <w:vAlign w:val="center"/>
            <w:tcMar>
              <w:top w:w="85" w:type="dxa"/>
              <w:left w:w="85" w:type="dxa"/>
              <w:bottom w:w="85" w:type="dxa"/>
              <w:right w:w="85" w:type="dxa"/>
            </w:tcMar>
            <w:shd w:fill="FFFFFF"/>
          </w:tcPr>
          <w:p>
            <w:pPr>
              <w:spacing w:after="0" w:line="245" w:lineRule="auto"/>
              <w:jc w:val="center"/>
            </w:pPr>
            <w:r>
              <w:rPr>
                <w:b w:val="0"/>
                <w:sz w:val="20"/>
              </w:rPr>
              <w:t>48.8</w:t>
            </w:r>
          </w:p>
        </w:tc>
        <w:tc>
          <w:tcPr>
            <w:tcW w:type="dxa" w:w="2880"/>
            <w:vAlign w:val="center"/>
            <w:tcMar>
              <w:top w:w="85" w:type="dxa"/>
              <w:left w:w="85" w:type="dxa"/>
              <w:bottom w:w="85" w:type="dxa"/>
              <w:right w:w="85" w:type="dxa"/>
            </w:tcMar>
            <w:shd w:fill="FFFFFF"/>
          </w:tcPr>
          <w:p>
            <w:pPr>
              <w:spacing w:after="0" w:line="245" w:lineRule="auto"/>
              <w:jc w:val="center"/>
            </w:pPr>
            <w:r>
              <w:rPr>
                <w:b w:val="0"/>
                <w:sz w:val="20"/>
              </w:rPr>
              <w:t>68.8</w:t>
            </w:r>
          </w:p>
        </w:tc>
        <w:tc>
          <w:tcPr>
            <w:tcW w:type="dxa" w:w="4104"/>
            <w:vAlign w:val="center"/>
            <w:tcMar>
              <w:top w:w="85" w:type="dxa"/>
              <w:left w:w="85" w:type="dxa"/>
              <w:bottom w:w="85" w:type="dxa"/>
              <w:right w:w="85" w:type="dxa"/>
            </w:tcMar>
            <w:shd w:fill="FFFFFF"/>
          </w:tcPr>
          <w:p>
            <w:pPr>
              <w:spacing w:after="0" w:line="245" w:lineRule="auto"/>
              <w:jc w:val="center"/>
            </w:pPr>
            <w:r>
              <w:rPr>
                <w:b w:val="0"/>
                <w:sz w:val="20"/>
              </w:rPr>
              <w:t>628–654</w:t>
            </w:r>
          </w:p>
        </w:tc>
      </w:tr>
      <w:tr>
        <w:trPr>
          <w:cantSplit/>
          <w:cantSplit/>
          <w:cantSplit/>
          <w:cantSplit/>
        </w:trPr>
        <w:tc>
          <w:tcPr>
            <w:tcW w:type="dxa" w:w="936"/>
            <w:vAlign w:val="center"/>
            <w:tcMar>
              <w:top w:w="85" w:type="dxa"/>
              <w:left w:w="85" w:type="dxa"/>
              <w:bottom w:w="85" w:type="dxa"/>
              <w:right w:w="85" w:type="dxa"/>
            </w:tcMar>
            <w:shd w:fill="F6F7F8"/>
          </w:tcPr>
          <w:p>
            <w:pPr>
              <w:spacing w:after="0" w:line="245" w:lineRule="auto"/>
              <w:jc w:val="left"/>
            </w:pPr>
            <w:r>
              <w:rPr>
                <w:b w:val="0"/>
                <w:sz w:val="20"/>
              </w:rPr>
              <w:t>480</w:t>
            </w:r>
          </w:p>
        </w:tc>
        <w:tc>
          <w:tcPr>
            <w:tcW w:type="dxa" w:w="2304"/>
            <w:vAlign w:val="center"/>
            <w:tcMar>
              <w:top w:w="85" w:type="dxa"/>
              <w:left w:w="85" w:type="dxa"/>
              <w:bottom w:w="85" w:type="dxa"/>
              <w:right w:w="85" w:type="dxa"/>
            </w:tcMar>
            <w:shd w:fill="F6F7F8"/>
          </w:tcPr>
          <w:p>
            <w:pPr>
              <w:spacing w:after="0" w:line="245" w:lineRule="auto"/>
              <w:jc w:val="center"/>
            </w:pPr>
            <w:r>
              <w:rPr>
                <w:b w:val="0"/>
                <w:sz w:val="20"/>
              </w:rPr>
              <w:t>24.6</w:t>
            </w:r>
          </w:p>
        </w:tc>
        <w:tc>
          <w:tcPr>
            <w:tcW w:type="dxa" w:w="2880"/>
            <w:vAlign w:val="center"/>
            <w:tcMar>
              <w:top w:w="85" w:type="dxa"/>
              <w:left w:w="85" w:type="dxa"/>
              <w:bottom w:w="85" w:type="dxa"/>
              <w:right w:w="85" w:type="dxa"/>
            </w:tcMar>
            <w:shd w:fill="F6F7F8"/>
          </w:tcPr>
          <w:p>
            <w:pPr>
              <w:spacing w:after="0" w:line="245" w:lineRule="auto"/>
              <w:jc w:val="center"/>
            </w:pPr>
            <w:r>
              <w:rPr>
                <w:b w:val="0"/>
                <w:sz w:val="20"/>
              </w:rPr>
              <w:t>91.6</w:t>
            </w:r>
          </w:p>
        </w:tc>
        <w:tc>
          <w:tcPr>
            <w:tcW w:type="dxa" w:w="4104"/>
            <w:vAlign w:val="center"/>
            <w:tcMar>
              <w:top w:w="85" w:type="dxa"/>
              <w:left w:w="85" w:type="dxa"/>
              <w:bottom w:w="85" w:type="dxa"/>
              <w:right w:w="85" w:type="dxa"/>
            </w:tcMar>
            <w:shd w:fill="F6F7F8"/>
          </w:tcPr>
          <w:p>
            <w:pPr>
              <w:spacing w:after="0" w:line="245" w:lineRule="auto"/>
              <w:jc w:val="center"/>
            </w:pPr>
            <w:r>
              <w:rPr>
                <w:b w:val="0"/>
                <w:sz w:val="20"/>
              </w:rPr>
              <w:t>729–746</w:t>
            </w:r>
          </w:p>
        </w:tc>
      </w:tr>
      <w:tr>
        <w:trPr>
          <w:cantSplit/>
          <w:cantSplit/>
          <w:cantSplit/>
          <w:cantSplit/>
        </w:trPr>
        <w:tc>
          <w:tcPr>
            <w:tcW w:type="dxa" w:w="936"/>
            <w:vAlign w:val="center"/>
            <w:tcMar>
              <w:top w:w="85" w:type="dxa"/>
              <w:left w:w="85" w:type="dxa"/>
              <w:bottom w:w="85" w:type="dxa"/>
              <w:right w:w="85" w:type="dxa"/>
            </w:tcMar>
            <w:shd w:fill="FFFFFF"/>
          </w:tcPr>
          <w:p>
            <w:pPr>
              <w:spacing w:after="0" w:line="245" w:lineRule="auto"/>
              <w:jc w:val="left"/>
            </w:pPr>
            <w:r>
              <w:rPr>
                <w:b w:val="0"/>
                <w:sz w:val="20"/>
              </w:rPr>
              <w:t>960</w:t>
            </w:r>
          </w:p>
        </w:tc>
        <w:tc>
          <w:tcPr>
            <w:tcW w:type="dxa" w:w="2304"/>
            <w:vAlign w:val="center"/>
            <w:tcMar>
              <w:top w:w="85" w:type="dxa"/>
              <w:left w:w="85" w:type="dxa"/>
              <w:bottom w:w="85" w:type="dxa"/>
              <w:right w:w="85" w:type="dxa"/>
            </w:tcMar>
            <w:shd w:fill="FFFFFF"/>
          </w:tcPr>
          <w:p>
            <w:pPr>
              <w:spacing w:after="0" w:line="245" w:lineRule="auto"/>
              <w:jc w:val="center"/>
            </w:pPr>
            <w:r>
              <w:rPr>
                <w:b w:val="0"/>
                <w:sz w:val="20"/>
              </w:rPr>
              <w:t>21.1</w:t>
            </w:r>
          </w:p>
        </w:tc>
        <w:tc>
          <w:tcPr>
            <w:tcW w:type="dxa" w:w="2880"/>
            <w:vAlign w:val="center"/>
            <w:tcMar>
              <w:top w:w="85" w:type="dxa"/>
              <w:left w:w="85" w:type="dxa"/>
              <w:bottom w:w="85" w:type="dxa"/>
              <w:right w:w="85" w:type="dxa"/>
            </w:tcMar>
            <w:shd w:fill="FFFFFF"/>
          </w:tcPr>
          <w:p>
            <w:pPr>
              <w:spacing w:after="0" w:line="245" w:lineRule="auto"/>
              <w:jc w:val="center"/>
            </w:pPr>
            <w:r>
              <w:rPr>
                <w:b w:val="0"/>
                <w:sz w:val="20"/>
              </w:rPr>
              <w:t>99.3</w:t>
            </w:r>
          </w:p>
        </w:tc>
        <w:tc>
          <w:tcPr>
            <w:tcW w:type="dxa" w:w="4104"/>
            <w:vAlign w:val="center"/>
            <w:tcMar>
              <w:top w:w="85" w:type="dxa"/>
              <w:left w:w="85" w:type="dxa"/>
              <w:bottom w:w="85" w:type="dxa"/>
              <w:right w:w="85" w:type="dxa"/>
            </w:tcMar>
            <w:shd w:fill="FFFFFF"/>
          </w:tcPr>
          <w:p>
            <w:pPr>
              <w:spacing w:after="0" w:line="245" w:lineRule="auto"/>
              <w:jc w:val="center"/>
            </w:pPr>
            <w:r>
              <w:rPr>
                <w:b w:val="0"/>
                <w:sz w:val="20"/>
              </w:rPr>
              <w:t>695–770</w:t>
            </w:r>
          </w:p>
        </w:tc>
      </w:tr>
    </w:tbl>
    <w:p>
      <w:pPr>
        <w:spacing w:after="0"/>
      </w:pPr>
    </w:p>
    <w:p>
      <w:r>
        <w:rPr>
          <w:b w:val="0"/>
        </w:rPr>
        <w:t>Each world used approximately one logical CPU. More slots grant more decisions per living agent, changing reproduction and mortality. The 960-slot runs peaked at 810 living agents, so they did not test sustained execution of 960 live decisions per tick. Three short runs per capacity cannot establish long-term high-capacity survival.</w:t>
      </w:r>
    </w:p>
    <w:p>
      <w:r>
        <w:rPr>
          <w:b w:val="0"/>
        </w:rPr>
        <w:t>Scheduler selection consumed under 1% of loop time. Profiling attributed about 66–80% of cumulative runtime to nearby-agent queries that scan retained identities. Consequently, old worlds can slow while living populations remain bounded. Quiet late-window timings and ordinary save latency are pending; early averages do not guarantee viewer performance.</w:t>
      </w:r>
    </w:p>
    <w:p>
      <w:pPr>
        <w:pStyle w:val="Heading1"/>
      </w:pPr>
      <w:r>
        <w:t>Endurance remains provisional</w:t>
      </w:r>
    </w:p>
    <w:p>
      <w:r>
        <w:rPr>
          <w:b w:val="0"/>
        </w:rPr>
        <w:t>The original enabled 60-slot worlds resume the verified Phase 1 tick-20,000 snapshots for seeds 1–3. Latest completed progress checkpoints at this briefing snapshot are:</w:t>
      </w:r>
    </w:p>
    <w:p>
      <w:r>
        <w:rPr>
          <w:b w:val="0"/>
        </w:rPr>
        <w:t>seed 1: tick 90,000, 393 living; seed 2: tick 90,000, 389 living; seed 3: tick 85,000, 381 living.</w:t>
      </w:r>
    </w:p>
    <w:p>
      <w:r>
        <w:rPr>
          <w:b w:val="0"/>
        </w:rPr>
        <w:t>No extinction has been observed in these runs. Exact save/load and 32-tick continuation checks passed at tick 50,000 in all three worlds. The final report will assess population trends, resources, starvation, generation turnover and scheduling through tick 100,000. Finite survival cannot establish permanent stability.</w:t>
      </w:r>
    </w:p>
    <w:p>
      <w:pPr>
        <w:pStyle w:val="Heading1"/>
      </w:pPr>
      <w:r>
        <w:t>Verification and research direction</w:t>
      </w:r>
    </w:p>
    <w:p>
      <w:r>
        <w:rPr>
          <w:b w:val="0"/>
        </w:rPr>
        <w:t>All 52 tests passed: the original 27, six Phase 1 research tests and 19 Phase 2 tests. Original simulation files and Phase 1 history remain unchanged. A telemetry collision between hazard events and hazard deaths was documented and fixed before accepted campaigns; a regression test covers it. A pending supplement’s CSV schema defect was also documented and corrected. No core behavior required correction.</w:t>
      </w:r>
    </w:p>
    <w:p>
      <w:r>
        <w:rPr>
          <w:b w:val="0"/>
        </w:rPr>
        <w:t>Recommendation: retain 60 slots for both screensaver observation and comparable accelerated experiments. Accelerate independent seeds across processes; increasing slots changes the treatment. Six scientific workers were used, but optimal concurrency and mature viewer cadence have not been benchmarked.</w:t>
      </w:r>
    </w:p>
    <w:p>
      <w:r>
        <w:rPr>
          <w:b w:val="0"/>
        </w:rPr>
        <w:t>Phase 3 should compare the learned association against a declared static hazard bias and use natural-state single-decision forks to isolate the mechanism. Separately, investigate an active/spatial peer index only with full state and event-history equivalence against the reference engine.</w:t>
      </w:r>
    </w:p>
    <w:p>
      <w:r>
        <w:rPr>
          <w:b w:val="0"/>
        </w:rPr>
        <w:t>Evidence: research/phase2/results contains per-seed CSVs, paired intervals and plots. Frozen controls: commit 1e67c3e. Preserved baselines: f32c1a6 and 232dd30. This dated briefing precedes final endurance verification and the results commit.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0"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Gnome Fortress Phase 2 findings</dc:title>
  <dc:subject>Project lead briefing on confirmed and provisional Phase 2 evidence</dc:subject>
  <dc:creator>Codex implementation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