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МОСКОВСКИЙ АВИАЦИОННЫЙ ИНСТИТУТ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(НАЦИОНАЛЬНЫЙ ИССЛЕДОВАТЕЛЬСКИЙ УНИВЕРСИТЕТ)</w:t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Институт №8 «Компьютерные науки и прикладная математика»</w:t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806 «Вычислительная математика и программирование»</w:t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Лабораторная работа №2</w:t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по курсу “Компьютерная графика”</w:t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Камера и освещение</w:t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Выполнил: Н. Д. Князьков</w:t>
      </w:r>
    </w:p>
    <w:p w:rsidR="00000000" w:rsidDel="00000000" w:rsidP="00000000" w:rsidRDefault="00000000" w:rsidRPr="00000000" w14:paraId="0000001B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Группа: М8О-303БВ-24</w:t>
      </w:r>
    </w:p>
    <w:p w:rsidR="00000000" w:rsidDel="00000000" w:rsidP="00000000" w:rsidRDefault="00000000" w:rsidRPr="00000000" w14:paraId="0000001C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Преподаватель: В. Д. Бахарев</w:t>
      </w:r>
    </w:p>
    <w:p w:rsidR="00000000" w:rsidDel="00000000" w:rsidP="00000000" w:rsidRDefault="00000000" w:rsidRPr="00000000" w14:paraId="0000001D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Москва, 2026</w:t>
      </w:r>
    </w:p>
    <w:p>
      <w:pPr>
        <w:pageBreakBefore/>
        <w:keepNext/>
        <w:spacing w:before="240" w:after="12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Условие</w:t>
      </w: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Цель работы: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реализовать «камеру» с возможностью её перемещения и освещение по модели Блинна-Фонга с использованием нескольких типов источников света. Программа написана на C++ с использованием Vulkan, GLFW и ImGui на основе кода лабораторной работы №1.</w:t>
      </w: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Объект: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правильный икосаэдр (вариант 11 из лабораторной работы №1).</w:t>
      </w: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Базовое задание: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отрисовка объекта относительно камеры с единственным направленным источником освещения. Параметры камеры, источника, материала по модели Блинна-Фонга и рассеянный свет (ambient light) изменяются в интерфейсе ImGui. У вершин задан атрибут нормали, нормали генерируются процедурно, освещение считается во фрагментном шейдере.</w:t>
      </w: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Выполненные дополнительные задания (1–4):</w:t>
      </w:r>
    </w:p>
    <w:p>
      <w:pPr>
        <w:spacing w:after="60"/>
        <w:ind w:left="1077" w:hanging="35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Внешние данные разделены на два набора дескрипторов: набор сцены (uniform-буфер с параметрами сцены и storage-буферы с массивами источников) и набор модели (матрица трансформации и параметры материала).</w:t>
      </w:r>
    </w:p>
    <w:p>
      <w:pPr>
        <w:spacing w:after="60"/>
        <w:ind w:left="1077" w:hanging="35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Освещение массивом точечных источников из storage-буфера с затуханием по закону обратных квадратов; добавление, удаление и изменение источников в интерфейсе.</w:t>
      </w:r>
    </w:p>
    <w:p>
      <w:pPr>
        <w:spacing w:after="60"/>
        <w:ind w:left="1077" w:hanging="35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Освещение массивом прожекторов из storage-буфера с затуханием по закону обратных квадратов и мягкими краями (внутренний и внешний углы); добавление, удаление и изменение источников в интерфейсе.</w:t>
      </w:r>
    </w:p>
    <w:p>
      <w:pPr>
        <w:spacing w:after="60"/>
        <w:ind w:left="1077" w:hanging="35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Визуализация источников с возможностью показа и скрытия: яркий куб цвета источника для точечных источников и прожекторов, направление и угол прожектора нарисованы белыми линиями (конус). Фигуры имеют постоянный цвет и не освещаются по модели Блинна-Фонга.</w:t>
      </w: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Дополнительно на сцену добавлен пол, а три икосаэдра из лабораторной работы №1 движутся по траектории, поэтому освещение от разных источников меняется в реальном времени.</w:t>
      </w:r>
    </w:p>
    <w:p>
      <w:pPr>
        <w:keepNext/>
        <w:spacing w:before="240" w:after="12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Метод решения</w:t>
      </w: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Нормали.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Нормаль — единичный вектор, перпендикулярный поверхности. Для каждой грани икосаэдра с вершинами a, b, c (перечислены против часовой стрелки, если смотреть снаружи) нормаль считается векторным произведением рёбер:</w:t>
      </w:r>
    </w:p>
    <w:p>
      <w:pPr>
        <w:spacing w:before="60" w:after="12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n = normalize((b − a) × (c − a))</w:t>
      </w: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каждая из 20 граней освещалась как плоская, вершины между гранями не делятся: в вершинном буфере 60 вершин (позиция + нормаль). У пола нормаль (0, −1, 0), так как ось Y направлена вниз. В вершинном шейдере нормаль переводится в мировые координаты матрицей (M⁻¹)ᵀ — обратной транспонированной к матрице модели, иначе при неравномерном растяжении она перестала бы быть перпендикулярной поверхности. Во фрагментном шейдере интерполированная нормаль снова нормируется.</w:t>
      </w: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Камера.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Камера задаётся позицией c, углами поворота ψ (yaw, вокруг оси Y) и θ (pitch, вокруг оси X) и углом обзора. Её матрица модели C = T(c)·Ry(ψ)·Rx(θ), а матрица вида — обратная к ней, поэтому множители идут в обратном порядке и с противоположными параметрами:</w:t>
      </w:r>
    </w:p>
    <w:p>
      <w:pPr>
        <w:spacing w:before="60" w:after="12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 = C⁻¹ = Rx(−θ) · Ry(−ψ) · T(−c)</w:t>
      </w: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перемещения с клавиатуры (W/S — вперёд/назад, A/D — влево/вправо, Q/E — вниз/вверх, стрелки — поворот) направления берутся из поворота камеры: вперёд = (sin ψ·cos θ, −sin θ, cos ψ·cos θ), вправо = (cos ψ, 0, −sin ψ). Матрицы проекции взяты из лабораторной работы №1, в шейдер передаётся произведение view_projection = P·V, а матрица модели — отдельно.</w:t>
      </w: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Модель освещения Блинна-Фонга.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Для каждого источника цвет точки поверхности:</w:t>
      </w:r>
    </w:p>
    <w:p>
      <w:pPr>
        <w:spacing w:before="60" w:after="12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C = I · (cos θ · Kd + Ks · (cos φ)^α)</w:t>
      </w:r>
    </w:p>
    <w:p>
      <w:pPr>
        <w:spacing w:before="60" w:after="12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cos θ = n·l,   h = (l + v) / |l + v|,   cos φ = n·h</w:t>
      </w: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Здесь n — нормаль, l — направление на источник, v — направление на камеру, I — цвет источника, умноженный на интенсивность, Kd — альбедо, Ks — цвет блика, α — коэффициент блеска (чем больше α, тем меньше и ярче блик). Если n·l ≤ 0, источник находится за поверхностью и вклад равен нулю. Рассеянный свет добавляется как Ia·Ka (в качестве Ka берётся альбедо), вклады всех источников складываются. Все вычисления выполняются во фрагментном шейдере в мировых координатах.</w:t>
      </w: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Типы источников.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Направленный источник (солнце) задаётся направлением лучей d, для него l = −d и затухания нет. Точечный источник задаётся позицией p: l = (p − x)/D, D = |p − x|, а освещённость падает по закону обратных квадратов — множитель 1/D². Прожектор — точечный источник с направлением d и двумя углами: внутри внутреннего угла θi свет полный, снаружи внешнего угла θo — отсутствует, между ними плавно убывает:</w:t>
      </w:r>
    </w:p>
    <w:p>
      <w:pPr>
        <w:spacing w:before="60" w:after="120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s = clamp((cos γ − cos θo) / (cos θi − cos θo), 0, 1),   cos γ = (−l)·d</w:t>
      </w: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шейдер передаются косинусы углов, чтобы не вычислять их для каждого пикселя. Если углы равны, край пятна получается резким.</w:t>
      </w:r>
    </w:p>
    <w:p>
      <w:pPr>
        <w:spacing w:before="0" w:after="0" w:line="240" w:lineRule="auto"/>
        <w:ind w:left="7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vec3 blinnPhong(vec3 n, vec3 v, vec3 l, vec3 light) {</w:t>
      </w:r>
    </w:p>
    <w:p>
      <w:pPr>
        <w:spacing w:before="0" w:after="0" w:line="240" w:lineRule="auto"/>
        <w:ind w:left="7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float cos_theta = dot(n, l);</w:t>
      </w:r>
    </w:p>
    <w:p>
      <w:pPr>
        <w:spacing w:before="0" w:after="0" w:line="240" w:lineRule="auto"/>
        <w:ind w:left="7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if (cos_theta &lt;= 0.0) return vec3(0.0);</w:t>
      </w:r>
    </w:p>
    <w:p>
      <w:pPr>
        <w:spacing w:before="0" w:after="0" w:line="240" w:lineRule="auto"/>
        <w:ind w:left="7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vec3 h = normalize(l + v);</w:t>
      </w:r>
    </w:p>
    <w:p>
      <w:pPr>
        <w:spacing w:before="0" w:after="0" w:line="240" w:lineRule="auto"/>
        <w:ind w:left="7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float cos_phi = max(dot(n, h), 0.0);</w:t>
      </w:r>
    </w:p>
    <w:p>
      <w:pPr>
        <w:spacing w:before="0" w:after="0" w:line="240" w:lineRule="auto"/>
        <w:ind w:left="7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vec3 diffuse = model_uniforms.albedo * cos_theta;</w:t>
      </w:r>
    </w:p>
    <w:p>
      <w:pPr>
        <w:spacing w:before="0" w:after="0" w:line="240" w:lineRule="auto"/>
        <w:ind w:left="7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vec3 specular = model_uniforms.specular *</w:t>
      </w:r>
    </w:p>
    <w:p>
      <w:pPr>
        <w:spacing w:before="0" w:after="0" w:line="240" w:lineRule="auto"/>
        <w:ind w:left="7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pow(cos_phi, model_uniforms.alpha);</w:t>
      </w:r>
    </w:p>
    <w:p>
      <w:pPr>
        <w:spacing w:before="0" w:after="0" w:line="240" w:lineRule="auto"/>
        <w:ind w:left="7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    return light * (diffuse + specular);</w:t>
      </w:r>
    </w:p>
    <w:p>
      <w:pPr>
        <w:spacing w:before="0" w:after="120" w:line="240" w:lineRule="auto"/>
        <w:ind w:left="7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Передача данных в шейдеры (доп. задание 1).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Данные разделены по частоте изменения на два набора дескрипторов. Набор сцены привязывается один раз за кадр, набор модели — перед отрисовкой каждого объекта (vkCmdBindDescriptorSets с firstSet = 1, набор 0 при этом остаётся привязанным).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00"/>
        <w:gridCol w:w="2300"/>
        <w:gridCol w:w="5200"/>
      </w:tblGrid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set / binding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w="52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Содержимое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 / 0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uniform-буфер, std140</w:t>
            </w:r>
          </w:p>
        </w:tc>
        <w:tc>
          <w:tcPr>
            <w:tcW w:w="52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SceneUniforms: view_projection, позиция камеры, направленный источник, рассеянный свет, число точечных источников и прожекторов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 / 1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storage-буфер, std430</w:t>
            </w:r>
          </w:p>
        </w:tc>
        <w:tc>
          <w:tcPr>
            <w:tcW w:w="52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PointLights: массив {position, color}, 32 байта на источник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 / 2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storage-буфер, std430</w:t>
            </w:r>
          </w:p>
        </w:tc>
        <w:tc>
          <w:tcPr>
            <w:tcW w:w="52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SpotLights: массив {position, color, direction, cos θi, cos θo}, 64 байта на источник</w:t>
            </w:r>
          </w:p>
        </w:tc>
      </w:tr>
      <w:tr>
        <w:tc>
          <w:tcPr>
            <w:tcW w:w="15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 / 0</w:t>
            </w:r>
          </w:p>
        </w:tc>
        <w:tc>
          <w:tcPr>
            <w:tcW w:w="23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uniform-буфер, std140</w:t>
            </w:r>
          </w:p>
        </w:tc>
        <w:tc>
          <w:tcPr>
            <w:tcW w:w="5200" w:type="dxa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ModelUniform: матрица модели, альбедо, цвет блика, коэффициент блеска (96 байт)</w:t>
            </w:r>
          </w:p>
        </w:tc>
      </w:tr>
    </w:tbl>
    <w:p>
      <w:pPr>
        <w:spacing w:after="60"/>
      </w:pP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правилам std140 и std430 vec3 выравнивается на 16 байт, поэтому в структурах на C++ после каждого vec3 добавлены 4 байта выравнивания, а float или uint может занять место сразу за vec3 (например, point_light_count лежит по смещению 124, сразу после ambient_light). Массивы источников лежат в storage-буферах (ключевое слово buffer в GLSL), поэтому размер массива в шейдере не задаётся. Если источников становится больше, чем помещается в буфер, буфер пересоздаётся в два раза больше и дескриптор в наборе сцены переписывается через vkUpdateDescriptorSets; это безопасно, потому что к моменту записи команд GPU уже закончил предыдущий кадр.</w:t>
      </w: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Визуализация источников (доп. задание 4).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Фигуры источников рисуются отдельными конвейерами со своими шейдерами light.vert и light.frag, которые выводят постоянный цвет без освещения. Матрица модели и цвет фигуры (80 байт) передаются push-константами (vkCmdPushConstants) прямо в командный буфер перед каждой отрисовкой — так не нужно создавать буферы и наборы дескрипторов под меняющееся число источников. Точечные источники и прожекторы показываются кубом со стороной 0,3 цвета источника. Конус прожектора рисуется белыми линиями (топология LINE_LIST): ось, 8 образующих и окружности внешнего и внутреннего углов на расстоянии 1,5 от источника (радиус 1,5·tg θ). Вершины линий каждый кадр считаются на CPU в мировых координатах и копируются в вершинный буфер. У этих конвейеров другой pipeline layout (с push-константами), поэтому набор сцены после их привязки привязывается заново.</w:t>
      </w: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Используемые объекты Vulkan:</w:t>
      </w:r>
    </w:p>
    <w:p>
      <w:pPr>
        <w:spacing w:after="60"/>
        <w:ind w:left="1077" w:hanging="35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VkBuffer и VmaAllocation (Vulkan Memory Allocator) — вершинные и индексные буферы икосаэдра, пола и куба, uniform-буфер сцены, по uniform-буферу на объект, два storage-буфера источников, вершинный буфер линий конусов.</w:t>
      </w:r>
    </w:p>
    <w:p>
      <w:pPr>
        <w:spacing w:after="60"/>
        <w:ind w:left="1077" w:hanging="35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VkDescriptorSetLayout — два описания наборов (сцена и модель); VkDescriptorPool на 5 наборов (5 uniform-буферов и 2 storage-буфера); VkDescriptorSet — один набор сцены и 4 набора объектов.</w:t>
      </w:r>
    </w:p>
    <w:p>
      <w:pPr>
        <w:spacing w:after="60"/>
        <w:ind w:left="1077" w:hanging="35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VkPipelineLayout — для освещаемых объектов (наборы 0 и 1) и для визуализации источников (набор 0 и диапазон push-констант); VkPipeline — три конвейера: освещаемые объекты, кубы источников, линии конусов.</w:t>
      </w:r>
    </w:p>
    <w:p>
      <w:pPr>
        <w:spacing w:after="60"/>
        <w:ind w:left="1077" w:hanging="35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VkShaderModule — шейдеры basic.vert/basic.frag (освещение) и light.vert/light.frag (постоянный цвет), скомпилированные в SPIR-V компилятором glslc.</w:t>
      </w:r>
    </w:p>
    <w:p>
      <w:pPr>
        <w:spacing w:after="60"/>
        <w:ind w:left="1077" w:hanging="35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–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VkCommandBuffer — в render() копируются данные в буферы, затем записываются команды: render pass, привязка конвейера и набора сцены, для каждого объекта — привязка его вершин, индексов и набора модели и vkCmdDrawIndexed; затем, если включено, кубы и конусы источников.</w:t>
      </w:r>
    </w:p>
    <w:p>
      <w:pPr>
        <w:keepNext/>
        <w:spacing w:before="240" w:after="12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Результаты</w:t>
      </w: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Программа работает в реальном времени, все параметры камеры, источников и материалов меняются в окне ImGui «Lab 2», камерой можно управлять с клавиатуры. Слои валидации Vulkan не выводят ошибок ни во время работы, ни при закрытии программы.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937760" cy="2920222"/>
            <wp:docPr id="101" nam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image1.png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92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1 — базовое задание: три икосаэдра и пол освещены одним направленным источником и рассеянным светом; грани освещены по-разному, потому что у каждой грани своя нормаль. В окне интерфейса — параметры камеры, направленного и рассеянного света и материала выбранного объекта.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937760" cy="2920222"/>
            <wp:docPr id="102" nam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image2.png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92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2 — итоговая сцена: к направленному источнику добавлены два точечных источника (оранжевый и голубой кубы) и два прожектора (белый и зелёный кубы с конусами из белых линий). На полу видны пятна света с затуханием по закону обратных квадратов, на икосаэдрах — блики.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937760" cy="2920222"/>
            <wp:docPr id="103" name="Рисунок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image3.png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92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3 — параметры источников в интерфейсе: у точечного источника — позиция, цвет и интенсивность, у прожектора — ещё направление, внутренний и внешний углы; кнопки добавления и удаления источников и переключатель «Show light sources».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937760" cy="2117873"/>
            <wp:docPr id="104" name="Рисунок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4" name="image4.png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117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4 — пятно прожектора сверху (направленный источник выключен): слева внутренний угол 15°, внешний 30° — край мягкий; справа оба угла 25° — край резкий.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937760" cy="1798521"/>
            <wp:docPr id="105" name="Рисунок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5" name="image5.png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798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5 — вид сбоку: слева визуализация источников включена — кубы цвета источников и конусы прожекторов не освещаются и имеют постоянный цвет; справа визуализация скрыта.</w:t>
      </w:r>
    </w:p>
    <w:p>
      <w:pPr>
        <w:keepNext/>
        <w:spacing w:before="240" w:after="12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Выводы</w:t>
      </w:r>
    </w:p>
    <w:p>
      <w:pPr>
        <w:spacing w:after="12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Я научился реализовывать камеру, которую можно перемещать и поворачивать, и строить для неё матрицу вида как обратную к матрице камеры. Разобрался, что такое нормали, как их получить процедурно через векторное произведение и как правильно переносить их в мировые координаты. Реализовал модель освещения Блинна-Фонга во фрагментном шейдере для направленного, точечных и прожекторных источников, затухание по закону обратных квадратов и мягкие края прожектора. Научился разделять данные шейдеров на наборы дескрипторов по частоте изменения, передавать массивы переменной длины через storage-буферы и учитывать правила выравнивания std140 и std430; использовал push-константы и несколько графических конвейеров для визуализации источников.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Relationship Id="rIdImage4" Type="http://schemas.openxmlformats.org/officeDocument/2006/relationships/image" Target="media/image4.png"/><Relationship Id="rIdImage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