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9BD5"/>
          <w:sz w:val="22"/>
        </w:rPr>
        <w:t>ДОКУМЕНТ №7</w:t>
      </w:r>
    </w:p>
    <w:p>
      <w:pPr>
        <w:pStyle w:val="Title"/>
        <w:jc w:val="center"/>
      </w:pPr>
      <w:r>
        <w:t>Российские ГОСТ, нормативы и стандарты</w:t>
        <w:br/>
        <w:t>для цифровой платформы АПК</w:t>
      </w:r>
    </w:p>
    <w:p>
      <w:pPr>
        <w:jc w:val="center"/>
      </w:pPr>
      <w:r>
        <w:rPr>
          <w:i/>
          <w:sz w:val="22"/>
        </w:rPr>
        <w:t>Нормативно-технический baseline для разработки, эксплуатации, интеграций, мобильного приложения и будущего аппаратно-программного комплекса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65D"/>
              </w:rPr>
              <w:t>Главная задача документа</w:t>
              <w:br/>
            </w:r>
            <w:r>
              <w:rPr>
                <w:sz w:val="19"/>
              </w:rPr>
              <w:t>Не собрать формальный перечень ГОСТов, а превратить российские стандарты и обязательные правовые требования в конкретные инженерные правила: что должно быть в архитектуре, данных, mobile/offline, GIS, интеграциях, безопасности, испытаниях, весовой, телематике и будущем IoT.</w:t>
            </w:r>
          </w:p>
        </w:tc>
      </w:tr>
    </w:tbl>
    <w:p>
      <w:pPr>
        <w:pStyle w:val="SmallNote"/>
      </w:pPr>
    </w:p>
    <w:p>
      <w:pPr>
        <w:jc w:val="center"/>
      </w:pPr>
      <w:r>
        <w:rPr>
          <w:sz w:val="18"/>
        </w:rPr>
        <w:t>Версия 1.0 • проверка источников: 25 сентября 2026 г.</w:t>
      </w:r>
    </w:p>
    <w:p>
      <w:pPr>
        <w:jc w:val="center"/>
      </w:pPr>
      <w:r>
        <w:rPr>
          <w:sz w:val="18"/>
        </w:rPr>
        <w:t>Проект: mobile-first / offline-first операционная платформа для российского АПК</w:t>
      </w:r>
    </w:p>
    <w:p>
      <w:r>
        <w:br w:type="page"/>
      </w:r>
    </w:p>
    <w:p>
      <w:pPr>
        <w:pStyle w:val="Heading1"/>
      </w:pPr>
      <w:r>
        <w:t>1. Статус документа и правило применения стандартов</w:t>
      </w:r>
    </w:p>
    <w:p>
      <w:r>
        <w:t>Документ является внутренним нормативно-техническим профилем проекта. Он не заменяет юридическое заключение и не означает, что каждый перечисленный ГОСТ автоматически обязателен для частного сельхозпредприятия или разработчика ПО.</w:t>
      </w:r>
    </w:p>
    <w:p>
      <w:r>
        <w:t>В российской системе стандартизации документы национальной системы в общем случае применяются добровольно. Обязательность возникает в случаях, установленных законодательством, техническим регулированием, договором/ТЗ, требованиями заказчика либо когда изготовитель или исполнитель публично заявляет соответствие конкретному стандарту. Поэтому в проекте используется три уровня применимости.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shd w:fill="244062"/>
            <w:vAlign w:val="center"/>
          </w:tcPr>
          <w:p>
            <w:r>
              <w:t>Класс</w:t>
            </w:r>
          </w:p>
        </w:tc>
        <w:tc>
          <w:tcPr>
            <w:tcW w:type="dxa" w:w="3402"/>
            <w:shd w:fill="244062"/>
            <w:vAlign w:val="center"/>
          </w:tcPr>
          <w:p>
            <w:r>
              <w:t>Что означает</w:t>
            </w:r>
          </w:p>
        </w:tc>
        <w:tc>
          <w:tcPr>
            <w:tcW w:type="dxa" w:w="4535"/>
            <w:shd w:fill="244062"/>
            <w:vAlign w:val="center"/>
          </w:tcPr>
          <w:p>
            <w:r>
              <w:t>Как применяем в проекте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7"/>
              </w:rPr>
              <w:t>A — обязательное право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7"/>
              </w:rPr>
              <w:t>Федеральные законы, постановления и иные НПА, применимые к конкретной обработке данных/сценарию.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7"/>
              </w:rPr>
              <w:t>Выполняем при наличии соответствующего юридического основания и области применения.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7"/>
              </w:rPr>
              <w:t>B — условно обязательное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7"/>
              </w:rPr>
              <w:t>Стандарт/требование становится обязательным по закону, договору, ТЗ, сертификации, заявлению о соответствии или конкретному виду оборудования.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7"/>
              </w:rPr>
              <w:t>Проектируем возможность соответствия; включаем в контрактный профиль клиента при необходимости.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7"/>
              </w:rPr>
              <w:t>C — добровольный инженерный baseline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7"/>
              </w:rPr>
              <w:t>ГОСТ применяется как лучшая практика и внутренняя норма качества.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7"/>
              </w:rPr>
              <w:t>Принимаем как внутренний стандарт проекта, если это улучшает совместимость, качество и удобство.</w:t>
            </w:r>
          </w:p>
        </w:tc>
      </w:tr>
    </w:tbl>
    <w:p>
      <w:pPr>
        <w:pStyle w:val="SmallNote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65D"/>
              </w:rPr>
              <w:t>Принцип проекта</w:t>
              <w:br/>
            </w:r>
            <w:r>
              <w:rPr>
                <w:sz w:val="19"/>
              </w:rPr>
              <w:t>ГОСТ для нас — не потолок продукта. Стандарты задают нижний инженерный уровень. Цель продукта остаётся выше: быть проще, быстрее и удобнее существующих решений АПК, уменьшать ручной ввод и объединять обязательные российские цифровые контуры с производством в одном рабочем месте.</w:t>
            </w:r>
          </w:p>
        </w:tc>
      </w:tr>
    </w:tbl>
    <w:p>
      <w:pPr>
        <w:pStyle w:val="SmallNote"/>
      </w:pPr>
    </w:p>
    <w:p>
      <w:pPr>
        <w:pStyle w:val="Heading1"/>
      </w:pPr>
      <w:r>
        <w:t>2. Нормативный профиль проекта: что считаем базовой рамкой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417"/>
            <w:shd w:fill="244062"/>
            <w:vAlign w:val="center"/>
          </w:tcPr>
          <w:p>
            <w:r>
              <w:t>Профиль</w:t>
            </w:r>
          </w:p>
        </w:tc>
        <w:tc>
          <w:tcPr>
            <w:tcW w:type="dxa" w:w="2835"/>
            <w:shd w:fill="244062"/>
            <w:vAlign w:val="center"/>
          </w:tcPr>
          <w:p>
            <w:r>
              <w:t>Область</w:t>
            </w:r>
          </w:p>
        </w:tc>
        <w:tc>
          <w:tcPr>
            <w:tcW w:type="dxa" w:w="3969"/>
            <w:shd w:fill="244062"/>
            <w:vAlign w:val="center"/>
          </w:tcPr>
          <w:p>
            <w:r>
              <w:t>Основные документы</w:t>
            </w:r>
          </w:p>
        </w:tc>
        <w:tc>
          <w:tcPr>
            <w:tcW w:type="dxa" w:w="1417"/>
            <w:shd w:fill="244062"/>
            <w:vAlign w:val="center"/>
          </w:tcPr>
          <w:p>
            <w:r>
              <w:t>Статус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AS-DOC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Документирование автоматизированной системы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ГОСТ 34.201-2020; ГОСТ 34.602-2020; ГОСТ Р 59793-2021; ГОСТ Р 59795-2021; ГОСТ Р 59792-2021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C / B по договору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SW-QUALITY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Качество ПО и измеримые характеристики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ГОСТ Р ИСО/МЭК 25010-2015; ГОСТ Р ИСО/МЭК 25023-2021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C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UX-A11Y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Доступность mobile/web интерфейсов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ГОСТ Р 52872-2019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C / B по требованиям заказчика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TEST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Тестирование ПО и АС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ГОСТ Р 56920-2024; ГОСТ Р 59792-2021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C / B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INFOSEC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Информационная безопасность и персональные данные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152-ФЗ; 149-ФЗ; ГОСТ Р ИСО/МЭК 27001-2021; при применимости — ПП РФ №1119 и требования ФСТЭК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A + C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ESIGN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Юридически значимые электронные документы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63-ФЗ «Об электронной подписи»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A при сценариях ЭП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GIS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Пространственные данные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ГОСТ Р 70846.1–.7-2023; ГОСТ Р 52438-2005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C / B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AGRO-NAV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Координатное земледелие и телематика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ГОСТ Р 56412-2015; ГОСТ Р 56054-2014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C / B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ISOBUS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Интеграция трактор–орудие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серия ГОСТ Р ИСО 11783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C / B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AUTOGUIDE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Автоматическое управление сельхозмашинами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ГОСТ ISO 10975-2026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B/C для будущего АПК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SOIL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Показатели качества почв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ГОСТ Р 70229-2022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C / B для агрохимии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WEIGH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Весовая и метрология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102-ФЗ; ГОСТ OIML R 76-1-2011 и профильные требования к конкретному типу весов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A/B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DIGI-IND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Цифровое управление активами предприятия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ГОСТ Р 71721-2024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C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IOT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Интернет вещей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ГОСТ Р 71777-2024; при NB-IoT — ГОСТ Р 59026-2024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C/B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OSS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Open-source компоненты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ГОСТ Р 71436-2024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C</w:t>
            </w:r>
          </w:p>
        </w:tc>
      </w:tr>
    </w:tbl>
    <w:p>
      <w:pPr>
        <w:pStyle w:val="SmallNote"/>
      </w:pPr>
    </w:p>
    <w:p>
      <w:pPr>
        <w:pStyle w:val="Heading1"/>
      </w:pPr>
      <w:r>
        <w:t>3. Комплекс ГОСТ для создания автоматизированной системы</w:t>
      </w:r>
    </w:p>
    <w:p>
      <w:r>
        <w:t>Наш проект по масштабу и назначению разумно проектировать как автоматизированную информационную систему предприятия, даже если первая поставка будет SaaS/mobile-продуктом. Комплекс ГОСТ 34 используется как структура инженерной документации, а не как повод вводить лишнюю бюрократию.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shd w:fill="244062"/>
            <w:vAlign w:val="center"/>
          </w:tcPr>
          <w:p>
            <w:r>
              <w:t>Стандарт</w:t>
            </w:r>
          </w:p>
        </w:tc>
        <w:tc>
          <w:tcPr>
            <w:tcW w:type="dxa" w:w="2835"/>
            <w:shd w:fill="244062"/>
            <w:vAlign w:val="center"/>
          </w:tcPr>
          <w:p>
            <w:r>
              <w:t>Что задаёт</w:t>
            </w:r>
          </w:p>
        </w:tc>
        <w:tc>
          <w:tcPr>
            <w:tcW w:type="dxa" w:w="4535"/>
            <w:shd w:fill="244062"/>
            <w:vAlign w:val="center"/>
          </w:tcPr>
          <w:p>
            <w:r>
              <w:t>Конкретное решение для нашего проекта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ГОСТ 34.201-2020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Виды, комплектность и обозначение документов при создании АС.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Документы №1–33 должны иметь понятные назначения, версии, связи и статус. Создать реестр проектной документации.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ГОСТ 34.602-2020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Состав и содержание ТЗ на создание/развитие/модернизацию АС.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Финальный документ №33 собрать в структуре ТЗ: назначение, требования, состав работ, испытания, приемка.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ГОСТ Р 59793-2021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Стадии и этапы создания АС.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Roadmap №28 разделить на обследование → требования → проектирование → разработку → ввод → сопровождение.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ГОСТ Р 59795-2021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Требования к содержанию основных документов АС.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При проектировании архитектуры и общесистемных решений проверить полноту: данные, ПО, техническое, организационное и информационное обеспечение.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ГОСТ Р 59792-2021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Виды испытаний АС и общие требования.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В документе №21 разделить предварительные/опытные/приемочные проверки и тесты, если проект поставляется как АС.</w:t>
            </w:r>
          </w:p>
        </w:tc>
      </w:tr>
    </w:tbl>
    <w:p>
      <w:pPr>
        <w:pStyle w:val="SmallNote"/>
      </w:pPr>
    </w:p>
    <w:p>
      <w:pPr>
        <w:pStyle w:val="Heading2"/>
      </w:pPr>
      <w:r>
        <w:t>3.1. Что изменить в уже созданных документах №1–6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shd w:fill="244062"/>
            <w:vAlign w:val="center"/>
          </w:tcPr>
          <w:p>
            <w:r>
              <w:t>Документ</w:t>
            </w:r>
          </w:p>
        </w:tc>
        <w:tc>
          <w:tcPr>
            <w:tcW w:type="dxa" w:w="7087"/>
            <w:shd w:fill="244062"/>
            <w:vAlign w:val="center"/>
          </w:tcPr>
          <w:p>
            <w:r>
              <w:t>Что добавить после нормативного анализа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7"/>
              </w:rPr>
              <w:t>№1 Паспорт системы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7"/>
              </w:rPr>
              <w:t>Раздел «Нормативный профиль»: перечень применимых стандартов, класс применимости A/B/C, владелец compliance-профиля.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7"/>
              </w:rPr>
              <w:t>№2 Domain Model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7"/>
              </w:rPr>
              <w:t>Сущности DocumentVersion, ComplianceProfile, ExternalStandardRef, MeasurementSource, LegalBasis; данные о системах координат и метрологическом источнике.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7"/>
              </w:rPr>
              <w:t>№3 Роли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7"/>
              </w:rPr>
              <w:t>Роль/полномочие SecurityAdmin; DataProtectionResponsible; право электронной подписи отдельно от обычного approve; раздельные права на персональные данные.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7"/>
              </w:rPr>
              <w:t>№4 Workflow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7"/>
              </w:rPr>
              <w:t>Юридически значимое утверждение не смешивать с простым статусом APPROVED; отдельные workflows подписи/отзыва/архива.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7"/>
              </w:rPr>
              <w:t>№5 User Flows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7"/>
              </w:rPr>
              <w:t>Добавить доступность, подтверждение опасных/юридически значимых действий, сценарии с плохой связью и восстановлением после сбоя.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7"/>
              </w:rPr>
              <w:t>№6 FRS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7"/>
              </w:rPr>
              <w:t>Каждому требованию при необходимости присваивать normative_tags: PD, GIS, WEIGH, ISOBUS, ESIGN, INFOSEC, A11Y.</w:t>
            </w:r>
          </w:p>
        </w:tc>
      </w:tr>
    </w:tbl>
    <w:p>
      <w:pPr>
        <w:pStyle w:val="SmallNote"/>
      </w:pPr>
    </w:p>
    <w:p>
      <w:pPr>
        <w:pStyle w:val="Heading1"/>
      </w:pPr>
      <w:r>
        <w:t>4. Качество программного продукта: ГОСТ Р ИСО/МЭК 25010 и 25023</w:t>
      </w:r>
    </w:p>
    <w:p>
      <w:r>
        <w:t>ГОСТ Р ИСО/МЭК 25010-2015 задаёт модель качества систем и программных продуктов. Для нас это особенно полезно, потому что цель проекта — не просто «иметь больше функций», а обогнать рынок по реальному качеству использования.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shd w:fill="244062"/>
            <w:vAlign w:val="center"/>
          </w:tcPr>
          <w:p>
            <w:r>
              <w:t>Характеристика</w:t>
            </w:r>
          </w:p>
        </w:tc>
        <w:tc>
          <w:tcPr>
            <w:tcW w:type="dxa" w:w="3685"/>
            <w:shd w:fill="244062"/>
            <w:vAlign w:val="center"/>
          </w:tcPr>
          <w:p>
            <w:r>
              <w:t>Как трактуем в АПК</w:t>
            </w:r>
          </w:p>
        </w:tc>
        <w:tc>
          <w:tcPr>
            <w:tcW w:type="dxa" w:w="3685"/>
            <w:shd w:fill="244062"/>
            <w:vAlign w:val="center"/>
          </w:tcPr>
          <w:p>
            <w:r>
              <w:t>Метрики, которые фиксируем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Функциональная пригодность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Функция решает реальный агросценарий полностью, без перехода в Excel/мессенджер.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% end-to-end сценариев, завершённых внутри платформы; количество ручных обходных путей.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Производительность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Приложение быстро на слабой связи и массовых данных.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P95 открытия ключевого экрана; P95 локальной команды; sync throughput.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Совместимость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Интеграции с 1С, ФГИС, GPS, весовыми, ISOBUS/IoT.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Успешность обменов, version compatibility, retry success.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Удобство использования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Минимум шагов, понятные статусы, role-based интерфейс.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Time-on-task, taps-to-complete, ошибки пользователя, onboarding time.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Надёжность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Работа при потере интернета и восстановление после сбоя.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Crash-free sessions, sync recovery, data-loss incidents = 0.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Защищённость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Разделение прав, аудит, защита ПДн, сервисных токенов.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Security test coverage, privileged actions audited.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Сопровождаемость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Модули независимы, интеграции через адаптеры.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Dependency boundaries, migration tests, code ownership.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Переносимость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Local server/cloud, Android/iOS/web по целевой стратегии.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Reproducible deployment, environment portability.</w:t>
            </w:r>
          </w:p>
        </w:tc>
      </w:tr>
    </w:tbl>
    <w:p>
      <w:pPr>
        <w:pStyle w:val="SmallNote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65D"/>
              </w:rPr>
              <w:t>Competitive Quality Gate</w:t>
              <w:br/>
            </w:r>
            <w:r>
              <w:rPr>
                <w:sz w:val="19"/>
              </w:rPr>
              <w:t>Для типовых сценариев (создать работу, выполнить задание, принять зерно, списать материал, закрыть простой) мы вводим отдельный UX KPI: действие должно выполняться быстрее и с меньшим числом ручных шагов, чем в текущем рыночном baseline. Точная методика сравнения будет закреплена в Документе №8.</w:t>
            </w:r>
          </w:p>
        </w:tc>
      </w:tr>
    </w:tbl>
    <w:p>
      <w:pPr>
        <w:pStyle w:val="SmallNote"/>
      </w:pPr>
    </w:p>
    <w:p>
      <w:pPr>
        <w:pStyle w:val="Heading1"/>
      </w:pPr>
      <w:r>
        <w:t>5. Mobile/Web доступность: ГОСТ Р 52872-2019</w:t>
      </w:r>
    </w:p>
    <w:p>
      <w:r>
        <w:t>Стандарт распространяется на интернет-ресурсы, приложения для стационарных и мобильных устройств и иные пользовательские интерфейсы. Мы принимаем его как внутренний baseline доступности и одновременно как способ сделать продукт удобным для пользователей разного возраста, зрения, моторики и цифровой подготовки.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244062"/>
            <w:vAlign w:val="center"/>
          </w:tcPr>
          <w:p>
            <w:r>
              <w:t>Правило UX</w:t>
            </w:r>
          </w:p>
        </w:tc>
        <w:tc>
          <w:tcPr>
            <w:tcW w:type="dxa" w:w="6803"/>
            <w:shd w:fill="244062"/>
            <w:vAlign w:val="center"/>
          </w:tcPr>
          <w:p>
            <w:r>
              <w:t>Реализация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7"/>
              </w:rPr>
              <w:t>Контраст и читаемость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7"/>
              </w:rPr>
              <w:t>Не кодировать критический статус только цветом; текст + иконка + цвет.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7"/>
              </w:rPr>
              <w:t>Масштабирование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7"/>
              </w:rPr>
              <w:t>Ключевые экраны не ломаются при увеличении системного шрифта.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7"/>
              </w:rPr>
              <w:t>Touch targets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7"/>
              </w:rPr>
              <w:t>Крупные зоны нажатия для работы в поле, перчатках, движении/кабине.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7"/>
              </w:rPr>
              <w:t>Фокус и клавиатура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7"/>
              </w:rPr>
              <w:t>Web-интерфейс основных операций доступен с клавиатуры.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7"/>
              </w:rPr>
              <w:t>Подписи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7"/>
              </w:rPr>
              <w:t>Иконки имеют текст/accessible label; формы имеют явные labels.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7"/>
              </w:rPr>
              <w:t>Ошибки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7"/>
              </w:rPr>
              <w:t>Ошибка объясняет, что произошло и как исправить; не только красная рамка.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7"/>
              </w:rPr>
              <w:t>Офлайн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7"/>
              </w:rPr>
              <w:t>Статус сети и локального сохранения понятен; пользователь не теряет введённое.</w:t>
            </w:r>
          </w:p>
        </w:tc>
      </w:tr>
    </w:tbl>
    <w:p>
      <w:pPr>
        <w:pStyle w:val="SmallNote"/>
      </w:pPr>
    </w:p>
    <w:p>
      <w:pPr>
        <w:pStyle w:val="Heading1"/>
      </w:pPr>
      <w:r>
        <w:t>6. Персональные данные, информационная безопасность и электронная подпись</w:t>
      </w:r>
    </w:p>
    <w:p>
      <w:r>
        <w:t>В платформе неизбежно будут данные сотрудников: ФИО, должность, контакты, задания, рабочие события, координаты техники/исполнителя в отдельных сценариях, история действий. Поэтому архитектура должна изначально учитывать законодательство о персональных данных и защите информации, а не добавлять защиту после разработки.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551"/>
            <w:shd w:fill="244062"/>
            <w:vAlign w:val="center"/>
          </w:tcPr>
          <w:p>
            <w:r>
              <w:t>Документ</w:t>
            </w:r>
          </w:p>
        </w:tc>
        <w:tc>
          <w:tcPr>
            <w:tcW w:type="dxa" w:w="2551"/>
            <w:shd w:fill="244062"/>
            <w:vAlign w:val="center"/>
          </w:tcPr>
          <w:p>
            <w:r>
              <w:t>Роль</w:t>
            </w:r>
          </w:p>
        </w:tc>
        <w:tc>
          <w:tcPr>
            <w:tcW w:type="dxa" w:w="4535"/>
            <w:shd w:fill="244062"/>
            <w:vAlign w:val="center"/>
          </w:tcPr>
          <w:p>
            <w:r>
              <w:t>Требование к архитектуре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152-ФЗ «О персональных данных»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Обязательный правовой контур при обработке ПДн.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Data inventory; цели/основания обработки; минимизация; сроки хранения; права субъектов; разграничение доступа; журналирование; удаление/обезличивание; договоры с обработчиками.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149-ФЗ «Об информации…»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Общий правовой контур информации и её защиты.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Меры защиты, доступ по полномочиям, логирование, защита интеграционных каналов и информационных ресурсов.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ГОСТ Р ИСО/МЭК 27001-2021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Добровольная модель менеджмента ИБ.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Риск-ориентированная безопасность, реестр активов, управление инцидентами, доступом, изменениями и поставщиками.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ПП РФ №1119 / профиль ФСТЭК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Применяется к ИСПДн в зависимости от условий.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На этапе Security Specification определить уровень защищённости и конкретные меры, если платформа/инсталляция образует ИСПДн соответствующей категории.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63-ФЗ «Об электронной подписи»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Если подписываем юридически значимые электронные документы.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Отделить user approval от электронной подписи; хранить подпись/сертификат/время/проверку; предусмотреть интеграцию с УКЭП/МЧД, если сценарий требует.</w:t>
            </w:r>
          </w:p>
        </w:tc>
      </w:tr>
    </w:tbl>
    <w:p>
      <w:pPr>
        <w:pStyle w:val="SmallNote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CE4D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65D"/>
              </w:rPr>
              <w:t>Критически важное правило</w:t>
              <w:br/>
            </w:r>
            <w:r>
              <w:rPr>
                <w:sz w:val="19"/>
              </w:rPr>
              <w:t>Не собирать персональные данные «на всякий случай». Для каждого поля Employee/User/Telemetry должны быть понятны цель, владелец, срок хранения, роли доступа и необходимость передачи во внешнюю систему.</w:t>
            </w:r>
          </w:p>
        </w:tc>
      </w:tr>
    </w:tbl>
    <w:p>
      <w:pPr>
        <w:pStyle w:val="SmallNote"/>
      </w:pPr>
    </w:p>
    <w:p>
      <w:pPr>
        <w:pStyle w:val="Heading1"/>
      </w:pPr>
      <w:r>
        <w:t>7. GIS и пространственные данные</w:t>
      </w:r>
    </w:p>
    <w:p>
      <w:r>
        <w:t>Поля, контуры, геозоны, GPS-треки, точки скаутинга и агрохимические карты являются ядром продукта. Серия ГОСТ Р 70846 по Национальной системе пространственных данных задаёт полезную терминологию и принципы классификации, координатного описания, визуализации и геосервисов.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shd w:fill="244062"/>
            <w:vAlign w:val="center"/>
          </w:tcPr>
          <w:p>
            <w:r>
              <w:t>Стандарт</w:t>
            </w:r>
          </w:p>
        </w:tc>
        <w:tc>
          <w:tcPr>
            <w:tcW w:type="dxa" w:w="2835"/>
            <w:shd w:fill="244062"/>
            <w:vAlign w:val="center"/>
          </w:tcPr>
          <w:p>
            <w:r>
              <w:t>Назначение</w:t>
            </w:r>
          </w:p>
        </w:tc>
        <w:tc>
          <w:tcPr>
            <w:tcW w:type="dxa" w:w="4535"/>
            <w:shd w:fill="244062"/>
            <w:vAlign w:val="center"/>
          </w:tcPr>
          <w:p>
            <w:r>
              <w:t>Что делаем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ГОСТ Р 70846.1-2023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Основные положения стандартизации НСПД.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Единый GIS vocabulary; документировать источники и качество слоёв.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ГОСТ Р 70846.2-2023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Термины и определения.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Использовать корректные понятия spatial object, spatial data, geoservice и т.д.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ГОСТ Р 70846.4-2023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Классификация и кодирование пространственных данных.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Не хранить типы GIS-объектов произвольными строками; справочник и коды.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ГОСТ Р 70846.5-2023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Координатное описание пространственных объектов.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Хранить CRS/SRID, источник координат, точность/дату получения.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ГОСТ Р 70846.6-2023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Визуализация пространственных данных.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Единые стили слоёв, легенды, масштабы отображения.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ГОСТ Р 70846.7-2023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Геосервисы.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Интеграции с картографическими сервисами через отдельный adapter/service layer.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ГОСТ Р 52438-2005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Терминология GIS.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Использовать как дополнительный терминологический справочник.</w:t>
            </w:r>
          </w:p>
        </w:tc>
      </w:tr>
    </w:tbl>
    <w:p>
      <w:pPr>
        <w:pStyle w:val="SmallNote"/>
      </w:pPr>
    </w:p>
    <w:p>
      <w:pPr>
        <w:pStyle w:val="Heading3"/>
      </w:pPr>
      <w:r>
        <w:t>Минимальные поля для каждой геометрии:</w:t>
      </w:r>
    </w:p>
    <w:p>
      <w:pPr>
        <w:pStyle w:val="CodeBlock"/>
      </w:pPr>
      <w:r>
        <w:t>geometry</w:t>
        <w:br/>
        <w:t>crs / srid</w:t>
        <w:br/>
        <w:t>source</w:t>
        <w:br/>
        <w:t>source_external_id</w:t>
        <w:br/>
        <w:t>accuracy_m (если известна)</w:t>
        <w:br/>
        <w:t>captured_at / valid_from</w:t>
        <w:br/>
        <w:t>version</w:t>
        <w:br/>
        <w:t>created_by</w:t>
        <w:br/>
        <w:t>quality_status</w:t>
      </w:r>
    </w:p>
    <w:p>
      <w:pPr>
        <w:pStyle w:val="Heading1"/>
      </w:pPr>
      <w:r>
        <w:t>8. Специальные стандарты цифрового сельского хозяйства</w:t>
      </w:r>
    </w:p>
    <w:p>
      <w:r>
        <w:t>Эта группа особенно важна для нашей стратегии: приложение сначала работает программно, но архитектура должна быть готова к подключению техники, навигации, ISOBUS и автономных функций без переделки ядра.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shd w:fill="244062"/>
            <w:vAlign w:val="center"/>
          </w:tcPr>
          <w:p>
            <w:r>
              <w:t>Стандарт</w:t>
            </w:r>
          </w:p>
        </w:tc>
        <w:tc>
          <w:tcPr>
            <w:tcW w:type="dxa" w:w="3402"/>
            <w:shd w:fill="244062"/>
            <w:vAlign w:val="center"/>
          </w:tcPr>
          <w:p>
            <w:r>
              <w:t>Что регулирует</w:t>
            </w:r>
          </w:p>
        </w:tc>
        <w:tc>
          <w:tcPr>
            <w:tcW w:type="dxa" w:w="3969"/>
            <w:shd w:fill="244062"/>
            <w:vAlign w:val="center"/>
          </w:tcPr>
          <w:p>
            <w:r>
              <w:t>Архитектурное следствие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ГОСТ Р 56412-2015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Система навигационно-информационного обеспечения координатного земледелия. Общие требования.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Наша Field/Telemetry/GIS модель должна поддерживать навигационно-информационные подсистемы и позиционные данные.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ГОСТ Р 56054-2014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Бортовое навигационно-связное оборудование телематических систем мониторинга и диспетчеризации сельхозтехники.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Device/Vehicle telemetry adapter; координаты, связь, состояние оборудования отделены от UI и поставщика трекера.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ГОСТ Р ИСО 11783 (серия)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Последовательная сеть управления и передачи данных тракторов и машин (ISOBUS).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В IoT/Vehicle Integration предусмотреть ISOBUS adapter и нормализованную модель сигналов/агрегатов; не изобретать проприетарный протокол для совместимой техники.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ГОСТ ISO 10975-2026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Безопасность систем автоматического управления тракторов и самоходных сельхозмашин.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Когда платформа перейдёт от мониторинга к управлению/автопилоту, safety boundary и human-in-the-loop становятся отдельным обязательным профилем.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ГОСТ ISO 4254-1-2024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Общие требования безопасности сельхозмашин.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Если наш аппаратный модуль влияет на органы управления/эксплуатацию машины, требования безопасности оборудования анализируются отдельно.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ГОСТ Р 70229-2022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Показатели качества почв для сельхозземель.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SoilMeasurement должен поддерживать стандартизируемые показатели и метод/лабораторию/единицу/дату анализа.</w:t>
            </w:r>
          </w:p>
        </w:tc>
      </w:tr>
    </w:tbl>
    <w:p>
      <w:pPr>
        <w:pStyle w:val="SmallNote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65D"/>
              </w:rPr>
              <w:t>Правило совместимости</w:t>
              <w:br/>
            </w:r>
            <w:r>
              <w:rPr>
                <w:sz w:val="19"/>
              </w:rPr>
              <w:t>Наш доменный объект Vehicle/Implement не должен зависеть от конкретного GPS-провайдера или бренда техники. Источник может быть ручным, GPS API, ISOBUS, CAN, нашим устройством или импортом — бизнес-модель остаётся одной.</w:t>
            </w:r>
          </w:p>
        </w:tc>
      </w:tr>
    </w:tbl>
    <w:p>
      <w:pPr>
        <w:pStyle w:val="SmallNote"/>
      </w:pPr>
    </w:p>
    <w:p>
      <w:pPr>
        <w:pStyle w:val="Heading1"/>
      </w:pPr>
      <w:r>
        <w:t>9. Весовая, измерения и метрологический источник данных</w:t>
      </w:r>
    </w:p>
    <w:p>
      <w:r>
        <w:t>Вес в агропредприятии может использоваться для складского, коммерческого и государственного учёта. Поэтому приложение не должно «исправлять» показания поверенного средства измерений без явного аудита и понимания статуса источника.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551"/>
            <w:shd w:fill="244062"/>
            <w:vAlign w:val="center"/>
          </w:tcPr>
          <w:p>
            <w:r>
              <w:t>Документ</w:t>
            </w:r>
          </w:p>
        </w:tc>
        <w:tc>
          <w:tcPr>
            <w:tcW w:type="dxa" w:w="3118"/>
            <w:shd w:fill="244062"/>
            <w:vAlign w:val="center"/>
          </w:tcPr>
          <w:p>
            <w:r>
              <w:t>Значение</w:t>
            </w:r>
          </w:p>
        </w:tc>
        <w:tc>
          <w:tcPr>
            <w:tcW w:type="dxa" w:w="3969"/>
            <w:shd w:fill="244062"/>
            <w:vAlign w:val="center"/>
          </w:tcPr>
          <w:p>
            <w:r>
              <w:t>Что реализуем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102-ФЗ «Об обеспечении единства измерений»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Правовой контур измерений в сфере государственного регулирования.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Для каждого клиента определить, какие измерения подпадают под госрегулирование; не подменять требования к поверке программной логикой.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ГОСТ OIML R 76-1-2011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Метрологические и технические требования к неавтоматическим весам.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WeightReading хранит raw value, unit, stable flag, instrument_id, timestamp; приложение не изменяет raw measurement.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РМГ 150-2023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Руководство по калибровке неавтоматических весов.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Для сервисного/АПК модуля возможно хранение calibration/verification metadata; не рассчитывать калибровку самовольно без методики.</w:t>
            </w:r>
          </w:p>
        </w:tc>
      </w:tr>
    </w:tbl>
    <w:p>
      <w:pPr>
        <w:pStyle w:val="SmallNote"/>
      </w:pPr>
    </w:p>
    <w:p>
      <w:pPr>
        <w:pStyle w:val="CodeBlock"/>
      </w:pPr>
      <w:r>
        <w:t>WeightReading</w:t>
        <w:br/>
        <w:t>- id</w:t>
        <w:br/>
        <w:t>- weighing_id</w:t>
        <w:br/>
        <w:t>- instrument_id</w:t>
        <w:br/>
        <w:t>- raw_value</w:t>
        <w:br/>
        <w:t>- unit</w:t>
        <w:br/>
        <w:t>- received_at</w:t>
        <w:br/>
        <w:t>- stable</w:t>
        <w:br/>
        <w:t>- source_protocol</w:t>
        <w:br/>
        <w:t>- verification_metadata</w:t>
        <w:br/>
        <w:t>- correction_flag</w:t>
        <w:br/>
        <w:t>- correction_reason</w:t>
        <w:br/>
        <w:t>- corrected_by</w:t>
        <w:br/>
        <w:t>- audit_event_id</w:t>
      </w:r>
    </w:p>
    <w:p>
      <w:pPr>
        <w:pStyle w:val="Heading1"/>
      </w:pPr>
      <w:r>
        <w:t>10. Цифровое производство и управление активами</w:t>
      </w:r>
    </w:p>
    <w:p>
      <w:r>
        <w:t>ГОСТ Р 71721-2024 посвящён интегрированному управлению активами и ресурсами предприятия в условиях цифровой трансформации и умного производства. Для нашей платформы это подтверждает правильность отдельного производственного контура: активы, ресурсы, жизненный цикл, совместимость и интероперабельность.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244062"/>
            <w:vAlign w:val="center"/>
          </w:tcPr>
          <w:p>
            <w:r>
              <w:t>Принцип</w:t>
            </w:r>
          </w:p>
        </w:tc>
        <w:tc>
          <w:tcPr>
            <w:tcW w:type="dxa" w:w="6803"/>
            <w:shd w:fill="244062"/>
            <w:vAlign w:val="center"/>
          </w:tcPr>
          <w:p>
            <w:r>
              <w:t>Как фиксируем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7"/>
              </w:rPr>
              <w:t>Единый Asset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7"/>
              </w:rPr>
              <w:t>Трактор, насос, конвейер, упаковщик и иное оборудование используют общие принципы идентификации, состояния, ТОиР и событий.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7"/>
              </w:rPr>
              <w:t>Lifecycle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7"/>
              </w:rPr>
              <w:t>Ввод в эксплуатацию → активная эксплуатация → обслуживание → ремонт → вывод из эксплуатации.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7"/>
              </w:rPr>
              <w:t>Resource linkage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7"/>
              </w:rPr>
              <w:t>Производственное задание связывается с людьми, материалами, оборудованием и временем.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7"/>
              </w:rPr>
              <w:t>Interoperability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7"/>
              </w:rPr>
              <w:t>MES-lite/production module не зашивает протоколы PLC/датчиков в доменную логику.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7"/>
              </w:rPr>
              <w:t>Traceability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7"/>
              </w:rPr>
              <w:t>Поле → партия → весовая → склад → производственная партия → готовая продукция.</w:t>
            </w:r>
          </w:p>
        </w:tc>
      </w:tr>
    </w:tbl>
    <w:p>
      <w:pPr>
        <w:pStyle w:val="SmallNote"/>
      </w:pPr>
    </w:p>
    <w:p>
      <w:pPr>
        <w:pStyle w:val="Heading1"/>
      </w:pPr>
      <w:r>
        <w:t>11. IoT и аппаратно-программный комплекс</w:t>
      </w:r>
    </w:p>
    <w:p>
      <w:r>
        <w:t>Пока железо не является обязательным для V1 приложения, но контракт устройств должен быть совместим с российской терминологией IoT и различными каналами связи.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551"/>
            <w:shd w:fill="244062"/>
            <w:vAlign w:val="center"/>
          </w:tcPr>
          <w:p>
            <w:r>
              <w:t>Документ/профиль</w:t>
            </w:r>
          </w:p>
        </w:tc>
        <w:tc>
          <w:tcPr>
            <w:tcW w:type="dxa" w:w="3118"/>
            <w:shd w:fill="244062"/>
            <w:vAlign w:val="center"/>
          </w:tcPr>
          <w:p>
            <w:r>
              <w:t>Смысл</w:t>
            </w:r>
          </w:p>
        </w:tc>
        <w:tc>
          <w:tcPr>
            <w:tcW w:type="dxa" w:w="3969"/>
            <w:shd w:fill="244062"/>
            <w:vAlign w:val="center"/>
          </w:tcPr>
          <w:p>
            <w:r>
              <w:t>Решение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ГОСТ Р 71777-2024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Терминологическая основа IoT.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В Документе №25 использовать единые понятия device, IoT system, gateway и т.п.; отделить устройство от сенсора/измерения.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ГОСТ Р 59026-2024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Основные параметры NB-IoT; стандарт прямо допускает использование в сельском хозяйстве.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Если выберем NB-IoT — реализовать как транспортный adapter наряду с LoRa/Ethernet/4G, не как базовую модель данных.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Будущий LoRa/RS485/MQTT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Не один конкретный ГОСТ, а технический профиль проекта.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Canonical Device API + MQTT ingestion + store-and-forward + device identity + timestamp quality + heartbeat.</w:t>
            </w:r>
          </w:p>
        </w:tc>
      </w:tr>
    </w:tbl>
    <w:p>
      <w:pPr>
        <w:pStyle w:val="SmallNote"/>
      </w:pPr>
    </w:p>
    <w:p>
      <w:pPr>
        <w:pStyle w:val="Heading1"/>
      </w:pPr>
      <w:r>
        <w:t>12. Open Source и технологическая независимость</w:t>
      </w:r>
    </w:p>
    <w:p>
      <w:r>
        <w:t>Проект предполагает использование открытых компонентов (например, PostgreSQL/PostGIS и ряда инфраструктурных библиотек). ГОСТ Р 71436-2024 устанавливает требования к созданию и эксплуатации систем с использованием ПО с открытым исходным текстом; мы используем его как baseline управления поставкой и зависимостями.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244062"/>
            <w:vAlign w:val="center"/>
          </w:tcPr>
          <w:p>
            <w:r>
              <w:t>Контроль</w:t>
            </w:r>
          </w:p>
        </w:tc>
        <w:tc>
          <w:tcPr>
            <w:tcW w:type="dxa" w:w="6803"/>
            <w:shd w:fill="244062"/>
            <w:vAlign w:val="center"/>
          </w:tcPr>
          <w:p>
            <w:r>
              <w:t>Требование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7"/>
              </w:rPr>
              <w:t>SBOM/реестр зависимостей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7"/>
              </w:rPr>
              <w:t>Хранить компонент, версию, лицензию, источник, CVE status.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7"/>
              </w:rPr>
              <w:t>License policy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7"/>
              </w:rPr>
              <w:t>Разрешённые/условно разрешённые/запрещённые лицензии.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7"/>
              </w:rPr>
              <w:t>Reproducible build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7"/>
              </w:rPr>
              <w:t>Фиксация версий и lock-файлов; сборка не зависит от случайного latest.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7"/>
              </w:rPr>
              <w:t>Vulnerability workflow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7"/>
              </w:rPr>
              <w:t>Регулярный dependency scan и SLA на критические уязвимости.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7"/>
              </w:rPr>
              <w:t>Fork/exit plan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7"/>
              </w:rPr>
              <w:t>Для критичных компонентов понимать, что делать при прекращении поддержки/санкционных ограничениях/изменении лицензии.</w:t>
            </w:r>
          </w:p>
        </w:tc>
      </w:tr>
    </w:tbl>
    <w:p>
      <w:pPr>
        <w:pStyle w:val="SmallNote"/>
      </w:pPr>
    </w:p>
    <w:p>
      <w:pPr>
        <w:pStyle w:val="Heading1"/>
      </w:pPr>
      <w:r>
        <w:t>13. Тестирование и приемка</w:t>
      </w:r>
    </w:p>
    <w:p>
      <w:r>
        <w:t>ГОСТ Р 56920-2024 распространяется на тестирование ПО различных автоматизированных, информационно-вычислительных, AI и киберфизических систем. Мы используем его совместно с требованиями к испытаниям АС как рамку для Документа №21.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shd w:fill="244062"/>
            <w:vAlign w:val="center"/>
          </w:tcPr>
          <w:p>
            <w:r>
              <w:t>Уровень</w:t>
            </w:r>
          </w:p>
        </w:tc>
        <w:tc>
          <w:tcPr>
            <w:tcW w:type="dxa" w:w="7087"/>
            <w:shd w:fill="244062"/>
            <w:vAlign w:val="center"/>
          </w:tcPr>
          <w:p>
            <w:r>
              <w:t>Что проверяем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7"/>
              </w:rPr>
              <w:t>Unit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7"/>
              </w:rPr>
              <w:t>Бизнес-правила, state transitions, formulas.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7"/>
              </w:rPr>
              <w:t>Integration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7"/>
              </w:rPr>
              <w:t>PostgreSQL, Redis/queue, files, 1С/ФГИС adapters, GIS.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7"/>
              </w:rPr>
              <w:t>Contract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7"/>
              </w:rPr>
              <w:t>API/OpenAPI, webhooks, external connector versions.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7"/>
              </w:rPr>
              <w:t>Offline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7"/>
              </w:rPr>
              <w:t>Потеря сети, повтор, конфликт версий, длительная автономность.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7"/>
              </w:rPr>
              <w:t>Permission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7"/>
              </w:rPr>
              <w:t>Каждая критичная команда тестируется на allowed/denied scopes.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7"/>
              </w:rPr>
              <w:t>Data integrity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7"/>
              </w:rPr>
              <w:t>Партии, склад, вес, lineage, audit не теряются при retry.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7"/>
              </w:rPr>
              <w:t>Performance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7"/>
              </w:rPr>
              <w:t>P95/P99 по ключевым операциям и массовой синхронизации.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7"/>
              </w:rPr>
              <w:t>Security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7"/>
              </w:rPr>
              <w:t>Auth, session, privilege escalation, secrets, audit.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7"/>
              </w:rPr>
              <w:t>Recovery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7"/>
              </w:rPr>
              <w:t>Backup/restore и восстановление очередей.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7"/>
              </w:rPr>
              <w:t>Acceptance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7"/>
              </w:rPr>
              <w:t>End-to-end сценарии реального хозяйства на Demo Farm.</w:t>
            </w:r>
          </w:p>
        </w:tc>
      </w:tr>
    </w:tbl>
    <w:p>
      <w:pPr>
        <w:pStyle w:val="SmallNote"/>
      </w:pPr>
    </w:p>
    <w:p>
      <w:pPr>
        <w:pStyle w:val="Heading1"/>
      </w:pPr>
      <w:r>
        <w:t>14. Матрица влияния нормативов на архитектуру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shd w:fill="244062"/>
            <w:vAlign w:val="center"/>
          </w:tcPr>
          <w:p>
            <w:r>
              <w:t>Компонент</w:t>
            </w:r>
          </w:p>
        </w:tc>
        <w:tc>
          <w:tcPr>
            <w:tcW w:type="dxa" w:w="3118"/>
            <w:shd w:fill="244062"/>
            <w:vAlign w:val="center"/>
          </w:tcPr>
          <w:p>
            <w:r>
              <w:t>Нормативный профиль</w:t>
            </w:r>
          </w:p>
        </w:tc>
        <w:tc>
          <w:tcPr>
            <w:tcW w:type="dxa" w:w="4252"/>
            <w:shd w:fill="244062"/>
            <w:vAlign w:val="center"/>
          </w:tcPr>
          <w:p>
            <w:r>
              <w:t>Обязательное проектное решение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Identity / RBAC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152-ФЗ, 149-ФЗ, ISO/IEC 27001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Scopes, least privilege, privileged action audit.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Mobile offline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25010, 52872, 56920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Local DB, sync queue, recoverability, clear offline state.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GIS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70846 series, 52438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CRS/SRID, source, quality, version, geoservice adapters.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Field/soil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56412, 70229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Field geometry + season + standardized measurements.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Vehicle telematics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56054, ISO 11783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Provider-neutral telemetry and implement integration.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Autonomy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ISO 10975-2026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Separate safety control plane; no direct dangerous action from generic AI.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Weighing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102-ФЗ, OIML R76-1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Immutable raw readings, instrument identity, audit.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Production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71721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Asset lifecycle + resource linkage + interoperability.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IoT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71777, 59026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Device registry, gateway, transport adapters, timestamps.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Open source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71436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SBOM, license/vulnerability governance.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Documentation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34.201/34.602/59793/59795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Traceability from requirement → design → test → acceptance.</w:t>
            </w:r>
          </w:p>
        </w:tc>
      </w:tr>
    </w:tbl>
    <w:p>
      <w:pPr>
        <w:pStyle w:val="SmallNote"/>
      </w:pPr>
    </w:p>
    <w:p>
      <w:pPr>
        <w:pStyle w:val="Heading1"/>
      </w:pPr>
      <w:r>
        <w:t>15. Изменения в план документов проекта</w:t>
      </w:r>
    </w:p>
    <w:p>
      <w:r>
        <w:t>После нормативного анализа отдельные будущие документы получают дополнительную обязательную секцию Compliance.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118"/>
            <w:shd w:fill="244062"/>
            <w:vAlign w:val="center"/>
          </w:tcPr>
          <w:p>
            <w:r>
              <w:t>Документ</w:t>
            </w:r>
          </w:p>
        </w:tc>
        <w:tc>
          <w:tcPr>
            <w:tcW w:type="dxa" w:w="6520"/>
            <w:shd w:fill="244062"/>
            <w:vAlign w:val="center"/>
          </w:tcPr>
          <w:p>
            <w:r>
              <w:t>Нормативное дополнение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№8 Product North Star / Benchmark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Добавить quality metrics из 25010/25023: скорость сценария, ошибки, доступность, надёжность.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№9 Обязательный цифровой контур АПК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Для каждой ФГИС фиксировать нормативное основание, обязательность, ЭП, формат и сроки.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№10 Data Dictionary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Добавить classification: personal_data, legal_significance, measurement, spatial, master_data, retention.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№11 Business Rules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Нормативные business rules помечать source_ref и effective_from.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№12 Offline/Sync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Требования к целостности, конфликтам, времени устройства и защите локальной БД.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№13 Integrations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Версионирование API, подпись, идемпотентность, очередь, подтверждение доставки.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№14 API Contract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Security schemes, idempotency keys, audit correlation_id.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№17 KPI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Отделить операционные KPI от метрологически значимых измерений.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№18 Документы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Классифицировать простой PDF, внутреннее утверждение и документ с ЭП.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№19 Security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Полный 152-ФЗ/149-ФЗ/27001 профиль; применимость 1119/ФСТЭК; threat model.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№20 NFR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Превратить 25010/25023 в измеримые SLO/SLA.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№21 Tests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56920 + 59792; матрица Requirement→Test.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№24 GIS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70846 + coordinate agriculture standards.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№25 IoT Contract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71777, 59026, 56054, ISO 11783.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№26 Production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71721 + measurement/source-of-truth rules.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№31 Hardware/Software complex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6"/>
              </w:rPr>
              <w:t>Agricultural machinery safety, metrology, IoT and environmental profiles.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№33 Final Codex Pack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6"/>
              </w:rPr>
              <w:t>ГОСТ 34.602-style final TЗ + трассировка всех требований.</w:t>
            </w:r>
          </w:p>
        </w:tc>
      </w:tr>
    </w:tbl>
    <w:p>
      <w:pPr>
        <w:pStyle w:val="SmallNote"/>
      </w:pPr>
    </w:p>
    <w:p>
      <w:pPr>
        <w:pStyle w:val="Heading1"/>
      </w:pPr>
      <w:r>
        <w:t>16. Compliance metadata для требований Codex</w:t>
      </w:r>
    </w:p>
    <w:p>
      <w:r>
        <w:t>Чтобы требования не теряли нормативное происхождение, в markdown/YAML-спецификациях для Codex вводится единый metadata-блок.</w:t>
      </w:r>
    </w:p>
    <w:p>
      <w:pPr>
        <w:pStyle w:val="CodeBlock"/>
      </w:pPr>
      <w:r>
        <w:t>id: FR-WEIGH-012</w:t>
        <w:br/>
        <w:t>title: Capture raw scale reading</w:t>
        <w:br/>
        <w:t>domain: weighing</w:t>
        <w:br/>
        <w:t>normative_tags:</w:t>
        <w:br/>
        <w:t xml:space="preserve">  - MEASUREMENT</w:t>
        <w:br/>
        <w:t xml:space="preserve">  - WEIGH</w:t>
        <w:br/>
        <w:t>normative_refs:</w:t>
        <w:br/>
        <w:t xml:space="preserve">  - "102-FZ"</w:t>
        <w:br/>
        <w:t xml:space="preserve">  - "GOST-OIML-R-76-1-2011"</w:t>
        <w:br/>
        <w:t>applicability: client_profile</w:t>
        <w:br/>
        <w:t>source_of_truth: weighing_instrument</w:t>
        <w:br/>
        <w:t>audit_required: true</w:t>
        <w:br/>
        <w:t>offline: local_server</w:t>
        <w:br/>
        <w:t>acceptance_tests:</w:t>
        <w:br/>
        <w:t xml:space="preserve">  - TEST-WEIGH-RAW-001</w:t>
        <w:br/>
        <w:t xml:space="preserve">  - TEST-WEIGH-AUDIT-002</w:t>
      </w:r>
    </w:p>
    <w:p>
      <w:r>
        <w:t>Таким образом Codex получает не просто текст требования, а машинно-читаемую связь «почему это правило существует» и какие тесты обязаны его подтверждать.</w:t>
      </w:r>
    </w:p>
    <w:p>
      <w:pPr>
        <w:pStyle w:val="Heading1"/>
      </w:pPr>
      <w:r>
        <w:t>17. Что НЕ следует делать на основании ГОСТ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118"/>
            <w:shd w:fill="244062"/>
            <w:vAlign w:val="center"/>
          </w:tcPr>
          <w:p>
            <w:r>
              <w:t>Антипаттерн</w:t>
            </w:r>
          </w:p>
        </w:tc>
        <w:tc>
          <w:tcPr>
            <w:tcW w:type="dxa" w:w="6520"/>
            <w:shd w:fill="244062"/>
            <w:vAlign w:val="center"/>
          </w:tcPr>
          <w:p>
            <w:r>
              <w:t>Правильное решение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7"/>
              </w:rPr>
              <w:t>Не делать интерфейс тяжелее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7"/>
              </w:rPr>
              <w:t>ГОСТ-документирование не означает, что пользователь должен видеть сложные формы или коды стандартов.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7"/>
              </w:rPr>
              <w:t>Не копировать государственные формы в core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7"/>
              </w:rPr>
              <w:t>Форма конкретной ФГИС живёт в connector/mapping layer; ядро хранит нормализованные данные.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7"/>
              </w:rPr>
              <w:t>Не смешивать measurement и business correction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7"/>
              </w:rPr>
              <w:t>Сырые показания сохраняются отдельно; корректировка создаёт новое бизнес-событие.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7"/>
              </w:rPr>
              <w:t>Не привязывать IoT к одному протоколу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7"/>
              </w:rPr>
              <w:t>NB-IoT/LoRa/4G/Ethernet/ISOBUS — адаптеры транспорта и устройств.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7"/>
              </w:rPr>
              <w:t>Не объявлять все ГОСТы обязательными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7"/>
              </w:rPr>
              <w:t>У каждого стандарта должен быть applicability profile.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7"/>
              </w:rPr>
              <w:t>Не позволять AI обходить safety/approval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7"/>
              </w:rPr>
              <w:t>AI предлагает или формирует draft; опасное/юридически значимое действие проходит отдельные права и workflow.</w:t>
            </w:r>
          </w:p>
        </w:tc>
      </w:tr>
    </w:tbl>
    <w:p>
      <w:pPr>
        <w:pStyle w:val="SmallNote"/>
      </w:pPr>
    </w:p>
    <w:p>
      <w:pPr>
        <w:pStyle w:val="Heading1"/>
      </w:pPr>
      <w:r>
        <w:t>18. Acceptance Criteria Документа №7</w:t>
      </w:r>
    </w:p>
    <w:p>
      <w:pPr>
        <w:pStyle w:val="ListBullet"/>
      </w:pPr>
      <w:r>
        <w:t>Для каждого стандарта и закона определён класс применимости A/B/C.</w:t>
      </w:r>
    </w:p>
    <w:p>
      <w:pPr>
        <w:pStyle w:val="ListBullet"/>
      </w:pPr>
      <w:r>
        <w:t>Ни один ГОСТ не объявляется обязательным без проверки основания.</w:t>
      </w:r>
    </w:p>
    <w:p>
      <w:pPr>
        <w:pStyle w:val="ListBullet"/>
      </w:pPr>
      <w:r>
        <w:t>Документы №1–6 имеют список конкретных дополнений.</w:t>
      </w:r>
    </w:p>
    <w:p>
      <w:pPr>
        <w:pStyle w:val="ListBullet"/>
      </w:pPr>
      <w:r>
        <w:t>GIS-модель предусматривает CRS/SRID, источник, версию и качество пространственных данных.</w:t>
      </w:r>
    </w:p>
    <w:p>
      <w:pPr>
        <w:pStyle w:val="ListBullet"/>
      </w:pPr>
      <w:r>
        <w:t>Весовая хранит необработанное показание прибора отдельно от бизнес-корректировок.</w:t>
      </w:r>
    </w:p>
    <w:p>
      <w:pPr>
        <w:pStyle w:val="ListBullet"/>
      </w:pPr>
      <w:r>
        <w:t>Персональные данные имеют классификацию, цель, роли доступа и будущий retention profile.</w:t>
      </w:r>
    </w:p>
    <w:p>
      <w:pPr>
        <w:pStyle w:val="ListBullet"/>
      </w:pPr>
      <w:r>
        <w:t>Интеграция с сельхозтехникой не замыкается на одном GPS/CAN-поставщике и допускает ISOBUS.</w:t>
      </w:r>
    </w:p>
    <w:p>
      <w:pPr>
        <w:pStyle w:val="ListBullet"/>
      </w:pPr>
      <w:r>
        <w:t>Будущий контур автономного управления отделён от обычного мониторинга по safety boundary.</w:t>
      </w:r>
    </w:p>
    <w:p>
      <w:pPr>
        <w:pStyle w:val="ListBullet"/>
      </w:pPr>
      <w:r>
        <w:t>NFR и тесты в будущих документах трассируются к 25010/25023/56920.</w:t>
      </w:r>
    </w:p>
    <w:p>
      <w:pPr>
        <w:pStyle w:val="ListBullet"/>
      </w:pPr>
      <w:r>
        <w:t>Требования для Codex поддерживают normative_tags/normative_refs.</w:t>
      </w:r>
    </w:p>
    <w:p>
      <w:pPr>
        <w:pStyle w:val="Heading1"/>
      </w:pPr>
      <w:r>
        <w:t>19. Реестр ключевых источников и статус проверки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680"/>
            <w:shd w:fill="244062"/>
            <w:vAlign w:val="center"/>
          </w:tcPr>
          <w:p>
            <w:r>
              <w:t>ID</w:t>
            </w:r>
          </w:p>
        </w:tc>
        <w:tc>
          <w:tcPr>
            <w:tcW w:type="dxa" w:w="2438"/>
            <w:shd w:fill="244062"/>
            <w:vAlign w:val="center"/>
          </w:tcPr>
          <w:p>
            <w:r>
              <w:t>Документ</w:t>
            </w:r>
          </w:p>
        </w:tc>
        <w:tc>
          <w:tcPr>
            <w:tcW w:type="dxa" w:w="1701"/>
            <w:shd w:fill="244062"/>
            <w:vAlign w:val="center"/>
          </w:tcPr>
          <w:p>
            <w:r>
              <w:t>Источник</w:t>
            </w:r>
          </w:p>
        </w:tc>
        <w:tc>
          <w:tcPr>
            <w:tcW w:type="dxa" w:w="3685"/>
            <w:shd w:fill="244062"/>
            <w:vAlign w:val="center"/>
          </w:tcPr>
          <w:p>
            <w:r>
              <w:t>URL</w:t>
            </w:r>
          </w:p>
        </w:tc>
        <w:tc>
          <w:tcPr>
            <w:tcW w:type="dxa" w:w="1701"/>
            <w:shd w:fill="244062"/>
            <w:vAlign w:val="center"/>
          </w:tcPr>
          <w:p>
            <w:r>
              <w:t>Статус/пометка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4"/>
              </w:rPr>
              <w:t>S01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4"/>
              </w:rPr>
              <w:t>ГОСТ 34.201-2020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4"/>
              </w:rPr>
              <w:t>Росстандарт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4"/>
              </w:rPr>
              <w:t>https://protect.gost.ru/gost/details/765f2a29-e368-4e1e-9eed-aeb1dc36a924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4"/>
              </w:rPr>
              <w:t>Действует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4"/>
              </w:rPr>
              <w:t>S02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4"/>
              </w:rPr>
              <w:t>ГОСТ 34.602-2020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4"/>
              </w:rPr>
              <w:t>Росстандарт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4"/>
              </w:rPr>
              <w:t>https://protect.gost.ru/gost/details/5876f733-ee91-431a-8cb6-9e02ea2436ac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4"/>
              </w:rPr>
              <w:t>Действует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4"/>
              </w:rPr>
              <w:t>S03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4"/>
              </w:rPr>
              <w:t>ГОСТ Р 59793-2021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4"/>
              </w:rPr>
              <w:t>Росстандарт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4"/>
              </w:rPr>
              <w:t>https://protect.gost.ru/gost/details/2899faee-25e2-4cd1-9f30-e7e01a4b9b8d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4"/>
              </w:rPr>
              <w:t>Действует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4"/>
              </w:rPr>
              <w:t>S04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4"/>
              </w:rPr>
              <w:t>ГОСТ Р 59795-2021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4"/>
              </w:rPr>
              <w:t>Росстандарт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4"/>
              </w:rPr>
              <w:t>https://protect.gost.ru/gost/details/29834ae6-3ac4-4f76-859f-7704ed07f1c8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4"/>
              </w:rPr>
              <w:t>Действует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4"/>
              </w:rPr>
              <w:t>S05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4"/>
              </w:rPr>
              <w:t>ГОСТ Р 59792-2021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4"/>
              </w:rPr>
              <w:t>Росстандарт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4"/>
              </w:rPr>
              <w:t>https://protect.gost.ru/gost/details/60279c95-21dc-430c-bf2c-f626c588576e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4"/>
              </w:rPr>
              <w:t>Действует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4"/>
              </w:rPr>
              <w:t>S06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4"/>
              </w:rPr>
              <w:t>ГОСТ Р ИСО/МЭК 25010-2015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4"/>
              </w:rPr>
              <w:t>Росстандарт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4"/>
              </w:rPr>
              <w:t>https://protect.gost.ru/gost/details/e5744d86-5a17-4909-96da-b38691326f0c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4"/>
              </w:rPr>
              <w:t>Действует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4"/>
              </w:rPr>
              <w:t>S07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4"/>
              </w:rPr>
              <w:t>ГОСТ Р ИСО/МЭК 25023-2021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4"/>
              </w:rPr>
              <w:t>Росстандарт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4"/>
              </w:rPr>
              <w:t>https://protect.gost.ru/gost/details/fee7d873-29ca-4b9a-b28c-61bcef3d3319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4"/>
              </w:rPr>
              <w:t>Действует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4"/>
              </w:rPr>
              <w:t>S08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4"/>
              </w:rPr>
              <w:t>ГОСТ Р 52872-2019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4"/>
              </w:rPr>
              <w:t>Росстандарт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4"/>
              </w:rPr>
              <w:t>https://protect.gost.ru/gost/details/2d10ff38-d609-4dcc-899f-c18b77ac0b75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4"/>
              </w:rPr>
              <w:t>Действует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4"/>
              </w:rPr>
              <w:t>S09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4"/>
              </w:rPr>
              <w:t>ГОСТ Р 56920-2024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4"/>
              </w:rPr>
              <w:t>Росстандарт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4"/>
              </w:rPr>
              <w:t>https://protect.gost.ru/gost/details/add71c89-4533-46c0-956a-887531f967dc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4"/>
              </w:rPr>
              <w:t>Действует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4"/>
              </w:rPr>
              <w:t>S10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4"/>
              </w:rPr>
              <w:t>ГОСТ Р ИСО/МЭК 27001-2021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4"/>
              </w:rPr>
              <w:t>Росстандарт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4"/>
              </w:rPr>
              <w:t>https://protect.gost.ru/gost/details/5e4acc56-cecf-41d4-a64f-95b3bac0d54f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4"/>
              </w:rPr>
              <w:t>Действует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4"/>
              </w:rPr>
              <w:t>S11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4"/>
              </w:rPr>
              <w:t>ГОСТ Р 70846.2-2023 и серия НСПД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4"/>
              </w:rPr>
              <w:t>Росстандарт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4"/>
              </w:rPr>
              <w:t>https://protect.gost.ru/gost/details/4f226059-c95a-4093-8198-28b5cdf0bea6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4"/>
              </w:rPr>
              <w:t>Действует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4"/>
              </w:rPr>
              <w:t>S12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4"/>
              </w:rPr>
              <w:t>ГОСТ Р 56412-2015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4"/>
              </w:rPr>
              <w:t>Росстандарт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4"/>
              </w:rPr>
              <w:t>https://protect.gost.ru/gost/details/2dc56b83-87c7-4763-9b5e-0b9b1c69fd1a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4"/>
              </w:rPr>
              <w:t>Действует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4"/>
              </w:rPr>
              <w:t>S13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4"/>
              </w:rPr>
              <w:t>ГОСТ Р 56054-2014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4"/>
              </w:rPr>
              <w:t>Росстандарт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4"/>
              </w:rPr>
              <w:t>https://protect.gost.ru/gost/details/2c355897-0dd0-4e1a-b23b-271d63ecc0a3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4"/>
              </w:rPr>
              <w:t>Действует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4"/>
              </w:rPr>
              <w:t>S14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4"/>
              </w:rPr>
              <w:t>ГОСТ Р ИСО 11783-3-2021 (серия ISOBUS)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4"/>
              </w:rPr>
              <w:t>Росстандарт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4"/>
              </w:rPr>
              <w:t>https://protect.gost.ru/gost/details/6f62ae9a-598a-4b11-a9d2-df27fcb4d56f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4"/>
              </w:rPr>
              <w:t>Действует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4"/>
              </w:rPr>
              <w:t>S15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4"/>
              </w:rPr>
              <w:t>ГОСТ ISO 10975-2026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4"/>
              </w:rPr>
              <w:t>Росстандарт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4"/>
              </w:rPr>
              <w:t>https://protect.gost.ru/gost/details/60ef34b1-6836-42d5-9077-08bdf69c4c62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4"/>
              </w:rPr>
              <w:t>Действует с 15.07.2026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4"/>
              </w:rPr>
              <w:t>S16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4"/>
              </w:rPr>
              <w:t>ГОСТ Р 70229-2022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4"/>
              </w:rPr>
              <w:t>Росстандарт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4"/>
              </w:rPr>
              <w:t>https://protect.gost.ru/gost/details/d103b999-45bd-4394-a25b-086b922fe9e6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4"/>
              </w:rPr>
              <w:t>Действует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4"/>
              </w:rPr>
              <w:t>S17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4"/>
              </w:rPr>
              <w:t>ГОСТ OIML R 76-1-2011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4"/>
              </w:rPr>
              <w:t>Росстандарт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4"/>
              </w:rPr>
              <w:t>https://protect.gost.ru/gost/details/1af49813-69da-4f8a-b7a5-2efc28fcead1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4"/>
              </w:rPr>
              <w:t>Действует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4"/>
              </w:rPr>
              <w:t>S18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4"/>
              </w:rPr>
              <w:t>ГОСТ Р 71721-2024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4"/>
              </w:rPr>
              <w:t>Росстандарт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4"/>
              </w:rPr>
              <w:t>https://protect.gost.ru/gost/details/00d1ac83-ad10-4743-8baf-6cd0907b7714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4"/>
              </w:rPr>
              <w:t>Действует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4"/>
              </w:rPr>
              <w:t>S19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4"/>
              </w:rPr>
              <w:t>ГОСТ Р 71777-2024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4"/>
              </w:rPr>
              <w:t>Росстандарт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4"/>
              </w:rPr>
              <w:t>https://protect.gost.ru/gost/details/688f305a-5d92-4e1f-81be-01142ecf5a09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4"/>
              </w:rPr>
              <w:t>Действует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4"/>
              </w:rPr>
              <w:t>S20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4"/>
              </w:rPr>
              <w:t>ГОСТ Р 59026-2024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4"/>
              </w:rPr>
              <w:t>Росстандарт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4"/>
              </w:rPr>
              <w:t>https://protect.gost.ru/gost/details/761b78cf-80b3-4fbd-944b-a70e9a7c979f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4"/>
              </w:rPr>
              <w:t>Действует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4"/>
              </w:rPr>
              <w:t>S21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4"/>
              </w:rPr>
              <w:t>ГОСТ Р 71436-2024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4"/>
              </w:rPr>
              <w:t>Росстандарт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4"/>
              </w:rPr>
              <w:t>https://protect.gost.ru/gost/details/00ec9573-f190-4c53-863b-6bd74fb75ce9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4"/>
              </w:rPr>
              <w:t>Действует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4"/>
              </w:rPr>
              <w:t>S22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4"/>
              </w:rPr>
              <w:t>162-ФЗ «О стандартизации»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4"/>
              </w:rPr>
              <w:t>Официальное опубликование / актуальная редакция проверена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4"/>
              </w:rPr>
              <w:t>https://publication.pravo.gov.ru/document/0001201506300047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4"/>
              </w:rPr>
              <w:t>ФЗ; стандарты в общем случае добровольны, если иное не установлено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4"/>
              </w:rPr>
              <w:t>S23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4"/>
              </w:rPr>
              <w:t>152-ФЗ «О персональных данных»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4"/>
              </w:rPr>
              <w:t>Минтруд/правовая база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4"/>
              </w:rPr>
              <w:t>https://mintrud.gov.ru/docs/laws/130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4"/>
              </w:rPr>
              <w:t>Действует; применимость зависит от обработки ПДн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4"/>
              </w:rPr>
              <w:t>S24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4"/>
              </w:rPr>
              <w:t>149-ФЗ «Об информации…»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4"/>
              </w:rPr>
              <w:t>Росстат/правовая база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4"/>
              </w:rPr>
              <w:t>https://www.rosstat.gov.ru/storage/mediabank/%D0%A4%D0%B5%D0%B4%D0%B5%D1%80%D0%B0%D0%BB%D1%8C%D0%BD%D1%8B%D0%B9%20%D0%B7%D0%B0%D0%BA%D0%BE%D0%BD%20%D0%BE%D1%82%2027.07.2006%20%E2%84%96149-%D0%A4%D0%97.html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4"/>
              </w:rPr>
              <w:t>Действует; актуальность редакции перепроверять перед релизом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4"/>
              </w:rPr>
              <w:t>S25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4"/>
              </w:rPr>
              <w:t>63-ФЗ «Об электронной подписи»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4"/>
              </w:rPr>
              <w:t>Кремль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4"/>
              </w:rPr>
              <w:t>https://www.kremlin.ru/acts/bank/32938/print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30"/>
            </w:pPr>
            <w:r>
              <w:rPr>
                <w:sz w:val="14"/>
              </w:rPr>
              <w:t>Действует; актуальность редакции перепроверять перед релизом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4"/>
              </w:rPr>
              <w:t>S26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4"/>
              </w:rPr>
              <w:t>187-ФЗ «О безопасности КИИ»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4"/>
              </w:rPr>
              <w:t>Официальное опубликование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4"/>
              </w:rPr>
              <w:t>https://publication.pravo.gov.ru/Document/View/0001201707260023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C"/>
          </w:tcPr>
          <w:p>
            <w:pPr>
              <w:spacing w:after="30"/>
            </w:pPr>
            <w:r>
              <w:rPr>
                <w:sz w:val="14"/>
              </w:rPr>
              <w:t>Применяется только при наличии соответствующей области/субъекта КИИ</w:t>
            </w:r>
          </w:p>
        </w:tc>
      </w:tr>
    </w:tbl>
    <w:p>
      <w:pPr>
        <w:pStyle w:val="SmallNote"/>
      </w:pPr>
    </w:p>
    <w:p>
      <w:pPr>
        <w:pStyle w:val="Heading1"/>
      </w:pPr>
      <w:r>
        <w:t>20. Итоговые нормативные решения, которые считаются принятыми</w:t>
      </w:r>
    </w:p>
    <w:p>
      <w:pPr>
        <w:pStyle w:val="ListBullet"/>
      </w:pPr>
      <w:r>
        <w:t>Используем ГОСТ 34 как структуру инженерной документации и приемки, без переноса бюрократии в UX.</w:t>
      </w:r>
    </w:p>
    <w:p>
      <w:pPr>
        <w:pStyle w:val="ListBullet"/>
      </w:pPr>
      <w:r>
        <w:t>Качество продукта измеряем по модели 25010/25023, включая удобство и надёжность offline.</w:t>
      </w:r>
    </w:p>
    <w:p>
      <w:pPr>
        <w:pStyle w:val="ListBullet"/>
      </w:pPr>
      <w:r>
        <w:t>Mobile/web проектируются с учётом доступности ГОСТ Р 52872-2019.</w:t>
      </w:r>
    </w:p>
    <w:p>
      <w:pPr>
        <w:pStyle w:val="ListBullet"/>
      </w:pPr>
      <w:r>
        <w:t>ПДн и ИБ проектируются с первого дня; права, audit, retention и data minimization встроены в модель.</w:t>
      </w:r>
    </w:p>
    <w:p>
      <w:pPr>
        <w:pStyle w:val="ListBullet"/>
      </w:pPr>
      <w:r>
        <w:t>GIS-данные содержат систему координат, источник, версию и метаданные качества.</w:t>
      </w:r>
    </w:p>
    <w:p>
      <w:pPr>
        <w:pStyle w:val="ListBullet"/>
      </w:pPr>
      <w:r>
        <w:t>Техника и будущие устройства подключаются через provider-neutral adapters; ISOBUS учитывается как стратегический стандарт совместимости.</w:t>
      </w:r>
    </w:p>
    <w:p>
      <w:pPr>
        <w:pStyle w:val="ListBullet"/>
      </w:pPr>
      <w:r>
        <w:t>Сырые измерения (особенно вес) неизменяемы; бизнес-корректировки отделены и аудируются.</w:t>
      </w:r>
    </w:p>
    <w:p>
      <w:pPr>
        <w:pStyle w:val="ListBullet"/>
      </w:pPr>
      <w:r>
        <w:t>Производственный модуль строится вокруг активов, ресурсов и traceability.</w:t>
      </w:r>
    </w:p>
    <w:p>
      <w:pPr>
        <w:pStyle w:val="ListBullet"/>
      </w:pPr>
      <w:r>
        <w:t>IoT — транспортно-аппаратный слой, а не отдельная бизнес-модель.</w:t>
      </w:r>
    </w:p>
    <w:p>
      <w:pPr>
        <w:pStyle w:val="ListBullet"/>
      </w:pPr>
      <w:r>
        <w:t>Open-source зависимости управляются как цепочка поставки ПО.</w:t>
      </w:r>
    </w:p>
    <w:p>
      <w:pPr>
        <w:pStyle w:val="ListBullet"/>
      </w:pPr>
      <w:r>
        <w:t>Каждое нормативно значимое требование получает normative_ref и тест.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65D"/>
              </w:rPr>
              <w:t>Следующий шаг</w:t>
              <w:br/>
            </w:r>
            <w:r>
              <w:rPr>
                <w:sz w:val="19"/>
              </w:rPr>
              <w:t>Документ №8 — Product North Star &amp; Competitive Benchmark. Там мы уже формально определим, как именно обгоняем АгроСигнал: по числу действий, времени сценария, offline-возможностям, роли mobile, интеграциям, производственному контуру, автоматическому заполнению, сквозной traceability и качеству UX.</w:t>
            </w:r>
          </w:p>
        </w:tc>
      </w:tr>
    </w:tbl>
    <w:p>
      <w:pPr>
        <w:pStyle w:val="SmallNote"/>
      </w:pPr>
    </w:p>
    <w:sectPr w:rsidR="00FC693F" w:rsidRPr="0006063C" w:rsidSect="00034616">
      <w:footerReference w:type="default" r:id="rId9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Документ №7 • Российские ГОСТ и нормативы для платформы АПК • 25.09.2026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406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Aptos" w:hAnsi="Aptos"/>
      <w:color w:val="5A5A5A"/>
      <w:sz w:val="17"/>
    </w:rPr>
  </w:style>
  <w:style w:type="paragraph" w:customStyle="1" w:styleId="CodeBlock">
    <w:name w:val="Code Block"/>
    <w:pPr>
      <w:spacing w:before="80" w:after="80"/>
      <w:ind w:left="283" w:right="283"/>
    </w:pPr>
    <w:rPr>
      <w:rFonts w:ascii="Consolas" w:hAnsi="Consolas"/>
      <w:color w:val="1E1E1E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