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5B9BD5"/>
          <w:sz w:val="22"/>
        </w:rPr>
        <w:t>ДОКУМЕНТ №13</w:t>
      </w:r>
    </w:p>
    <w:p>
      <w:pPr>
        <w:pStyle w:val="Title"/>
        <w:jc w:val="center"/>
      </w:pPr>
      <w:r>
        <w:t>Integration Specification</w:t>
      </w:r>
    </w:p>
    <w:p>
      <w:pPr>
        <w:jc w:val="center"/>
      </w:pPr>
      <w:r>
        <w:rPr>
          <w:i/>
          <w:sz w:val="21"/>
        </w:rPr>
        <w:t>Единый контракт интеграций для Codex: 1С, ФГИС, кадастр/GIS, спутник и NDVI, погода, GPS/телематика, лаборатории, весы, файлы, внешние API и будущий IoT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482"/>
      </w:tblGrid>
      <w:tr>
        <w:trPr>
          <w:cantSplit/>
        </w:trPr>
        <w:tc>
          <w:tcPr>
            <w:tcW w:type="dxa" w:w="10482"/>
            <w:shd w:fill="E2F0D9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r>
              <w:rPr>
                <w:b/>
                <w:color w:val="17365D"/>
              </w:rPr>
              <w:t>Главная цель</w:t>
              <w:br/>
            </w:r>
            <w:r>
              <w:rPr>
                <w:sz w:val="18"/>
              </w:rPr>
              <w:t>Интеграции не должны превращать сельхозпредприятие в набор ручных переносов между системами. Domain Core хранит нормализованный производственный факт; adapters преобразуют его во внешние форматы и обратно. Пользователь видит понятный статус и только те ошибки, которые реально требуют его решения.</w:t>
            </w:r>
          </w:p>
        </w:tc>
      </w:tr>
    </w:tbl>
    <w:p>
      <w:pPr>
        <w:pStyle w:val="SmallNote"/>
      </w:pPr>
    </w:p>
    <w:p>
      <w:pPr>
        <w:jc w:val="center"/>
      </w:pPr>
      <w:r>
        <w:rPr>
          <w:sz w:val="18"/>
        </w:rPr>
        <w:t>Версия 1.0 • проверка внешних источников: 25 сентября 2026 г.</w:t>
      </w:r>
    </w:p>
    <w:p>
      <w:r>
        <w:br w:type="page"/>
      </w:r>
    </w:p>
    <w:p>
      <w:pPr>
        <w:pStyle w:val="Heading1"/>
      </w:pPr>
      <w:r>
        <w:t>1. Область применения</w:t>
      </w:r>
    </w:p>
    <w:p>
      <w:r>
        <w:t>Документ определяет технический integration layer платформы и является спецификацией для Codex. Он не повторяет нормативную применимость внешних систем из Документа №9, а описывает, как реализовать обмен: ports/adapters, направления данных, mapping, authentication, polling/webhooks, queues, idempotency, reconciliation, observability и тесты.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94"/>
        <w:gridCol w:w="3494"/>
        <w:gridCol w:w="3494"/>
      </w:tblGrid>
      <w:tr>
        <w:trPr>
          <w:tblHeader w:val="true"/>
        </w:trPr>
        <w:tc>
          <w:tcPr>
            <w:tcW w:type="dxa" w:w="2268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Интеграционный контур</w:t>
            </w:r>
          </w:p>
        </w:tc>
        <w:tc>
          <w:tcPr>
            <w:tcW w:type="dxa" w:w="3402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Роль в платформе</w:t>
            </w:r>
          </w:p>
        </w:tc>
        <w:tc>
          <w:tcPr>
            <w:tcW w:type="dxa" w:w="4535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V1 подход</w:t>
            </w:r>
          </w:p>
        </w:tc>
      </w:tr>
      <w:tr>
        <w:trPr>
          <w:cantSplit/>
        </w:trPr>
        <w:tc>
          <w:tcPr>
            <w:tcW w:type="dxa" w:w="2268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sz w:val="15"/>
              </w:rPr>
              <w:t>1С</w:t>
            </w:r>
          </w:p>
        </w:tc>
        <w:tc>
          <w:tcPr>
            <w:tcW w:type="dxa" w:w="3402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sz w:val="15"/>
              </w:rPr>
              <w:t>ERP/бухгалтерия/склад/кадры/производство клиента.</w:t>
            </w:r>
          </w:p>
        </w:tc>
        <w:tc>
          <w:tcPr>
            <w:tcW w:type="dxa" w:w="4535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sz w:val="15"/>
              </w:rPr>
              <w:t>Двусторонний adapter profile под конкретную конфигурацию; HTTP-services/OData/custom exchange.</w:t>
            </w:r>
          </w:p>
        </w:tc>
      </w:tr>
      <w:tr>
        <w:trPr>
          <w:cantSplit/>
        </w:trPr>
        <w:tc>
          <w:tcPr>
            <w:tcW w:type="dxa" w:w="2268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7F9FC"/>
          </w:tcPr>
          <w:p>
            <w:pPr>
              <w:spacing w:after="20"/>
            </w:pPr>
            <w:r>
              <w:rPr>
                <w:sz w:val="15"/>
              </w:rPr>
              <w:t>ФГИС</w:t>
            </w:r>
          </w:p>
        </w:tc>
        <w:tc>
          <w:tcPr>
            <w:tcW w:type="dxa" w:w="3402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7F9FC"/>
          </w:tcPr>
          <w:p>
            <w:pPr>
              <w:spacing w:after="20"/>
            </w:pPr>
            <w:r>
              <w:rPr>
                <w:sz w:val="15"/>
              </w:rPr>
              <w:t>Государственные регистры и документы.</w:t>
            </w:r>
          </w:p>
        </w:tc>
        <w:tc>
          <w:tcPr>
            <w:tcW w:type="dxa" w:w="4535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7F9FC"/>
          </w:tcPr>
          <w:p>
            <w:pPr>
              <w:spacing w:after="20"/>
            </w:pPr>
            <w:r>
              <w:rPr>
                <w:sz w:val="15"/>
              </w:rPr>
              <w:t>Versioned connectors; domain fact first; status center.</w:t>
            </w:r>
          </w:p>
        </w:tc>
      </w:tr>
      <w:tr>
        <w:trPr>
          <w:cantSplit/>
        </w:trPr>
        <w:tc>
          <w:tcPr>
            <w:tcW w:type="dxa" w:w="2268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sz w:val="15"/>
              </w:rPr>
              <w:t>Кадастр/ЕФГИС/GIS</w:t>
            </w:r>
          </w:p>
        </w:tc>
        <w:tc>
          <w:tcPr>
            <w:tcW w:type="dxa" w:w="3402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sz w:val="15"/>
              </w:rPr>
              <w:t>Границы, участки, поля, внешние идентификаторы.</w:t>
            </w:r>
          </w:p>
        </w:tc>
        <w:tc>
          <w:tcPr>
            <w:tcW w:type="dxa" w:w="4535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sz w:val="15"/>
              </w:rPr>
              <w:t>CadastralResolver + GeometryImport + EFGIS adapter; без undocumented scraping.</w:t>
            </w:r>
          </w:p>
        </w:tc>
      </w:tr>
      <w:tr>
        <w:trPr>
          <w:cantSplit/>
        </w:trPr>
        <w:tc>
          <w:tcPr>
            <w:tcW w:type="dxa" w:w="2268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7F9FC"/>
          </w:tcPr>
          <w:p>
            <w:pPr>
              <w:spacing w:after="20"/>
            </w:pPr>
            <w:r>
              <w:rPr>
                <w:sz w:val="15"/>
              </w:rPr>
              <w:t>Satellite/NDVI</w:t>
            </w:r>
          </w:p>
        </w:tc>
        <w:tc>
          <w:tcPr>
            <w:tcW w:type="dxa" w:w="3402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7F9FC"/>
          </w:tcPr>
          <w:p>
            <w:pPr>
              <w:spacing w:after="20"/>
            </w:pPr>
            <w:r>
              <w:rPr>
                <w:sz w:val="15"/>
              </w:rPr>
              <w:t>Remote sensing и анализ развития поля.</w:t>
            </w:r>
          </w:p>
        </w:tc>
        <w:tc>
          <w:tcPr>
            <w:tcW w:type="dxa" w:w="4535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7F9FC"/>
          </w:tcPr>
          <w:p>
            <w:pPr>
              <w:spacing w:after="20"/>
            </w:pPr>
            <w:r>
              <w:rPr>
                <w:sz w:val="15"/>
              </w:rPr>
              <w:t>Provider-neutral STAC/processing adapter; Sentinel-2 baseline.</w:t>
            </w:r>
          </w:p>
        </w:tc>
      </w:tr>
      <w:tr>
        <w:trPr>
          <w:cantSplit/>
        </w:trPr>
        <w:tc>
          <w:tcPr>
            <w:tcW w:type="dxa" w:w="2268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sz w:val="15"/>
              </w:rPr>
              <w:t>Weather</w:t>
            </w:r>
          </w:p>
        </w:tc>
        <w:tc>
          <w:tcPr>
            <w:tcW w:type="dxa" w:w="3402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sz w:val="15"/>
              </w:rPr>
              <w:t>Forecast/history/soil-weather context.</w:t>
            </w:r>
          </w:p>
        </w:tc>
        <w:tc>
          <w:tcPr>
            <w:tcW w:type="dxa" w:w="4535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sz w:val="15"/>
              </w:rPr>
              <w:t>Provider-neutral JSON adapter; weather snapshot + source metadata.</w:t>
            </w:r>
          </w:p>
        </w:tc>
      </w:tr>
      <w:tr>
        <w:trPr>
          <w:cantSplit/>
        </w:trPr>
        <w:tc>
          <w:tcPr>
            <w:tcW w:type="dxa" w:w="2268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7F9FC"/>
          </w:tcPr>
          <w:p>
            <w:pPr>
              <w:spacing w:after="20"/>
            </w:pPr>
            <w:r>
              <w:rPr>
                <w:sz w:val="15"/>
              </w:rPr>
              <w:t>GPS/Telematics</w:t>
            </w:r>
          </w:p>
        </w:tc>
        <w:tc>
          <w:tcPr>
            <w:tcW w:type="dxa" w:w="3402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7F9FC"/>
          </w:tcPr>
          <w:p>
            <w:pPr>
              <w:spacing w:after="20"/>
            </w:pPr>
            <w:r>
              <w:rPr>
                <w:sz w:val="15"/>
              </w:rPr>
              <w:t>Позиция, треки, counters, fuel, states.</w:t>
            </w:r>
          </w:p>
        </w:tc>
        <w:tc>
          <w:tcPr>
            <w:tcW w:type="dxa" w:w="4535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7F9FC"/>
          </w:tcPr>
          <w:p>
            <w:pPr>
              <w:spacing w:after="20"/>
            </w:pPr>
            <w:r>
              <w:rPr>
                <w:sz w:val="15"/>
              </w:rPr>
              <w:t>Canonical VehicleTelemetry + provider adapters.</w:t>
            </w:r>
          </w:p>
        </w:tc>
      </w:tr>
      <w:tr>
        <w:trPr>
          <w:cantSplit/>
        </w:trPr>
        <w:tc>
          <w:tcPr>
            <w:tcW w:type="dxa" w:w="2268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sz w:val="15"/>
              </w:rPr>
              <w:t>Labs</w:t>
            </w:r>
          </w:p>
        </w:tc>
        <w:tc>
          <w:tcPr>
            <w:tcW w:type="dxa" w:w="3402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sz w:val="15"/>
              </w:rPr>
              <w:t>Почва, зерно, качество продукции.</w:t>
            </w:r>
          </w:p>
        </w:tc>
        <w:tc>
          <w:tcPr>
            <w:tcW w:type="dxa" w:w="4535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sz w:val="15"/>
              </w:rPr>
              <w:t>REST/SFTP/CSV/XLSX adapter profiles; mapping + validation.</w:t>
            </w:r>
          </w:p>
        </w:tc>
      </w:tr>
      <w:tr>
        <w:trPr>
          <w:cantSplit/>
        </w:trPr>
        <w:tc>
          <w:tcPr>
            <w:tcW w:type="dxa" w:w="2268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7F9FC"/>
          </w:tcPr>
          <w:p>
            <w:pPr>
              <w:spacing w:after="20"/>
            </w:pPr>
            <w:r>
              <w:rPr>
                <w:sz w:val="15"/>
              </w:rPr>
              <w:t>Weighing equipment</w:t>
            </w:r>
          </w:p>
        </w:tc>
        <w:tc>
          <w:tcPr>
            <w:tcW w:type="dxa" w:w="3402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7F9FC"/>
          </w:tcPr>
          <w:p>
            <w:pPr>
              <w:spacing w:after="20"/>
            </w:pPr>
            <w:r>
              <w:rPr>
                <w:sz w:val="15"/>
              </w:rPr>
              <w:t>Raw измерения и состояние прибора.</w:t>
            </w:r>
          </w:p>
        </w:tc>
        <w:tc>
          <w:tcPr>
            <w:tcW w:type="dxa" w:w="4535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7F9FC"/>
          </w:tcPr>
          <w:p>
            <w:pPr>
              <w:spacing w:after="20"/>
            </w:pPr>
            <w:r>
              <w:rPr>
                <w:sz w:val="15"/>
              </w:rPr>
              <w:t>Gateway/device adapter; manual/API/serial/TCP profiles.</w:t>
            </w:r>
          </w:p>
        </w:tc>
      </w:tr>
      <w:tr>
        <w:trPr>
          <w:cantSplit/>
        </w:trPr>
        <w:tc>
          <w:tcPr>
            <w:tcW w:type="dxa" w:w="2268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sz w:val="15"/>
              </w:rPr>
              <w:t>IoT/PLC</w:t>
            </w:r>
          </w:p>
        </w:tc>
        <w:tc>
          <w:tcPr>
            <w:tcW w:type="dxa" w:w="3402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sz w:val="15"/>
              </w:rPr>
              <w:t>Будущий production/field automation.</w:t>
            </w:r>
          </w:p>
        </w:tc>
        <w:tc>
          <w:tcPr>
            <w:tcW w:type="dxa" w:w="4535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sz w:val="15"/>
              </w:rPr>
              <w:t>MQTT/device gateway boundary; Domain Core не зависит от протокола.</w:t>
            </w:r>
          </w:p>
        </w:tc>
      </w:tr>
    </w:tbl>
    <w:p>
      <w:pPr>
        <w:pStyle w:val="SmallNote"/>
      </w:pPr>
    </w:p>
    <w:p>
      <w:pPr>
        <w:pStyle w:val="Heading1"/>
      </w:pPr>
      <w:r>
        <w:t>2. Каноническая интеграционная архитектура</w:t>
      </w:r>
    </w:p>
    <w:p>
      <w:pPr>
        <w:pStyle w:val="CodeBlock"/>
      </w:pPr>
      <w:r>
        <w:t xml:space="preserve">                         +---------------------+</w:t>
        <w:br/>
        <w:t>Mobile / Web / Local UI -&gt;|     Domain Core     |</w:t>
        <w:br/>
        <w:t xml:space="preserve">                         +----------+----------+</w:t>
        <w:br/>
        <w:t xml:space="preserve">                                    |</w:t>
        <w:br/>
        <w:t xml:space="preserve">                             Domain Events</w:t>
        <w:br/>
        <w:t xml:space="preserve">                                    |</w:t>
        <w:br/>
        <w:t xml:space="preserve">                       +------------v------------+</w:t>
        <w:br/>
        <w:t xml:space="preserve">                       | Integration Orchestrator|</w:t>
        <w:br/>
        <w:t xml:space="preserve">                       +------------+------------+</w:t>
        <w:br/>
        <w:t xml:space="preserve">                                    |</w:t>
        <w:br/>
        <w:t xml:space="preserve">               +--------------------+---------------------+</w:t>
        <w:br/>
        <w:t xml:space="preserve">               |                    |                     |</w:t>
        <w:br/>
        <w:t xml:space="preserve">            OUTBOX               MAPPING              STATUS</w:t>
        <w:br/>
        <w:t xml:space="preserve">               |                    |                     |</w:t>
        <w:br/>
        <w:t xml:space="preserve">       +-------+--------+      +----+----+          +----+----+</w:t>
        <w:br/>
        <w:t xml:space="preserve">       | Connector Port |      | Schema  |          | Issues  |</w:t>
        <w:br/>
        <w:t xml:space="preserve">       +-------+--------+      +---------+          +---------+</w:t>
        <w:br/>
        <w:t xml:space="preserve">               |</w:t>
        <w:br/>
        <w:t xml:space="preserve">     Adapter implementations</w:t>
        <w:br/>
        <w:t xml:space="preserve">  1C / FGIS / GIS / STAC / Weather /</w:t>
        <w:br/>
        <w:t xml:space="preserve">  GPS / Lab / Scales / File / IoT</w:t>
        <w:br/>
      </w:r>
    </w:p>
    <w:p>
      <w:r>
        <w:t>Business code обращается только к портам integration layer. Конкретные URL, API versions, credentials, transport protocols и provider-specific fields не импортируются в domain modules.</w:t>
      </w:r>
    </w:p>
    <w:p>
      <w:pPr>
        <w:pStyle w:val="Heading1"/>
      </w:pPr>
      <w:r>
        <w:t>3. Единый Connector Contract</w:t>
      </w:r>
    </w:p>
    <w:p>
      <w:pPr>
        <w:pStyle w:val="CodeBlock"/>
      </w:pPr>
      <w:r>
        <w:t>interface Connector&lt;TCommand, TPayload, TResult&gt; {</w:t>
        <w:br/>
        <w:t xml:space="preserve">  code: ExternalSystemCode</w:t>
        <w:br/>
        <w:t xml:space="preserve">  capabilities(): ConnectorCapabilities</w:t>
        <w:br/>
        <w:t xml:space="preserve">  healthCheck(ctx): HealthResult</w:t>
        <w:br/>
        <w:br/>
        <w:t xml:space="preserve">  validate(command, profile): ValidationResult</w:t>
        <w:br/>
        <w:t xml:space="preserve">  mapOutbound(domainSnapshot, profileVersion): TPayload</w:t>
        <w:br/>
        <w:t xml:space="preserve">  submit(payload, idempotencyKey, ctx): SubmissionResult&lt;TResult&gt;</w:t>
        <w:br/>
        <w:br/>
        <w:t xml:space="preserve">  poll?(externalJobId, ctx): ExternalStatus</w:t>
        <w:br/>
        <w:t xml:space="preserve">  handleWebhook?(request): ExternalEvent[]</w:t>
        <w:br/>
        <w:t xml:space="preserve">  import?(query, ctx): ImportedRecord[]</w:t>
        <w:br/>
        <w:t xml:space="preserve">  reconcile(scope, period, ctx): ReconciliationResult</w:t>
        <w:br/>
        <w:t>}</w:t>
        <w:br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41"/>
        <w:gridCol w:w="5241"/>
      </w:tblGrid>
      <w:tr>
        <w:trPr>
          <w:tblHeader w:val="true"/>
        </w:trPr>
        <w:tc>
          <w:tcPr>
            <w:tcW w:type="dxa" w:w="2551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Элемент</w:t>
            </w:r>
          </w:p>
        </w:tc>
        <w:tc>
          <w:tcPr>
            <w:tcW w:type="dxa" w:w="7654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Правило</w:t>
            </w:r>
          </w:p>
        </w:tc>
      </w:tr>
      <w:tr>
        <w:trPr>
          <w:cantSplit/>
        </w:trPr>
        <w:tc>
          <w:tcPr>
            <w:tcW w:type="dxa" w:w="2551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sz w:val="16"/>
              </w:rPr>
              <w:t>capabilities</w:t>
            </w:r>
          </w:p>
        </w:tc>
        <w:tc>
          <w:tcPr>
            <w:tcW w:type="dxa" w:w="7654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sz w:val="16"/>
              </w:rPr>
              <w:t>READ / WRITE / WEBHOOK / POLL / FILE / SIGNATURE / BULK / DELTA / REALTIME.</w:t>
            </w:r>
          </w:p>
        </w:tc>
      </w:tr>
      <w:tr>
        <w:trPr>
          <w:cantSplit/>
        </w:trPr>
        <w:tc>
          <w:tcPr>
            <w:tcW w:type="dxa" w:w="2551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7F9FC"/>
          </w:tcPr>
          <w:p>
            <w:pPr>
              <w:spacing w:after="20"/>
            </w:pPr>
            <w:r>
              <w:rPr>
                <w:sz w:val="16"/>
              </w:rPr>
              <w:t>profileVersion</w:t>
            </w:r>
          </w:p>
        </w:tc>
        <w:tc>
          <w:tcPr>
            <w:tcW w:type="dxa" w:w="7654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7F9FC"/>
          </w:tcPr>
          <w:p>
            <w:pPr>
              <w:spacing w:after="20"/>
            </w:pPr>
            <w:r>
              <w:rPr>
                <w:sz w:val="16"/>
              </w:rPr>
              <w:t>Какая версия mapping/auth/schema использовалась.</w:t>
            </w:r>
          </w:p>
        </w:tc>
      </w:tr>
      <w:tr>
        <w:trPr>
          <w:cantSplit/>
        </w:trPr>
        <w:tc>
          <w:tcPr>
            <w:tcW w:type="dxa" w:w="2551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sz w:val="16"/>
              </w:rPr>
              <w:t>idempotencyKey</w:t>
            </w:r>
          </w:p>
        </w:tc>
        <w:tc>
          <w:tcPr>
            <w:tcW w:type="dxa" w:w="7654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sz w:val="16"/>
              </w:rPr>
              <w:t>Обязателен для любой write operation, если внешний API позволяет; иначе local duplicate guard.</w:t>
            </w:r>
          </w:p>
        </w:tc>
      </w:tr>
      <w:tr>
        <w:trPr>
          <w:cantSplit/>
        </w:trPr>
        <w:tc>
          <w:tcPr>
            <w:tcW w:type="dxa" w:w="2551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7F9FC"/>
          </w:tcPr>
          <w:p>
            <w:pPr>
              <w:spacing w:after="20"/>
            </w:pPr>
            <w:r>
              <w:rPr>
                <w:sz w:val="16"/>
              </w:rPr>
              <w:t>correlationId</w:t>
            </w:r>
          </w:p>
        </w:tc>
        <w:tc>
          <w:tcPr>
            <w:tcW w:type="dxa" w:w="7654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7F9FC"/>
          </w:tcPr>
          <w:p>
            <w:pPr>
              <w:spacing w:after="20"/>
            </w:pPr>
            <w:r>
              <w:rPr>
                <w:sz w:val="16"/>
              </w:rPr>
              <w:t>Проходит через logs, job, request, webhook и user issue.</w:t>
            </w:r>
          </w:p>
        </w:tc>
      </w:tr>
      <w:tr>
        <w:trPr>
          <w:cantSplit/>
        </w:trPr>
        <w:tc>
          <w:tcPr>
            <w:tcW w:type="dxa" w:w="2551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sz w:val="16"/>
              </w:rPr>
              <w:t>raw request/response</w:t>
            </w:r>
          </w:p>
        </w:tc>
        <w:tc>
          <w:tcPr>
            <w:tcW w:type="dxa" w:w="7654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sz w:val="16"/>
              </w:rPr>
              <w:t>Хранятся redacted/hashed согласно SecurityProfile и retention.</w:t>
            </w:r>
          </w:p>
        </w:tc>
      </w:tr>
      <w:tr>
        <w:trPr>
          <w:cantSplit/>
        </w:trPr>
        <w:tc>
          <w:tcPr>
            <w:tcW w:type="dxa" w:w="2551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7F9FC"/>
          </w:tcPr>
          <w:p>
            <w:pPr>
              <w:spacing w:after="20"/>
            </w:pPr>
            <w:r>
              <w:rPr>
                <w:sz w:val="16"/>
              </w:rPr>
              <w:t>normalized error</w:t>
            </w:r>
          </w:p>
        </w:tc>
        <w:tc>
          <w:tcPr>
            <w:tcW w:type="dxa" w:w="7654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7F9FC"/>
          </w:tcPr>
          <w:p>
            <w:pPr>
              <w:spacing w:after="20"/>
            </w:pPr>
            <w:r>
              <w:rPr>
                <w:sz w:val="16"/>
              </w:rPr>
              <w:t>Provider error переводится в стабильный наш code + actionable details.</w:t>
            </w:r>
          </w:p>
        </w:tc>
      </w:tr>
      <w:tr>
        <w:trPr>
          <w:cantSplit/>
        </w:trPr>
        <w:tc>
          <w:tcPr>
            <w:tcW w:type="dxa" w:w="2551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sz w:val="16"/>
              </w:rPr>
              <w:t>reconcile</w:t>
            </w:r>
          </w:p>
        </w:tc>
        <w:tc>
          <w:tcPr>
            <w:tcW w:type="dxa" w:w="7654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sz w:val="16"/>
              </w:rPr>
              <w:t>Способ доказать, что обе стороны согласованы после retries/частичных сбоев.</w:t>
            </w:r>
          </w:p>
        </w:tc>
      </w:tr>
    </w:tbl>
    <w:p>
      <w:pPr>
        <w:pStyle w:val="SmallNote"/>
      </w:pPr>
    </w:p>
    <w:p>
      <w:pPr>
        <w:pStyle w:val="Heading1"/>
      </w:pPr>
      <w:r>
        <w:t>4. Поддерживаемые паттерны обмена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94"/>
        <w:gridCol w:w="3494"/>
        <w:gridCol w:w="3494"/>
      </w:tblGrid>
      <w:tr>
        <w:trPr>
          <w:tblHeader w:val="true"/>
        </w:trPr>
        <w:tc>
          <w:tcPr>
            <w:tcW w:type="dxa" w:w="1814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Pattern</w:t>
            </w:r>
          </w:p>
        </w:tc>
        <w:tc>
          <w:tcPr>
            <w:tcW w:type="dxa" w:w="4819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Описание</w:t>
            </w:r>
          </w:p>
        </w:tc>
        <w:tc>
          <w:tcPr>
            <w:tcW w:type="dxa" w:w="3515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Применение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sz w:val="16"/>
              </w:rPr>
              <w:t>PUSH_SYNC</w:t>
            </w:r>
          </w:p>
        </w:tc>
        <w:tc>
          <w:tcPr>
            <w:tcW w:type="dxa" w:w="4819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sz w:val="16"/>
              </w:rPr>
              <w:t>Наш server вызывает внешний API и сразу получает результат.</w:t>
            </w:r>
          </w:p>
        </w:tc>
        <w:tc>
          <w:tcPr>
            <w:tcW w:type="dxa" w:w="3515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sz w:val="16"/>
              </w:rPr>
              <w:t>Малые CRUD/submit operations.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7F9FC"/>
          </w:tcPr>
          <w:p>
            <w:pPr>
              <w:spacing w:after="20"/>
            </w:pPr>
            <w:r>
              <w:rPr>
                <w:sz w:val="16"/>
              </w:rPr>
              <w:t>PUSH_ASYNC</w:t>
            </w:r>
          </w:p>
        </w:tc>
        <w:tc>
          <w:tcPr>
            <w:tcW w:type="dxa" w:w="4819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7F9FC"/>
          </w:tcPr>
          <w:p>
            <w:pPr>
              <w:spacing w:after="20"/>
            </w:pPr>
            <w:r>
              <w:rPr>
                <w:sz w:val="16"/>
              </w:rPr>
              <w:t>Внешняя система принимает job; статус получаем polling/webhook.</w:t>
            </w:r>
          </w:p>
        </w:tc>
        <w:tc>
          <w:tcPr>
            <w:tcW w:type="dxa" w:w="3515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7F9FC"/>
          </w:tcPr>
          <w:p>
            <w:pPr>
              <w:spacing w:after="20"/>
            </w:pPr>
            <w:r>
              <w:rPr>
                <w:sz w:val="16"/>
              </w:rPr>
              <w:t>ФГИС/документные контуры.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sz w:val="16"/>
              </w:rPr>
              <w:t>PULL_DELTA</w:t>
            </w:r>
          </w:p>
        </w:tc>
        <w:tc>
          <w:tcPr>
            <w:tcW w:type="dxa" w:w="4819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sz w:val="16"/>
              </w:rPr>
              <w:t>Регулярно забираем изменения с cursor/updated_since.</w:t>
            </w:r>
          </w:p>
        </w:tc>
        <w:tc>
          <w:tcPr>
            <w:tcW w:type="dxa" w:w="3515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sz w:val="16"/>
              </w:rPr>
              <w:t>Справочники, статусы, телематика.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7F9FC"/>
          </w:tcPr>
          <w:p>
            <w:pPr>
              <w:spacing w:after="20"/>
            </w:pPr>
            <w:r>
              <w:rPr>
                <w:sz w:val="16"/>
              </w:rPr>
              <w:t>WEBHOOK</w:t>
            </w:r>
          </w:p>
        </w:tc>
        <w:tc>
          <w:tcPr>
            <w:tcW w:type="dxa" w:w="4819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7F9FC"/>
          </w:tcPr>
          <w:p>
            <w:pPr>
              <w:spacing w:after="20"/>
            </w:pPr>
            <w:r>
              <w:rPr>
                <w:sz w:val="16"/>
              </w:rPr>
              <w:t>Внешняя система уведомляет нас.</w:t>
            </w:r>
          </w:p>
        </w:tc>
        <w:tc>
          <w:tcPr>
            <w:tcW w:type="dxa" w:w="3515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7F9FC"/>
          </w:tcPr>
          <w:p>
            <w:pPr>
              <w:spacing w:after="20"/>
            </w:pPr>
            <w:r>
              <w:rPr>
                <w:sz w:val="16"/>
              </w:rPr>
              <w:t>Status callbacks, telematics, lab results.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sz w:val="16"/>
              </w:rPr>
              <w:t>BULK_FILE</w:t>
            </w:r>
          </w:p>
        </w:tc>
        <w:tc>
          <w:tcPr>
            <w:tcW w:type="dxa" w:w="4819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sz w:val="16"/>
              </w:rPr>
              <w:t>CSV/XLSX/XML/SHP/GeoJSON/SFTP.</w:t>
            </w:r>
          </w:p>
        </w:tc>
        <w:tc>
          <w:tcPr>
            <w:tcW w:type="dxa" w:w="3515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sz w:val="16"/>
              </w:rPr>
              <w:t>Legacy labs, GIS, migration, systems without API.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7F9FC"/>
          </w:tcPr>
          <w:p>
            <w:pPr>
              <w:spacing w:after="20"/>
            </w:pPr>
            <w:r>
              <w:rPr>
                <w:sz w:val="16"/>
              </w:rPr>
              <w:t>STREAM</w:t>
            </w:r>
          </w:p>
        </w:tc>
        <w:tc>
          <w:tcPr>
            <w:tcW w:type="dxa" w:w="4819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7F9FC"/>
          </w:tcPr>
          <w:p>
            <w:pPr>
              <w:spacing w:after="20"/>
            </w:pPr>
            <w:r>
              <w:rPr>
                <w:sz w:val="16"/>
              </w:rPr>
              <w:t>Continuous messages.</w:t>
            </w:r>
          </w:p>
        </w:tc>
        <w:tc>
          <w:tcPr>
            <w:tcW w:type="dxa" w:w="3515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7F9FC"/>
          </w:tcPr>
          <w:p>
            <w:pPr>
              <w:spacing w:after="20"/>
            </w:pPr>
            <w:r>
              <w:rPr>
                <w:sz w:val="16"/>
              </w:rPr>
              <w:t>GPS/IoT/MQTT.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sz w:val="16"/>
              </w:rPr>
              <w:t>LOCAL_LAN</w:t>
            </w:r>
          </w:p>
        </w:tc>
        <w:tc>
          <w:tcPr>
            <w:tcW w:type="dxa" w:w="4819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sz w:val="16"/>
              </w:rPr>
              <w:t>Integration without external Internet.</w:t>
            </w:r>
          </w:p>
        </w:tc>
        <w:tc>
          <w:tcPr>
            <w:tcW w:type="dxa" w:w="3515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sz w:val="16"/>
              </w:rPr>
              <w:t>1С, scales, PLC, local labs.</w:t>
            </w:r>
          </w:p>
        </w:tc>
      </w:tr>
    </w:tbl>
    <w:p>
      <w:pPr>
        <w:pStyle w:val="SmallNote"/>
      </w:pPr>
    </w:p>
    <w:p>
      <w:pPr>
        <w:pStyle w:val="Heading1"/>
      </w:pPr>
      <w:r>
        <w:t>5. IntegrationProfile: конфигурация, а не hardcode</w:t>
      </w:r>
    </w:p>
    <w:p>
      <w:pPr>
        <w:pStyle w:val="CodeBlock"/>
      </w:pPr>
      <w:r>
        <w:t>IntegrationProfile:</w:t>
        <w:br/>
        <w:t xml:space="preserve">  id</w:t>
        <w:br/>
        <w:t xml:space="preserve">  tenant_id</w:t>
        <w:br/>
        <w:t xml:space="preserve">  system_code</w:t>
        <w:br/>
        <w:t xml:space="preserve">  environment: TEST | PROD</w:t>
        <w:br/>
        <w:t xml:space="preserve">  enabled</w:t>
        <w:br/>
        <w:t xml:space="preserve">  direction</w:t>
        <w:br/>
        <w:t xml:space="preserve">  transport</w:t>
        <w:br/>
        <w:t xml:space="preserve">  base_url / local_endpoint_ref</w:t>
        <w:br/>
        <w:t xml:space="preserve">  auth_profile_id</w:t>
        <w:br/>
        <w:t xml:space="preserve">  schema_version</w:t>
        <w:br/>
        <w:t xml:space="preserve">  mapping_profile_id</w:t>
        <w:br/>
        <w:t xml:space="preserve">  poll_interval_seconds</w:t>
        <w:br/>
        <w:t xml:space="preserve">  rate_limit_profile</w:t>
        <w:br/>
        <w:t xml:space="preserve">  retry_profile</w:t>
        <w:br/>
        <w:t xml:space="preserve">  signing_profile_id?</w:t>
        <w:br/>
        <w:t xml:space="preserve">  reconciliation_profile_id</w:t>
        <w:br/>
        <w:t xml:space="preserve">  effective_from / effective_to</w:t>
        <w:br/>
      </w:r>
    </w:p>
    <w:p>
      <w:r>
        <w:t>Один tenant может иметь несколько профилей одной системы: например TEST и PROD, две базы 1С или разные GPS-провайдеры. Mapping всегда versioned.</w:t>
      </w:r>
    </w:p>
    <w:p>
      <w:pPr>
        <w:pStyle w:val="Heading1"/>
      </w:pPr>
      <w:r>
        <w:t>6. Authentication, secrets и network security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94"/>
        <w:gridCol w:w="3494"/>
        <w:gridCol w:w="3494"/>
      </w:tblGrid>
      <w:tr>
        <w:trPr>
          <w:tblHeader w:val="true"/>
        </w:trPr>
        <w:tc>
          <w:tcPr>
            <w:tcW w:type="dxa" w:w="2154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Метод</w:t>
            </w:r>
          </w:p>
        </w:tc>
        <w:tc>
          <w:tcPr>
            <w:tcW w:type="dxa" w:w="3515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Когда</w:t>
            </w:r>
          </w:p>
        </w:tc>
        <w:tc>
          <w:tcPr>
            <w:tcW w:type="dxa" w:w="4535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Правило</w:t>
            </w:r>
          </w:p>
        </w:tc>
      </w:tr>
      <w:tr>
        <w:trPr>
          <w:cantSplit/>
        </w:trPr>
        <w:tc>
          <w:tcPr>
            <w:tcW w:type="dxa" w:w="2154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sz w:val="15"/>
              </w:rPr>
              <w:t>OAuth2/OIDC</w:t>
            </w:r>
          </w:p>
        </w:tc>
        <w:tc>
          <w:tcPr>
            <w:tcW w:type="dxa" w:w="3515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sz w:val="15"/>
              </w:rPr>
              <w:t>Использовать, если официальный API поддерживает.</w:t>
            </w:r>
          </w:p>
        </w:tc>
        <w:tc>
          <w:tcPr>
            <w:tcW w:type="dxa" w:w="4535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sz w:val="15"/>
              </w:rPr>
              <w:t>Tokens в secret store; refresh отдельно от user session.</w:t>
            </w:r>
          </w:p>
        </w:tc>
      </w:tr>
      <w:tr>
        <w:trPr>
          <w:cantSplit/>
        </w:trPr>
        <w:tc>
          <w:tcPr>
            <w:tcW w:type="dxa" w:w="2154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7F9FC"/>
          </w:tcPr>
          <w:p>
            <w:pPr>
              <w:spacing w:after="20"/>
            </w:pPr>
            <w:r>
              <w:rPr>
                <w:sz w:val="15"/>
              </w:rPr>
              <w:t>API key/token</w:t>
            </w:r>
          </w:p>
        </w:tc>
        <w:tc>
          <w:tcPr>
            <w:tcW w:type="dxa" w:w="3515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7F9FC"/>
          </w:tcPr>
          <w:p>
            <w:pPr>
              <w:spacing w:after="20"/>
            </w:pPr>
            <w:r>
              <w:rPr>
                <w:sz w:val="15"/>
              </w:rPr>
              <w:t>Отдельный service credential на tenant/integration.</w:t>
            </w:r>
          </w:p>
        </w:tc>
        <w:tc>
          <w:tcPr>
            <w:tcW w:type="dxa" w:w="4535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7F9FC"/>
          </w:tcPr>
          <w:p>
            <w:pPr>
              <w:spacing w:after="20"/>
            </w:pPr>
            <w:r>
              <w:rPr>
                <w:sz w:val="15"/>
              </w:rPr>
              <w:t>Never in mobile app, DB plaintext или logs.</w:t>
            </w:r>
          </w:p>
        </w:tc>
      </w:tr>
      <w:tr>
        <w:trPr>
          <w:cantSplit/>
        </w:trPr>
        <w:tc>
          <w:tcPr>
            <w:tcW w:type="dxa" w:w="2154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sz w:val="15"/>
              </w:rPr>
              <w:t>Basic/service login</w:t>
            </w:r>
          </w:p>
        </w:tc>
        <w:tc>
          <w:tcPr>
            <w:tcW w:type="dxa" w:w="3515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sz w:val="15"/>
              </w:rPr>
              <w:t>Только если требует внешняя система; TLS обязательно.</w:t>
            </w:r>
          </w:p>
        </w:tc>
        <w:tc>
          <w:tcPr>
            <w:tcW w:type="dxa" w:w="4535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sz w:val="15"/>
              </w:rPr>
              <w:t>Credential rotation и limited account.</w:t>
            </w:r>
          </w:p>
        </w:tc>
      </w:tr>
      <w:tr>
        <w:trPr>
          <w:cantSplit/>
        </w:trPr>
        <w:tc>
          <w:tcPr>
            <w:tcW w:type="dxa" w:w="2154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7F9FC"/>
          </w:tcPr>
          <w:p>
            <w:pPr>
              <w:spacing w:after="20"/>
            </w:pPr>
            <w:r>
              <w:rPr>
                <w:sz w:val="15"/>
              </w:rPr>
              <w:t>mTLS</w:t>
            </w:r>
          </w:p>
        </w:tc>
        <w:tc>
          <w:tcPr>
            <w:tcW w:type="dxa" w:w="3515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7F9FC"/>
          </w:tcPr>
          <w:p>
            <w:pPr>
              <w:spacing w:after="20"/>
            </w:pPr>
            <w:r>
              <w:rPr>
                <w:sz w:val="15"/>
              </w:rPr>
              <w:t>Поддержать как connector option.</w:t>
            </w:r>
          </w:p>
        </w:tc>
        <w:tc>
          <w:tcPr>
            <w:tcW w:type="dxa" w:w="4535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7F9FC"/>
          </w:tcPr>
          <w:p>
            <w:pPr>
              <w:spacing w:after="20"/>
            </w:pPr>
            <w:r>
              <w:rPr>
                <w:sz w:val="15"/>
              </w:rPr>
              <w:t>Client certificate reference хранится в secret store/HSM path.</w:t>
            </w:r>
          </w:p>
        </w:tc>
      </w:tr>
      <w:tr>
        <w:trPr>
          <w:cantSplit/>
        </w:trPr>
        <w:tc>
          <w:tcPr>
            <w:tcW w:type="dxa" w:w="2154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sz w:val="15"/>
              </w:rPr>
              <w:t>КЭП/Signature</w:t>
            </w:r>
          </w:p>
        </w:tc>
        <w:tc>
          <w:tcPr>
            <w:tcW w:type="dxa" w:w="3515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sz w:val="15"/>
              </w:rPr>
              <w:t>Отдельный signing workflow.</w:t>
            </w:r>
          </w:p>
        </w:tc>
        <w:tc>
          <w:tcPr>
            <w:tcW w:type="dxa" w:w="4535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sz w:val="15"/>
              </w:rPr>
              <w:t>Закрытый ключ не хранить обычным backend secret.</w:t>
            </w:r>
          </w:p>
        </w:tc>
      </w:tr>
      <w:tr>
        <w:trPr>
          <w:cantSplit/>
        </w:trPr>
        <w:tc>
          <w:tcPr>
            <w:tcW w:type="dxa" w:w="2154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7F9FC"/>
          </w:tcPr>
          <w:p>
            <w:pPr>
              <w:spacing w:after="20"/>
            </w:pPr>
            <w:r>
              <w:rPr>
                <w:sz w:val="15"/>
              </w:rPr>
              <w:t>Local LAN</w:t>
            </w:r>
          </w:p>
        </w:tc>
        <w:tc>
          <w:tcPr>
            <w:tcW w:type="dxa" w:w="3515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7F9FC"/>
          </w:tcPr>
          <w:p>
            <w:pPr>
              <w:spacing w:after="20"/>
            </w:pPr>
            <w:r>
              <w:rPr>
                <w:sz w:val="15"/>
              </w:rPr>
              <w:t>HTTPS/mTLS либо защищённая VLAN/host trust по security profile.</w:t>
            </w:r>
          </w:p>
        </w:tc>
        <w:tc>
          <w:tcPr>
            <w:tcW w:type="dxa" w:w="4535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7F9FC"/>
          </w:tcPr>
          <w:p>
            <w:pPr>
              <w:spacing w:after="20"/>
            </w:pPr>
            <w:r>
              <w:rPr>
                <w:sz w:val="15"/>
              </w:rPr>
              <w:t>Local не означает trusted-by-default.</w:t>
            </w:r>
          </w:p>
        </w:tc>
      </w:tr>
      <w:tr>
        <w:trPr>
          <w:cantSplit/>
        </w:trPr>
        <w:tc>
          <w:tcPr>
            <w:tcW w:type="dxa" w:w="2154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sz w:val="15"/>
              </w:rPr>
              <w:t>Webhooks</w:t>
            </w:r>
          </w:p>
        </w:tc>
        <w:tc>
          <w:tcPr>
            <w:tcW w:type="dxa" w:w="3515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sz w:val="15"/>
              </w:rPr>
              <w:t>Signature/shared-secret/mTLS + replay protection + timestamp window.</w:t>
            </w:r>
          </w:p>
        </w:tc>
        <w:tc>
          <w:tcPr>
            <w:tcW w:type="dxa" w:w="4535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sz w:val="15"/>
              </w:rPr>
              <w:t>Raw body hash audit.</w:t>
            </w:r>
          </w:p>
        </w:tc>
      </w:tr>
    </w:tbl>
    <w:p>
      <w:pPr>
        <w:pStyle w:val="SmallNote"/>
      </w:pPr>
    </w:p>
    <w:p>
      <w:pPr>
        <w:pStyle w:val="Heading1"/>
      </w:pPr>
      <w:r>
        <w:t>7. Интеграция с 1С</w:t>
      </w:r>
    </w:p>
    <w:p>
      <w:r>
        <w:t>Платформа 1С:Предприятие поддерживает автоматический REST/OData-интерфейс, собственные HTTP-сервисы и SOAP web-сервисы. Для нашего продукта предпочтительны custom HTTP-services или согласованный REST/OData профиль, потому что mapping должен соответствовать конкретной конфигурации клиента, а не абстрактной «1С вообще». [S01][S02][S03]</w:t>
      </w:r>
    </w:p>
    <w:p>
      <w:r>
        <w:t>1С:ERP Агропромышленный комплекс остаётся актуальным отраслевым продуктом; на 09.09.2026 официальный каталог указывает релиз 2.5.27.82. [S04]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94"/>
        <w:gridCol w:w="3494"/>
        <w:gridCol w:w="3494"/>
      </w:tblGrid>
      <w:tr>
        <w:trPr>
          <w:tblHeader w:val="true"/>
        </w:trPr>
        <w:tc>
          <w:tcPr>
            <w:tcW w:type="dxa" w:w="2948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Объект</w:t>
            </w:r>
          </w:p>
        </w:tc>
        <w:tc>
          <w:tcPr>
            <w:tcW w:type="dxa" w:w="2551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Direction baseline</w:t>
            </w:r>
          </w:p>
        </w:tc>
        <w:tc>
          <w:tcPr>
            <w:tcW w:type="dxa" w:w="4706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Правило</w:t>
            </w:r>
          </w:p>
        </w:tc>
      </w:tr>
      <w:tr>
        <w:trPr>
          <w:cantSplit/>
        </w:trPr>
        <w:tc>
          <w:tcPr>
            <w:tcW w:type="dxa" w:w="2948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sz w:val="15"/>
              </w:rPr>
              <w:t>Organization / Counterparty</w:t>
            </w:r>
          </w:p>
        </w:tc>
        <w:tc>
          <w:tcPr>
            <w:tcW w:type="dxa" w:w="2551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sz w:val="15"/>
              </w:rPr>
              <w:t>Обычно 1С -&gt; Platform или BIDIR.</w:t>
            </w:r>
          </w:p>
        </w:tc>
        <w:tc>
          <w:tcPr>
            <w:tcW w:type="dxa" w:w="4706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sz w:val="15"/>
              </w:rPr>
              <w:t>GUID/ИНН/КПП; conflict by master policy.</w:t>
            </w:r>
          </w:p>
        </w:tc>
      </w:tr>
      <w:tr>
        <w:trPr>
          <w:cantSplit/>
        </w:trPr>
        <w:tc>
          <w:tcPr>
            <w:tcW w:type="dxa" w:w="2948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7F9FC"/>
          </w:tcPr>
          <w:p>
            <w:pPr>
              <w:spacing w:after="20"/>
            </w:pPr>
            <w:r>
              <w:rPr>
                <w:sz w:val="15"/>
              </w:rPr>
              <w:t>Employee</w:t>
            </w:r>
          </w:p>
        </w:tc>
        <w:tc>
          <w:tcPr>
            <w:tcW w:type="dxa" w:w="2551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7F9FC"/>
          </w:tcPr>
          <w:p>
            <w:pPr>
              <w:spacing w:after="20"/>
            </w:pPr>
            <w:r>
              <w:rPr>
                <w:sz w:val="15"/>
              </w:rPr>
              <w:t>Чаще 1С -&gt; Platform.</w:t>
            </w:r>
          </w:p>
        </w:tc>
        <w:tc>
          <w:tcPr>
            <w:tcW w:type="dxa" w:w="4706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7F9FC"/>
          </w:tcPr>
          <w:p>
            <w:pPr>
              <w:spacing w:after="20"/>
            </w:pPr>
            <w:r>
              <w:rPr>
                <w:sz w:val="15"/>
              </w:rPr>
              <w:t>Personnel master; operational roles остаются у нас.</w:t>
            </w:r>
          </w:p>
        </w:tc>
      </w:tr>
      <w:tr>
        <w:trPr>
          <w:cantSplit/>
        </w:trPr>
        <w:tc>
          <w:tcPr>
            <w:tcW w:type="dxa" w:w="2948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sz w:val="15"/>
              </w:rPr>
              <w:t>Nomenclature / Material / Unit</w:t>
            </w:r>
          </w:p>
        </w:tc>
        <w:tc>
          <w:tcPr>
            <w:tcW w:type="dxa" w:w="2551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sz w:val="15"/>
              </w:rPr>
              <w:t>Чаще 1С -&gt; Platform.</w:t>
            </w:r>
          </w:p>
        </w:tc>
        <w:tc>
          <w:tcPr>
            <w:tcW w:type="dxa" w:w="4706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sz w:val="15"/>
              </w:rPr>
              <w:t>Mapping SKU/GUID/unit, package factors.</w:t>
            </w:r>
          </w:p>
        </w:tc>
      </w:tr>
      <w:tr>
        <w:trPr>
          <w:cantSplit/>
        </w:trPr>
        <w:tc>
          <w:tcPr>
            <w:tcW w:type="dxa" w:w="2948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7F9FC"/>
          </w:tcPr>
          <w:p>
            <w:pPr>
              <w:spacing w:after="20"/>
            </w:pPr>
            <w:r>
              <w:rPr>
                <w:sz w:val="15"/>
              </w:rPr>
              <w:t>Warehouse</w:t>
            </w:r>
          </w:p>
        </w:tc>
        <w:tc>
          <w:tcPr>
            <w:tcW w:type="dxa" w:w="2551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7F9FC"/>
          </w:tcPr>
          <w:p>
            <w:pPr>
              <w:spacing w:after="20"/>
            </w:pPr>
            <w:r>
              <w:rPr>
                <w:sz w:val="15"/>
              </w:rPr>
              <w:t>По профилю.</w:t>
            </w:r>
          </w:p>
        </w:tc>
        <w:tc>
          <w:tcPr>
            <w:tcW w:type="dxa" w:w="4706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7F9FC"/>
          </w:tcPr>
          <w:p>
            <w:pPr>
              <w:spacing w:after="20"/>
            </w:pPr>
            <w:r>
              <w:rPr>
                <w:sz w:val="15"/>
              </w:rPr>
              <w:t>Mapping складов и подразделений.</w:t>
            </w:r>
          </w:p>
        </w:tc>
      </w:tr>
      <w:tr>
        <w:trPr>
          <w:cantSplit/>
        </w:trPr>
        <w:tc>
          <w:tcPr>
            <w:tcW w:type="dxa" w:w="2948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sz w:val="15"/>
              </w:rPr>
              <w:t>Stock opening/current balance</w:t>
            </w:r>
          </w:p>
        </w:tc>
        <w:tc>
          <w:tcPr>
            <w:tcW w:type="dxa" w:w="2551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sz w:val="15"/>
              </w:rPr>
              <w:t>1С -&gt; Platform для bootstrap, затем reconciliation.</w:t>
            </w:r>
          </w:p>
        </w:tc>
        <w:tc>
          <w:tcPr>
            <w:tcW w:type="dxa" w:w="4706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sz w:val="15"/>
              </w:rPr>
              <w:t>Наша operational ledger не перезаписывается snapshot-ом без rule.</w:t>
            </w:r>
          </w:p>
        </w:tc>
      </w:tr>
      <w:tr>
        <w:trPr>
          <w:cantSplit/>
        </w:trPr>
        <w:tc>
          <w:tcPr>
            <w:tcW w:type="dxa" w:w="2948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7F9FC"/>
          </w:tcPr>
          <w:p>
            <w:pPr>
              <w:spacing w:after="20"/>
            </w:pPr>
            <w:r>
              <w:rPr>
                <w:sz w:val="15"/>
              </w:rPr>
              <w:t>Field/Season/Operation</w:t>
            </w:r>
          </w:p>
        </w:tc>
        <w:tc>
          <w:tcPr>
            <w:tcW w:type="dxa" w:w="2551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7F9FC"/>
          </w:tcPr>
          <w:p>
            <w:pPr>
              <w:spacing w:after="20"/>
            </w:pPr>
            <w:r>
              <w:rPr>
                <w:sz w:val="15"/>
              </w:rPr>
              <w:t>Platform -&gt; 1С или BIDIR по конфигурации.</w:t>
            </w:r>
          </w:p>
        </w:tc>
        <w:tc>
          <w:tcPr>
            <w:tcW w:type="dxa" w:w="4706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7F9FC"/>
          </w:tcPr>
          <w:p>
            <w:pPr>
              <w:spacing w:after="20"/>
            </w:pPr>
            <w:r>
              <w:rPr>
                <w:sz w:val="15"/>
              </w:rPr>
              <w:t>External GUID mapping.</w:t>
            </w:r>
          </w:p>
        </w:tc>
      </w:tr>
      <w:tr>
        <w:trPr>
          <w:cantSplit/>
        </w:trPr>
        <w:tc>
          <w:tcPr>
            <w:tcW w:type="dxa" w:w="2948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sz w:val="15"/>
              </w:rPr>
              <w:t>Material consumption</w:t>
            </w:r>
          </w:p>
        </w:tc>
        <w:tc>
          <w:tcPr>
            <w:tcW w:type="dxa" w:w="2551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sz w:val="15"/>
              </w:rPr>
              <w:t>Platform -&gt; 1С после CLOSED fact.</w:t>
            </w:r>
          </w:p>
        </w:tc>
        <w:tc>
          <w:tcPr>
            <w:tcW w:type="dxa" w:w="4706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sz w:val="15"/>
              </w:rPr>
              <w:t>Idempotent document key + posting status.</w:t>
            </w:r>
          </w:p>
        </w:tc>
      </w:tr>
      <w:tr>
        <w:trPr>
          <w:cantSplit/>
        </w:trPr>
        <w:tc>
          <w:tcPr>
            <w:tcW w:type="dxa" w:w="2948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7F9FC"/>
          </w:tcPr>
          <w:p>
            <w:pPr>
              <w:spacing w:after="20"/>
            </w:pPr>
            <w:r>
              <w:rPr>
                <w:sz w:val="15"/>
              </w:rPr>
              <w:t>Production output</w:t>
            </w:r>
          </w:p>
        </w:tc>
        <w:tc>
          <w:tcPr>
            <w:tcW w:type="dxa" w:w="2551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7F9FC"/>
          </w:tcPr>
          <w:p>
            <w:pPr>
              <w:spacing w:after="20"/>
            </w:pPr>
            <w:r>
              <w:rPr>
                <w:sz w:val="15"/>
              </w:rPr>
              <w:t>Platform -&gt; 1С.</w:t>
            </w:r>
          </w:p>
        </w:tc>
        <w:tc>
          <w:tcPr>
            <w:tcW w:type="dxa" w:w="4706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7F9FC"/>
          </w:tcPr>
          <w:p>
            <w:pPr>
              <w:spacing w:after="20"/>
            </w:pPr>
            <w:r>
              <w:rPr>
                <w:sz w:val="15"/>
              </w:rPr>
              <w:t>Raw materials, output, scrap/loss, batch refs.</w:t>
            </w:r>
          </w:p>
        </w:tc>
      </w:tr>
      <w:tr>
        <w:trPr>
          <w:cantSplit/>
        </w:trPr>
        <w:tc>
          <w:tcPr>
            <w:tcW w:type="dxa" w:w="2948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sz w:val="15"/>
              </w:rPr>
              <w:t>Maintenance parts/work</w:t>
            </w:r>
          </w:p>
        </w:tc>
        <w:tc>
          <w:tcPr>
            <w:tcW w:type="dxa" w:w="2551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sz w:val="15"/>
              </w:rPr>
              <w:t>По профилю.</w:t>
            </w:r>
          </w:p>
        </w:tc>
        <w:tc>
          <w:tcPr>
            <w:tcW w:type="dxa" w:w="4706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sz w:val="15"/>
              </w:rPr>
              <w:t>WorkOrder/parts/cost mapping.</w:t>
            </w:r>
          </w:p>
        </w:tc>
      </w:tr>
      <w:tr>
        <w:trPr>
          <w:cantSplit/>
        </w:trPr>
        <w:tc>
          <w:tcPr>
            <w:tcW w:type="dxa" w:w="2948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7F9FC"/>
          </w:tcPr>
          <w:p>
            <w:pPr>
              <w:spacing w:after="20"/>
            </w:pPr>
            <w:r>
              <w:rPr>
                <w:sz w:val="15"/>
              </w:rPr>
              <w:t>Costs</w:t>
            </w:r>
          </w:p>
        </w:tc>
        <w:tc>
          <w:tcPr>
            <w:tcW w:type="dxa" w:w="2551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7F9FC"/>
          </w:tcPr>
          <w:p>
            <w:pPr>
              <w:spacing w:after="20"/>
            </w:pPr>
            <w:r>
              <w:rPr>
                <w:sz w:val="15"/>
              </w:rPr>
              <w:t>1С -&gt; Platform для бухгалтерского факта.</w:t>
            </w:r>
          </w:p>
        </w:tc>
        <w:tc>
          <w:tcPr>
            <w:tcW w:type="dxa" w:w="4706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7F9FC"/>
          </w:tcPr>
          <w:p>
            <w:pPr>
              <w:spacing w:after="20"/>
            </w:pPr>
            <w:r>
              <w:rPr>
                <w:sz w:val="15"/>
              </w:rPr>
              <w:t>Не смешивать с preliminary operational cost.</w:t>
            </w:r>
          </w:p>
        </w:tc>
      </w:tr>
    </w:tbl>
    <w:p>
      <w:pPr>
        <w:pStyle w:val="SmallNote"/>
      </w:pPr>
    </w:p>
    <w:p>
      <w:pPr>
        <w:pStyle w:val="Heading2"/>
      </w:pPr>
      <w:r>
        <w:t>7.1. Рекомендуемый 1C bridge</w:t>
      </w:r>
    </w:p>
    <w:p>
      <w:pPr>
        <w:pStyle w:val="CodeBlock"/>
      </w:pPr>
      <w:r>
        <w:t>Our Local/Cloud Integration Service</w:t>
        <w:br/>
        <w:t xml:space="preserve">        HTTPS/JSON</w:t>
        <w:br/>
        <w:t xml:space="preserve">            |</w:t>
        <w:br/>
        <w:t xml:space="preserve">       1C HTTP-service</w:t>
        <w:br/>
        <w:t xml:space="preserve">       /hs/agroplatform/v1/...</w:t>
        <w:br/>
        <w:t xml:space="preserve">            |</w:t>
        <w:br/>
        <w:t xml:space="preserve">       1C embedded language</w:t>
        <w:br/>
        <w:t xml:space="preserve">            |</w:t>
        <w:br/>
        <w:t xml:space="preserve">    1C documents/catalogs/registers</w:t>
        <w:br/>
      </w:r>
    </w:p>
    <w:p>
      <w:pPr>
        <w:pStyle w:val="ListBullet"/>
      </w:pPr>
      <w:r>
        <w:t>1C extension/module should expose stable DTOs, not database internals.</w:t>
      </w:r>
    </w:p>
    <w:p>
      <w:pPr>
        <w:pStyle w:val="ListBullet"/>
      </w:pPr>
      <w:r>
        <w:t>Every outbound-from-platform document includes external_operation_id/idempotency key.</w:t>
      </w:r>
    </w:p>
    <w:p>
      <w:pPr>
        <w:pStyle w:val="ListBullet"/>
      </w:pPr>
      <w:r>
        <w:t>1C response returns external_guid, posting status, validation errors.</w:t>
      </w:r>
    </w:p>
    <w:p>
      <w:pPr>
        <w:pStyle w:val="ListBullet"/>
      </w:pPr>
      <w:r>
        <w:t>Reconciliation job compares external GUIDs, totals and modified versions.</w:t>
      </w:r>
    </w:p>
    <w:p>
      <w:pPr>
        <w:pStyle w:val="ListBullet"/>
      </w:pPr>
      <w:r>
        <w:t>OData may be used for standard read/bootstrap where appropriate; complex posting is preferably isolated behind custom HTTP-service.</w:t>
      </w:r>
    </w:p>
    <w:p>
      <w:pPr>
        <w:pStyle w:val="Heading1"/>
      </w:pPr>
      <w:r>
        <w:t>8. Cadastral/GIS integration: создание поля по кадастровому номеру</w:t>
      </w:r>
    </w:p>
    <w:p>
      <w:r>
        <w:t>Сценарий «ввести кадастровый номер -&gt; получить участок/геометрию -&gt; создать LandPlot -&gt; сформировать производственное Field» реализуется через CadastralResolver port. Источник может быть официальным/договорным государственным сервисом, импортом выписки/файла, ЕФГИС ЗСН или ручной геометрией. Использование undocumented scraping запрещено.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94"/>
        <w:gridCol w:w="3494"/>
        <w:gridCol w:w="3494"/>
      </w:tblGrid>
      <w:tr>
        <w:trPr>
          <w:tblHeader w:val="true"/>
        </w:trPr>
        <w:tc>
          <w:tcPr>
            <w:tcW w:type="dxa" w:w="1417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ID</w:t>
            </w:r>
          </w:p>
        </w:tc>
        <w:tc>
          <w:tcPr>
            <w:tcW w:type="dxa" w:w="3118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Команда</w:t>
            </w:r>
          </w:p>
        </w:tc>
        <w:tc>
          <w:tcPr>
            <w:tcW w:type="dxa" w:w="5669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Требование</w:t>
            </w:r>
          </w:p>
        </w:tc>
      </w:tr>
      <w:tr>
        <w:trPr>
          <w:cantSplit/>
        </w:trPr>
        <w:tc>
          <w:tcPr>
            <w:tcW w:type="dxa" w:w="1417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sz w:val="15"/>
              </w:rPr>
              <w:t>INT-GIS-001</w:t>
            </w:r>
          </w:p>
        </w:tc>
        <w:tc>
          <w:tcPr>
            <w:tcW w:type="dxa" w:w="3118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sz w:val="15"/>
              </w:rPr>
              <w:t>ResolveCadastralNumber(number)</w:t>
            </w:r>
          </w:p>
        </w:tc>
        <w:tc>
          <w:tcPr>
            <w:tcW w:type="dxa" w:w="5669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sz w:val="15"/>
              </w:rPr>
              <w:t>Вернуть candidate metadata: cadastral_number, geometry if legally/technically available, area, category/use, source, captured_at.</w:t>
            </w:r>
          </w:p>
        </w:tc>
      </w:tr>
      <w:tr>
        <w:trPr>
          <w:cantSplit/>
        </w:trPr>
        <w:tc>
          <w:tcPr>
            <w:tcW w:type="dxa" w:w="1417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7F9FC"/>
          </w:tcPr>
          <w:p>
            <w:pPr>
              <w:spacing w:after="20"/>
            </w:pPr>
            <w:r>
              <w:rPr>
                <w:sz w:val="15"/>
              </w:rPr>
              <w:t>INT-GIS-002</w:t>
            </w:r>
          </w:p>
        </w:tc>
        <w:tc>
          <w:tcPr>
            <w:tcW w:type="dxa" w:w="3118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7F9FC"/>
          </w:tcPr>
          <w:p>
            <w:pPr>
              <w:spacing w:after="20"/>
            </w:pPr>
            <w:r>
              <w:rPr>
                <w:sz w:val="15"/>
              </w:rPr>
              <w:t>CreateLandPlotFromCandidate</w:t>
            </w:r>
          </w:p>
        </w:tc>
        <w:tc>
          <w:tcPr>
            <w:tcW w:type="dxa" w:w="5669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7F9FC"/>
          </w:tcPr>
          <w:p>
            <w:pPr>
              <w:spacing w:after="20"/>
            </w:pPr>
            <w:r>
              <w:rPr>
                <w:sz w:val="15"/>
              </w:rPr>
              <w:t>Создать LandPlot с source metadata и ExternalRecordLink.</w:t>
            </w:r>
          </w:p>
        </w:tc>
      </w:tr>
      <w:tr>
        <w:trPr>
          <w:cantSplit/>
        </w:trPr>
        <w:tc>
          <w:tcPr>
            <w:tcW w:type="dxa" w:w="1417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sz w:val="15"/>
              </w:rPr>
              <w:t>INT-GIS-003</w:t>
            </w:r>
          </w:p>
        </w:tc>
        <w:tc>
          <w:tcPr>
            <w:tcW w:type="dxa" w:w="3118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sz w:val="15"/>
              </w:rPr>
              <w:t>CreateFieldFromLandPlots</w:t>
            </w:r>
          </w:p>
        </w:tc>
        <w:tc>
          <w:tcPr>
            <w:tcW w:type="dxa" w:w="5669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sz w:val="15"/>
              </w:rPr>
              <w:t>Одно Field может включать несколько LandPlot; boundary can be union/edited production geometry.</w:t>
            </w:r>
          </w:p>
        </w:tc>
      </w:tr>
      <w:tr>
        <w:trPr>
          <w:cantSplit/>
        </w:trPr>
        <w:tc>
          <w:tcPr>
            <w:tcW w:type="dxa" w:w="1417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7F9FC"/>
          </w:tcPr>
          <w:p>
            <w:pPr>
              <w:spacing w:after="20"/>
            </w:pPr>
            <w:r>
              <w:rPr>
                <w:sz w:val="15"/>
              </w:rPr>
              <w:t>INT-GIS-004</w:t>
            </w:r>
          </w:p>
        </w:tc>
        <w:tc>
          <w:tcPr>
            <w:tcW w:type="dxa" w:w="3118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7F9FC"/>
          </w:tcPr>
          <w:p>
            <w:pPr>
              <w:spacing w:after="20"/>
            </w:pPr>
            <w:r>
              <w:rPr>
                <w:sz w:val="15"/>
              </w:rPr>
              <w:t>Geometry reconciliation</w:t>
            </w:r>
          </w:p>
        </w:tc>
        <w:tc>
          <w:tcPr>
            <w:tcW w:type="dxa" w:w="5669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7F9FC"/>
          </w:tcPr>
          <w:p>
            <w:pPr>
              <w:spacing w:after="20"/>
            </w:pPr>
            <w:r>
              <w:rPr>
                <w:sz w:val="15"/>
              </w:rPr>
              <w:t>Official/external geometry и production geometry хранятся versioned отдельно.</w:t>
            </w:r>
          </w:p>
        </w:tc>
      </w:tr>
      <w:tr>
        <w:trPr>
          <w:cantSplit/>
        </w:trPr>
        <w:tc>
          <w:tcPr>
            <w:tcW w:type="dxa" w:w="1417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sz w:val="15"/>
              </w:rPr>
              <w:t>INT-GIS-005</w:t>
            </w:r>
          </w:p>
        </w:tc>
        <w:tc>
          <w:tcPr>
            <w:tcW w:type="dxa" w:w="3118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sz w:val="15"/>
              </w:rPr>
              <w:t>No fake geometry</w:t>
            </w:r>
          </w:p>
        </w:tc>
        <w:tc>
          <w:tcPr>
            <w:tcW w:type="dxa" w:w="5669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sz w:val="15"/>
              </w:rPr>
              <w:t>Если источник вернул только кадастровый номер/площадь без контура, geometry_status=UNKNOWN/PENDING; не строить приблизительный полигон.</w:t>
            </w:r>
          </w:p>
        </w:tc>
      </w:tr>
      <w:tr>
        <w:trPr>
          <w:cantSplit/>
        </w:trPr>
        <w:tc>
          <w:tcPr>
            <w:tcW w:type="dxa" w:w="1417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7F9FC"/>
          </w:tcPr>
          <w:p>
            <w:pPr>
              <w:spacing w:after="20"/>
            </w:pPr>
            <w:r>
              <w:rPr>
                <w:sz w:val="15"/>
              </w:rPr>
              <w:t>INT-GIS-006</w:t>
            </w:r>
          </w:p>
        </w:tc>
        <w:tc>
          <w:tcPr>
            <w:tcW w:type="dxa" w:w="3118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7F9FC"/>
          </w:tcPr>
          <w:p>
            <w:pPr>
              <w:spacing w:after="20"/>
            </w:pPr>
            <w:r>
              <w:rPr>
                <w:sz w:val="15"/>
              </w:rPr>
              <w:t>File import</w:t>
            </w:r>
          </w:p>
        </w:tc>
        <w:tc>
          <w:tcPr>
            <w:tcW w:type="dxa" w:w="5669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7F9FC"/>
          </w:tcPr>
          <w:p>
            <w:pPr>
              <w:spacing w:after="20"/>
            </w:pPr>
            <w:r>
              <w:rPr>
                <w:sz w:val="15"/>
              </w:rPr>
              <w:t>Поддержать SHP/GeoJSON/KML/GeoPackage import profiles; CRS must be detected/provided.</w:t>
            </w:r>
          </w:p>
        </w:tc>
      </w:tr>
      <w:tr>
        <w:trPr>
          <w:cantSplit/>
        </w:trPr>
        <w:tc>
          <w:tcPr>
            <w:tcW w:type="dxa" w:w="1417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sz w:val="15"/>
              </w:rPr>
              <w:t>INT-GIS-007</w:t>
            </w:r>
          </w:p>
        </w:tc>
        <w:tc>
          <w:tcPr>
            <w:tcW w:type="dxa" w:w="3118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sz w:val="15"/>
              </w:rPr>
              <w:t>EFGIS link</w:t>
            </w:r>
          </w:p>
        </w:tc>
        <w:tc>
          <w:tcPr>
            <w:tcW w:type="dxa" w:w="5669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sz w:val="15"/>
              </w:rPr>
              <w:t>Field/FieldSeason связываются с ЕФГИС external id/status, не дублируются.</w:t>
            </w:r>
          </w:p>
        </w:tc>
      </w:tr>
    </w:tbl>
    <w:p>
      <w:pPr>
        <w:pStyle w:val="SmallNote"/>
      </w:pPr>
    </w:p>
    <w:p>
      <w:r>
        <w:t>Официальная страница ЕФГИС ЗСН в 2026 году публикует отдельное описание API интерфейса и инструкции по созданию/редактированию полей и севооборота, поэтому EFGIS adapter должен быть versioned и отделён от generic CadastralResolver. [S05]</w:t>
      </w:r>
    </w:p>
    <w:p>
      <w:pPr>
        <w:pStyle w:val="Heading1"/>
      </w:pPr>
      <w:r>
        <w:t>9. ЕФГИС ЗСН connector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94"/>
        <w:gridCol w:w="3494"/>
        <w:gridCol w:w="3494"/>
      </w:tblGrid>
      <w:tr>
        <w:trPr>
          <w:tblHeader w:val="true"/>
        </w:trPr>
        <w:tc>
          <w:tcPr>
            <w:tcW w:type="dxa" w:w="1984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Capability</w:t>
            </w:r>
          </w:p>
        </w:tc>
        <w:tc>
          <w:tcPr>
            <w:tcW w:type="dxa" w:w="3969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Data</w:t>
            </w:r>
          </w:p>
        </w:tc>
        <w:tc>
          <w:tcPr>
            <w:tcW w:type="dxa" w:w="4252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Rule</w:t>
            </w:r>
          </w:p>
        </w:tc>
      </w:tr>
      <w:tr>
        <w:trPr>
          <w:cantSplit/>
        </w:trPr>
        <w:tc>
          <w:tcPr>
            <w:tcW w:type="dxa" w:w="1984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sz w:val="15"/>
              </w:rPr>
              <w:t>READ/IMPORT</w:t>
            </w:r>
          </w:p>
        </w:tc>
        <w:tc>
          <w:tcPr>
            <w:tcW w:type="dxa" w:w="3969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sz w:val="15"/>
              </w:rPr>
              <w:t>External field IDs, status/versions, доступные сведения.</w:t>
            </w:r>
          </w:p>
        </w:tc>
        <w:tc>
          <w:tcPr>
            <w:tcW w:type="dxa" w:w="4252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sz w:val="15"/>
              </w:rPr>
              <w:t>Scheduled/manual sync; record links.</w:t>
            </w:r>
          </w:p>
        </w:tc>
      </w:tr>
      <w:tr>
        <w:trPr>
          <w:cantSplit/>
        </w:trPr>
        <w:tc>
          <w:tcPr>
            <w:tcW w:type="dxa" w:w="1984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7F9FC"/>
          </w:tcPr>
          <w:p>
            <w:pPr>
              <w:spacing w:after="20"/>
            </w:pPr>
            <w:r>
              <w:rPr>
                <w:sz w:val="15"/>
              </w:rPr>
              <w:t>WRITE/EXPORT</w:t>
            </w:r>
          </w:p>
        </w:tc>
        <w:tc>
          <w:tcPr>
            <w:tcW w:type="dxa" w:w="3969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7F9FC"/>
          </w:tcPr>
          <w:p>
            <w:pPr>
              <w:spacing w:after="20"/>
            </w:pPr>
            <w:r>
              <w:rPr>
                <w:sz w:val="15"/>
              </w:rPr>
              <w:t>Поле/севооборот и применимые сведения.</w:t>
            </w:r>
          </w:p>
        </w:tc>
        <w:tc>
          <w:tcPr>
            <w:tcW w:type="dxa" w:w="4252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7F9FC"/>
          </w:tcPr>
          <w:p>
            <w:pPr>
              <w:spacing w:after="20"/>
            </w:pPr>
            <w:r>
              <w:rPr>
                <w:sz w:val="15"/>
              </w:rPr>
              <w:t>Pre-validation geometry/attributes; signature workflow if required.</w:t>
            </w:r>
          </w:p>
        </w:tc>
      </w:tr>
      <w:tr>
        <w:trPr>
          <w:cantSplit/>
        </w:trPr>
        <w:tc>
          <w:tcPr>
            <w:tcW w:type="dxa" w:w="1984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sz w:val="15"/>
              </w:rPr>
              <w:t>FILE</w:t>
            </w:r>
          </w:p>
        </w:tc>
        <w:tc>
          <w:tcPr>
            <w:tcW w:type="dxa" w:w="3969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sz w:val="15"/>
              </w:rPr>
              <w:t>SHP/other official accepted formats where API unavailable.</w:t>
            </w:r>
          </w:p>
        </w:tc>
        <w:tc>
          <w:tcPr>
            <w:tcW w:type="dxa" w:w="4252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sz w:val="15"/>
              </w:rPr>
              <w:t>Generate package + manifest + status EXPORTED_MANUAL.</w:t>
            </w:r>
          </w:p>
        </w:tc>
      </w:tr>
      <w:tr>
        <w:trPr>
          <w:cantSplit/>
        </w:trPr>
        <w:tc>
          <w:tcPr>
            <w:tcW w:type="dxa" w:w="1984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7F9FC"/>
          </w:tcPr>
          <w:p>
            <w:pPr>
              <w:spacing w:after="20"/>
            </w:pPr>
            <w:r>
              <w:rPr>
                <w:sz w:val="15"/>
              </w:rPr>
              <w:t>FLC</w:t>
            </w:r>
          </w:p>
        </w:tc>
        <w:tc>
          <w:tcPr>
            <w:tcW w:type="dxa" w:w="3969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7F9FC"/>
          </w:tcPr>
          <w:p>
            <w:pPr>
              <w:spacing w:after="20"/>
            </w:pPr>
            <w:r>
              <w:rPr>
                <w:sz w:val="15"/>
              </w:rPr>
              <w:t>Provider validation errors.</w:t>
            </w:r>
          </w:p>
        </w:tc>
        <w:tc>
          <w:tcPr>
            <w:tcW w:type="dxa" w:w="4252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7F9FC"/>
          </w:tcPr>
          <w:p>
            <w:pPr>
              <w:spacing w:after="20"/>
            </w:pPr>
            <w:r>
              <w:rPr>
                <w:sz w:val="15"/>
              </w:rPr>
              <w:t>Map to Field/FieldSeason attribute and actionable issue.</w:t>
            </w:r>
          </w:p>
        </w:tc>
      </w:tr>
      <w:tr>
        <w:trPr>
          <w:cantSplit/>
        </w:trPr>
        <w:tc>
          <w:tcPr>
            <w:tcW w:type="dxa" w:w="1984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sz w:val="15"/>
              </w:rPr>
              <w:t>RECONCILE</w:t>
            </w:r>
          </w:p>
        </w:tc>
        <w:tc>
          <w:tcPr>
            <w:tcW w:type="dxa" w:w="3969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sz w:val="15"/>
              </w:rPr>
              <w:t>Our external links vs EFGIS current status.</w:t>
            </w:r>
          </w:p>
        </w:tc>
        <w:tc>
          <w:tcPr>
            <w:tcW w:type="dxa" w:w="4252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sz w:val="15"/>
              </w:rPr>
              <w:t>No silent overwrite of production geometry.</w:t>
            </w:r>
          </w:p>
        </w:tc>
      </w:tr>
    </w:tbl>
    <w:p>
      <w:pPr>
        <w:pStyle w:val="SmallNote"/>
      </w:pPr>
    </w:p>
    <w:p>
      <w:pPr>
        <w:pStyle w:val="Heading1"/>
      </w:pPr>
      <w:r>
        <w:t>10. ФГИС «Зерно» connector</w:t>
      </w:r>
    </w:p>
    <w:p>
      <w:r>
        <w:t>Официальная страница ФГИС «Зерно» на сентябрь 2026 публикует API 1.0.9, 1.0.16, 1.0.19 и 1.0.23; версии до 1.0.8 отключены с 1 октября 2025 года. Поэтому версия API является параметром IntegrationProfile, а contract tests запускаются против выбранной версии. [S06]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94"/>
        <w:gridCol w:w="3494"/>
        <w:gridCol w:w="3494"/>
      </w:tblGrid>
      <w:tr>
        <w:trPr>
          <w:tblHeader w:val="true"/>
        </w:trPr>
        <w:tc>
          <w:tcPr>
            <w:tcW w:type="dxa" w:w="2268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Capability</w:t>
            </w:r>
          </w:p>
        </w:tc>
        <w:tc>
          <w:tcPr>
            <w:tcW w:type="dxa" w:w="3685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Source data</w:t>
            </w:r>
          </w:p>
        </w:tc>
        <w:tc>
          <w:tcPr>
            <w:tcW w:type="dxa" w:w="4252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Rule</w:t>
            </w:r>
          </w:p>
        </w:tc>
      </w:tr>
      <w:tr>
        <w:trPr>
          <w:cantSplit/>
        </w:trPr>
        <w:tc>
          <w:tcPr>
            <w:tcW w:type="dxa" w:w="2268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sz w:val="15"/>
              </w:rPr>
              <w:t>Harvest/production data</w:t>
            </w:r>
          </w:p>
        </w:tc>
        <w:tc>
          <w:tcPr>
            <w:tcW w:type="dxa" w:w="3685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sz w:val="15"/>
              </w:rPr>
              <w:t>Batch + FieldOrigin + Weighing + Quality.</w:t>
            </w:r>
          </w:p>
        </w:tc>
        <w:tc>
          <w:tcPr>
            <w:tcW w:type="dxa" w:w="4252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sz w:val="15"/>
              </w:rPr>
              <w:t>Build outbound only from CLOSED/validated facts.</w:t>
            </w:r>
          </w:p>
        </w:tc>
      </w:tr>
      <w:tr>
        <w:trPr>
          <w:cantSplit/>
        </w:trPr>
        <w:tc>
          <w:tcPr>
            <w:tcW w:type="dxa" w:w="2268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7F9FC"/>
          </w:tcPr>
          <w:p>
            <w:pPr>
              <w:spacing w:after="20"/>
            </w:pPr>
            <w:r>
              <w:rPr>
                <w:sz w:val="15"/>
              </w:rPr>
              <w:t>SDIZ</w:t>
            </w:r>
          </w:p>
        </w:tc>
        <w:tc>
          <w:tcPr>
            <w:tcW w:type="dxa" w:w="3685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7F9FC"/>
          </w:tcPr>
          <w:p>
            <w:pPr>
              <w:spacing w:after="20"/>
            </w:pPr>
            <w:r>
              <w:rPr>
                <w:sz w:val="15"/>
              </w:rPr>
              <w:t>Shipment/Batch -&gt; ExternalDocument.</w:t>
            </w:r>
          </w:p>
        </w:tc>
        <w:tc>
          <w:tcPr>
            <w:tcW w:type="dxa" w:w="4252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7F9FC"/>
          </w:tcPr>
          <w:p>
            <w:pPr>
              <w:spacing w:after="20"/>
            </w:pPr>
            <w:r>
              <w:rPr>
                <w:sz w:val="15"/>
              </w:rPr>
              <w:t>Store external number/status/signature; do not replace Shipment.</w:t>
            </w:r>
          </w:p>
        </w:tc>
      </w:tr>
      <w:tr>
        <w:trPr>
          <w:cantSplit/>
        </w:trPr>
        <w:tc>
          <w:tcPr>
            <w:tcW w:type="dxa" w:w="2268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sz w:val="15"/>
              </w:rPr>
              <w:t>Version adapter</w:t>
            </w:r>
          </w:p>
        </w:tc>
        <w:tc>
          <w:tcPr>
            <w:tcW w:type="dxa" w:w="3685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sz w:val="15"/>
              </w:rPr>
              <w:t>v1_0_9 / v1_0_16 / v1_0_19 / v1_0_23 modules.</w:t>
            </w:r>
          </w:p>
        </w:tc>
        <w:tc>
          <w:tcPr>
            <w:tcW w:type="dxa" w:w="4252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sz w:val="15"/>
              </w:rPr>
              <w:t>Canonical DTO -&gt; version DTO.</w:t>
            </w:r>
          </w:p>
        </w:tc>
      </w:tr>
      <w:tr>
        <w:trPr>
          <w:cantSplit/>
        </w:trPr>
        <w:tc>
          <w:tcPr>
            <w:tcW w:type="dxa" w:w="2268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7F9FC"/>
          </w:tcPr>
          <w:p>
            <w:pPr>
              <w:spacing w:after="20"/>
            </w:pPr>
            <w:r>
              <w:rPr>
                <w:sz w:val="15"/>
              </w:rPr>
              <w:t>Idempotency</w:t>
            </w:r>
          </w:p>
        </w:tc>
        <w:tc>
          <w:tcPr>
            <w:tcW w:type="dxa" w:w="3685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7F9FC"/>
          </w:tcPr>
          <w:p>
            <w:pPr>
              <w:spacing w:after="20"/>
            </w:pPr>
            <w:r>
              <w:rPr>
                <w:sz w:val="15"/>
              </w:rPr>
              <w:t>Our external_operation_id + duplicate guard.</w:t>
            </w:r>
          </w:p>
        </w:tc>
        <w:tc>
          <w:tcPr>
            <w:tcW w:type="dxa" w:w="4252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7F9FC"/>
          </w:tcPr>
          <w:p>
            <w:pPr>
              <w:spacing w:after="20"/>
            </w:pPr>
            <w:r>
              <w:rPr>
                <w:sz w:val="15"/>
              </w:rPr>
              <w:t>Timeout retry must not create second SDIZ.</w:t>
            </w:r>
          </w:p>
        </w:tc>
      </w:tr>
      <w:tr>
        <w:trPr>
          <w:cantSplit/>
        </w:trPr>
        <w:tc>
          <w:tcPr>
            <w:tcW w:type="dxa" w:w="2268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sz w:val="15"/>
              </w:rPr>
              <w:t>Polling</w:t>
            </w:r>
          </w:p>
        </w:tc>
        <w:tc>
          <w:tcPr>
            <w:tcW w:type="dxa" w:w="3685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sz w:val="15"/>
              </w:rPr>
              <w:t>Document status if no webhook.</w:t>
            </w:r>
          </w:p>
        </w:tc>
        <w:tc>
          <w:tcPr>
            <w:tcW w:type="dxa" w:w="4252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sz w:val="15"/>
              </w:rPr>
              <w:t>Adaptive schedule; stop at terminal state.</w:t>
            </w:r>
          </w:p>
        </w:tc>
      </w:tr>
      <w:tr>
        <w:trPr>
          <w:cantSplit/>
        </w:trPr>
        <w:tc>
          <w:tcPr>
            <w:tcW w:type="dxa" w:w="2268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7F9FC"/>
          </w:tcPr>
          <w:p>
            <w:pPr>
              <w:spacing w:after="20"/>
            </w:pPr>
            <w:r>
              <w:rPr>
                <w:sz w:val="15"/>
              </w:rPr>
              <w:t>Reconciliation</w:t>
            </w:r>
          </w:p>
        </w:tc>
        <w:tc>
          <w:tcPr>
            <w:tcW w:type="dxa" w:w="3685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7F9FC"/>
          </w:tcPr>
          <w:p>
            <w:pPr>
              <w:spacing w:after="20"/>
            </w:pPr>
            <w:r>
              <w:rPr>
                <w:sz w:val="15"/>
              </w:rPr>
              <w:t>Batch/SDIZ statuses and quantities.</w:t>
            </w:r>
          </w:p>
        </w:tc>
        <w:tc>
          <w:tcPr>
            <w:tcW w:type="dxa" w:w="4252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7F9FC"/>
          </w:tcPr>
          <w:p>
            <w:pPr>
              <w:spacing w:after="20"/>
            </w:pPr>
            <w:r>
              <w:rPr>
                <w:sz w:val="15"/>
              </w:rPr>
              <w:t>Raise discrepancy, never auto-change lineage.</w:t>
            </w:r>
          </w:p>
        </w:tc>
      </w:tr>
    </w:tbl>
    <w:p>
      <w:pPr>
        <w:pStyle w:val="SmallNote"/>
      </w:pPr>
    </w:p>
    <w:p>
      <w:pPr>
        <w:pStyle w:val="Heading1"/>
      </w:pPr>
      <w:r>
        <w:t>11. ФГИС «Сатурн» и ФГИС «Семеноводство»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94"/>
        <w:gridCol w:w="3494"/>
        <w:gridCol w:w="3494"/>
      </w:tblGrid>
      <w:tr>
        <w:trPr>
          <w:tblHeader w:val="true"/>
        </w:trPr>
        <w:tc>
          <w:tcPr>
            <w:tcW w:type="dxa" w:w="1814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System</w:t>
            </w:r>
          </w:p>
        </w:tc>
        <w:tc>
          <w:tcPr>
            <w:tcW w:type="dxa" w:w="3855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Object</w:t>
            </w:r>
          </w:p>
        </w:tc>
        <w:tc>
          <w:tcPr>
            <w:tcW w:type="dxa" w:w="4535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Rule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sz w:val="15"/>
              </w:rPr>
              <w:t>SATURN</w:t>
            </w:r>
          </w:p>
        </w:tc>
        <w:tc>
          <w:tcPr>
            <w:tcW w:type="dxa" w:w="3855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sz w:val="15"/>
              </w:rPr>
              <w:t>ChemicalProduct/Batch, WarehouseMovement, ApplicationFact, FieldSeason.</w:t>
            </w:r>
          </w:p>
        </w:tc>
        <w:tc>
          <w:tcPr>
            <w:tcW w:type="dxa" w:w="4535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sz w:val="15"/>
              </w:rPr>
              <w:t>Connector capability depends on officially available interface for tenant. Support API/file/manual-assisted profiles without changing domain.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7F9FC"/>
          </w:tcPr>
          <w:p>
            <w:pPr>
              <w:spacing w:after="20"/>
            </w:pPr>
            <w:r>
              <w:rPr>
                <w:sz w:val="15"/>
              </w:rPr>
              <w:t>SATURN</w:t>
            </w:r>
          </w:p>
        </w:tc>
        <w:tc>
          <w:tcPr>
            <w:tcW w:type="dxa" w:w="3855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7F9FC"/>
          </w:tcPr>
          <w:p>
            <w:pPr>
              <w:spacing w:after="20"/>
            </w:pPr>
            <w:r>
              <w:rPr>
                <w:sz w:val="15"/>
              </w:rPr>
              <w:t>Application report.</w:t>
            </w:r>
          </w:p>
        </w:tc>
        <w:tc>
          <w:tcPr>
            <w:tcW w:type="dxa" w:w="4535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7F9FC"/>
          </w:tcPr>
          <w:p>
            <w:pPr>
              <w:spacing w:after="20"/>
            </w:pPr>
            <w:r>
              <w:rPr>
                <w:sz w:val="15"/>
              </w:rPr>
              <w:t>Generate from actual product lot + qty + area + field + date; missing external field linkage -&gt; ACTION_REQUIRED.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sz w:val="15"/>
              </w:rPr>
              <w:t>SEEDS</w:t>
            </w:r>
          </w:p>
        </w:tc>
        <w:tc>
          <w:tcPr>
            <w:tcW w:type="dxa" w:w="3855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sz w:val="15"/>
              </w:rPr>
              <w:t>SeedLot, CropVariety, SeedMovement, SeedApplication.</w:t>
            </w:r>
          </w:p>
        </w:tc>
        <w:tc>
          <w:tcPr>
            <w:tcW w:type="dxa" w:w="4535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sz w:val="15"/>
              </w:rPr>
              <w:t>Internal lot remains canonical; UIN/external IDs stored separately.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7F9FC"/>
          </w:tcPr>
          <w:p>
            <w:pPr>
              <w:spacing w:after="20"/>
            </w:pPr>
            <w:r>
              <w:rPr>
                <w:sz w:val="15"/>
              </w:rPr>
              <w:t>SEEDS</w:t>
            </w:r>
          </w:p>
        </w:tc>
        <w:tc>
          <w:tcPr>
            <w:tcW w:type="dxa" w:w="3855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7F9FC"/>
          </w:tcPr>
          <w:p>
            <w:pPr>
              <w:spacing w:after="20"/>
            </w:pPr>
            <w:r>
              <w:rPr>
                <w:sz w:val="15"/>
              </w:rPr>
              <w:t>Field sowing/seed use.</w:t>
            </w:r>
          </w:p>
        </w:tc>
        <w:tc>
          <w:tcPr>
            <w:tcW w:type="dxa" w:w="4535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7F9FC"/>
          </w:tcPr>
          <w:p>
            <w:pPr>
              <w:spacing w:after="20"/>
            </w:pPr>
            <w:r>
              <w:rPr>
                <w:sz w:val="15"/>
              </w:rPr>
              <w:t>Reuse FieldSeason/SeedApplication data; no second manual registry.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sz w:val="15"/>
              </w:rPr>
              <w:t>BOTH</w:t>
            </w:r>
          </w:p>
        </w:tc>
        <w:tc>
          <w:tcPr>
            <w:tcW w:type="dxa" w:w="3855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sz w:val="15"/>
              </w:rPr>
              <w:t>External schema evolution.</w:t>
            </w:r>
          </w:p>
        </w:tc>
        <w:tc>
          <w:tcPr>
            <w:tcW w:type="dxa" w:w="4535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sz w:val="15"/>
              </w:rPr>
              <w:t>MappingProfile effective dates and dictionaries versioned.</w:t>
            </w:r>
          </w:p>
        </w:tc>
      </w:tr>
    </w:tbl>
    <w:p>
      <w:pPr>
        <w:pStyle w:val="SmallNote"/>
      </w:pPr>
    </w:p>
    <w:p>
      <w:pPr>
        <w:pStyle w:val="Heading1"/>
      </w:pPr>
      <w:r>
        <w:t>12. ВетИС / маркировка / транспортные документы</w:t>
      </w:r>
    </w:p>
    <w:p>
      <w:r>
        <w:t>ВетИС.API продолжает развиваться: официальная справочная система публикует изменения интеграционного шлюза Меркурия и Хорриота в 2026 году. Поэтому adapters должны иметь explicit provider/API version and regression tests. [S07]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94"/>
        <w:gridCol w:w="3494"/>
        <w:gridCol w:w="3494"/>
      </w:tblGrid>
      <w:tr>
        <w:trPr>
          <w:tblHeader w:val="true"/>
        </w:trPr>
        <w:tc>
          <w:tcPr>
            <w:tcW w:type="dxa" w:w="2268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System</w:t>
            </w:r>
          </w:p>
        </w:tc>
        <w:tc>
          <w:tcPr>
            <w:tcW w:type="dxa" w:w="3969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Mapping</w:t>
            </w:r>
          </w:p>
        </w:tc>
        <w:tc>
          <w:tcPr>
            <w:tcW w:type="dxa" w:w="3969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Rule</w:t>
            </w:r>
          </w:p>
        </w:tc>
      </w:tr>
      <w:tr>
        <w:trPr>
          <w:cantSplit/>
        </w:trPr>
        <w:tc>
          <w:tcPr>
            <w:tcW w:type="dxa" w:w="2268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sz w:val="15"/>
              </w:rPr>
              <w:t>VetIS/Mercury</w:t>
            </w:r>
          </w:p>
        </w:tc>
        <w:tc>
          <w:tcPr>
            <w:tcW w:type="dxa" w:w="3969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sz w:val="15"/>
              </w:rPr>
              <w:t>ProductBatch/Shipment &lt;-&gt; eVSD.</w:t>
            </w:r>
          </w:p>
        </w:tc>
        <w:tc>
          <w:tcPr>
            <w:tcW w:type="dxa" w:w="3969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sz w:val="15"/>
              </w:rPr>
              <w:t>API adapter; entity UUID mapping; status/extinguish workflow.</w:t>
            </w:r>
          </w:p>
        </w:tc>
      </w:tr>
      <w:tr>
        <w:trPr>
          <w:cantSplit/>
        </w:trPr>
        <w:tc>
          <w:tcPr>
            <w:tcW w:type="dxa" w:w="2268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7F9FC"/>
          </w:tcPr>
          <w:p>
            <w:pPr>
              <w:spacing w:after="20"/>
            </w:pPr>
            <w:r>
              <w:rPr>
                <w:sz w:val="15"/>
              </w:rPr>
              <w:t>Horriot</w:t>
            </w:r>
          </w:p>
        </w:tc>
        <w:tc>
          <w:tcPr>
            <w:tcW w:type="dxa" w:w="3969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7F9FC"/>
          </w:tcPr>
          <w:p>
            <w:pPr>
              <w:spacing w:after="20"/>
            </w:pPr>
            <w:r>
              <w:rPr>
                <w:sz w:val="15"/>
              </w:rPr>
              <w:t>Animal/AnimalGroup external identity.</w:t>
            </w:r>
          </w:p>
        </w:tc>
        <w:tc>
          <w:tcPr>
            <w:tcW w:type="dxa" w:w="3969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7F9FC"/>
          </w:tcPr>
          <w:p>
            <w:pPr>
              <w:spacing w:after="20"/>
            </w:pPr>
            <w:r>
              <w:rPr>
                <w:sz w:val="15"/>
              </w:rPr>
              <w:t>Registry sync; state changes through official API capability.</w:t>
            </w:r>
          </w:p>
        </w:tc>
      </w:tr>
      <w:tr>
        <w:trPr>
          <w:cantSplit/>
        </w:trPr>
        <w:tc>
          <w:tcPr>
            <w:tcW w:type="dxa" w:w="2268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sz w:val="15"/>
              </w:rPr>
              <w:t>Honest Mark</w:t>
            </w:r>
          </w:p>
        </w:tc>
        <w:tc>
          <w:tcPr>
            <w:tcW w:type="dxa" w:w="3969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sz w:val="15"/>
              </w:rPr>
              <w:t>FinishedGoodsBatch/PackagingUnit/MarkingCode.</w:t>
            </w:r>
          </w:p>
        </w:tc>
        <w:tc>
          <w:tcPr>
            <w:tcW w:type="dxa" w:w="3969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sz w:val="15"/>
              </w:rPr>
              <w:t>Separate marking lifecycle adapter; codes are external identity.</w:t>
            </w:r>
          </w:p>
        </w:tc>
      </w:tr>
      <w:tr>
        <w:trPr>
          <w:cantSplit/>
        </w:trPr>
        <w:tc>
          <w:tcPr>
            <w:tcW w:type="dxa" w:w="2268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7F9FC"/>
          </w:tcPr>
          <w:p>
            <w:pPr>
              <w:spacing w:after="20"/>
            </w:pPr>
            <w:r>
              <w:rPr>
                <w:sz w:val="15"/>
              </w:rPr>
              <w:t>GIS EPD</w:t>
            </w:r>
          </w:p>
        </w:tc>
        <w:tc>
          <w:tcPr>
            <w:tcW w:type="dxa" w:w="3969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7F9FC"/>
          </w:tcPr>
          <w:p>
            <w:pPr>
              <w:spacing w:after="20"/>
            </w:pPr>
            <w:r>
              <w:rPr>
                <w:sz w:val="15"/>
              </w:rPr>
              <w:t>TransportOrder/Shipment &lt;-&gt; external electronic transport document.</w:t>
            </w:r>
          </w:p>
        </w:tc>
        <w:tc>
          <w:tcPr>
            <w:tcW w:type="dxa" w:w="3969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7F9FC"/>
          </w:tcPr>
          <w:p>
            <w:pPr>
              <w:spacing w:after="20"/>
            </w:pPr>
            <w:r>
              <w:rPr>
                <w:sz w:val="15"/>
              </w:rPr>
              <w:t>Operator-specific adapter behind common EPD port.</w:t>
            </w:r>
          </w:p>
        </w:tc>
      </w:tr>
    </w:tbl>
    <w:p>
      <w:pPr>
        <w:pStyle w:val="SmallNote"/>
      </w:pPr>
    </w:p>
    <w:p>
      <w:pPr>
        <w:pStyle w:val="Heading1"/>
      </w:pPr>
      <w:r>
        <w:t>13. Remote Sensing / Satellite / NDVI connector</w:t>
      </w:r>
    </w:p>
    <w:p>
      <w:r>
        <w:t>Remote sensing реализуется provider-neutral. В качестве открытого baseline принимается Copernicus Data Space Ecosystem STAC: каталог поддерживает Sentinel-2 L2A, spatial/temporal search, cloud cover filters и стандартные STAC extensions. [S08]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94"/>
        <w:gridCol w:w="3494"/>
        <w:gridCol w:w="3494"/>
      </w:tblGrid>
      <w:tr>
        <w:trPr>
          <w:tblHeader w:val="true"/>
        </w:trPr>
        <w:tc>
          <w:tcPr>
            <w:tcW w:type="dxa" w:w="2268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Capability</w:t>
            </w:r>
          </w:p>
        </w:tc>
        <w:tc>
          <w:tcPr>
            <w:tcW w:type="dxa" w:w="4139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Input/Output</w:t>
            </w:r>
          </w:p>
        </w:tc>
        <w:tc>
          <w:tcPr>
            <w:tcW w:type="dxa" w:w="3798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Rule</w:t>
            </w:r>
          </w:p>
        </w:tc>
      </w:tr>
      <w:tr>
        <w:trPr>
          <w:cantSplit/>
        </w:trPr>
        <w:tc>
          <w:tcPr>
            <w:tcW w:type="dxa" w:w="2268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sz w:val="15"/>
              </w:rPr>
              <w:t>SceneSearch</w:t>
            </w:r>
          </w:p>
        </w:tc>
        <w:tc>
          <w:tcPr>
            <w:tcW w:type="dxa" w:w="4139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sz w:val="15"/>
              </w:rPr>
              <w:t>field geometry + date range + cloud threshold -&gt; scenes.</w:t>
            </w:r>
          </w:p>
        </w:tc>
        <w:tc>
          <w:tcPr>
            <w:tcW w:type="dxa" w:w="3798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sz w:val="15"/>
              </w:rPr>
              <w:t>Prefer Sentinel-2 L2A for surface reflectance baseline.</w:t>
            </w:r>
          </w:p>
        </w:tc>
      </w:tr>
      <w:tr>
        <w:trPr>
          <w:cantSplit/>
        </w:trPr>
        <w:tc>
          <w:tcPr>
            <w:tcW w:type="dxa" w:w="2268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7F9FC"/>
          </w:tcPr>
          <w:p>
            <w:pPr>
              <w:spacing w:after="20"/>
            </w:pPr>
            <w:r>
              <w:rPr>
                <w:sz w:val="15"/>
              </w:rPr>
              <w:t>SceneMetadata</w:t>
            </w:r>
          </w:p>
        </w:tc>
        <w:tc>
          <w:tcPr>
            <w:tcW w:type="dxa" w:w="4139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7F9FC"/>
          </w:tcPr>
          <w:p>
            <w:pPr>
              <w:spacing w:after="20"/>
            </w:pPr>
            <w:r>
              <w:rPr>
                <w:sz w:val="15"/>
              </w:rPr>
              <w:t>scene_id, provider, collection, captured_at, cloud_percent, footprint, bands/asset refs.</w:t>
            </w:r>
          </w:p>
        </w:tc>
        <w:tc>
          <w:tcPr>
            <w:tcW w:type="dxa" w:w="3798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7F9FC"/>
          </w:tcPr>
          <w:p>
            <w:pPr>
              <w:spacing w:after="20"/>
            </w:pPr>
            <w:r>
              <w:rPr>
                <w:sz w:val="15"/>
              </w:rPr>
              <w:t>Persist metadata before derived index.</w:t>
            </w:r>
          </w:p>
        </w:tc>
      </w:tr>
      <w:tr>
        <w:trPr>
          <w:cantSplit/>
        </w:trPr>
        <w:tc>
          <w:tcPr>
            <w:tcW w:type="dxa" w:w="2268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sz w:val="15"/>
              </w:rPr>
              <w:t>BandAccess</w:t>
            </w:r>
          </w:p>
        </w:tc>
        <w:tc>
          <w:tcPr>
            <w:tcW w:type="dxa" w:w="4139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sz w:val="15"/>
              </w:rPr>
              <w:t>B04(red), B08(NIR) baseline for NDVI; provider-specific assets mapped to canonical band names.</w:t>
            </w:r>
          </w:p>
        </w:tc>
        <w:tc>
          <w:tcPr>
            <w:tcW w:type="dxa" w:w="3798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sz w:val="15"/>
              </w:rPr>
              <w:t>Do not hardcode file URLs in Field.</w:t>
            </w:r>
          </w:p>
        </w:tc>
      </w:tr>
      <w:tr>
        <w:trPr>
          <w:cantSplit/>
        </w:trPr>
        <w:tc>
          <w:tcPr>
            <w:tcW w:type="dxa" w:w="2268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7F9FC"/>
          </w:tcPr>
          <w:p>
            <w:pPr>
              <w:spacing w:after="20"/>
            </w:pPr>
            <w:r>
              <w:rPr>
                <w:sz w:val="15"/>
              </w:rPr>
              <w:t>NDVI</w:t>
            </w:r>
          </w:p>
        </w:tc>
        <w:tc>
          <w:tcPr>
            <w:tcW w:type="dxa" w:w="4139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7F9FC"/>
          </w:tcPr>
          <w:p>
            <w:pPr>
              <w:spacing w:after="20"/>
            </w:pPr>
            <w:r>
              <w:rPr>
                <w:sz w:val="15"/>
              </w:rPr>
              <w:t>(NIR - RED) / (NIR + RED).</w:t>
            </w:r>
          </w:p>
        </w:tc>
        <w:tc>
          <w:tcPr>
            <w:tcW w:type="dxa" w:w="3798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7F9FC"/>
          </w:tcPr>
          <w:p>
            <w:pPr>
              <w:spacing w:after="20"/>
            </w:pPr>
            <w:r>
              <w:rPr>
                <w:sz w:val="15"/>
              </w:rPr>
              <w:t>Calculate server-side or via provider processing; store formula/version.</w:t>
            </w:r>
          </w:p>
        </w:tc>
      </w:tr>
      <w:tr>
        <w:trPr>
          <w:cantSplit/>
        </w:trPr>
        <w:tc>
          <w:tcPr>
            <w:tcW w:type="dxa" w:w="2268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sz w:val="15"/>
              </w:rPr>
              <w:t>Other indices</w:t>
            </w:r>
          </w:p>
        </w:tc>
        <w:tc>
          <w:tcPr>
            <w:tcW w:type="dxa" w:w="4139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sz w:val="15"/>
              </w:rPr>
              <w:t>NDRE/EVI/NDWI etc.</w:t>
            </w:r>
          </w:p>
        </w:tc>
        <w:tc>
          <w:tcPr>
            <w:tcW w:type="dxa" w:w="3798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sz w:val="15"/>
              </w:rPr>
              <w:t>Only when required by product spec; formula registry versioned.</w:t>
            </w:r>
          </w:p>
        </w:tc>
      </w:tr>
      <w:tr>
        <w:trPr>
          <w:cantSplit/>
        </w:trPr>
        <w:tc>
          <w:tcPr>
            <w:tcW w:type="dxa" w:w="2268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7F9FC"/>
          </w:tcPr>
          <w:p>
            <w:pPr>
              <w:spacing w:after="20"/>
            </w:pPr>
            <w:r>
              <w:rPr>
                <w:sz w:val="15"/>
              </w:rPr>
              <w:t>Cloud mask</w:t>
            </w:r>
          </w:p>
        </w:tc>
        <w:tc>
          <w:tcPr>
            <w:tcW w:type="dxa" w:w="4139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7F9FC"/>
          </w:tcPr>
          <w:p>
            <w:pPr>
              <w:spacing w:after="20"/>
            </w:pPr>
            <w:r>
              <w:rPr>
                <w:sz w:val="15"/>
              </w:rPr>
              <w:t>Scene/processing quality metadata.</w:t>
            </w:r>
          </w:p>
        </w:tc>
        <w:tc>
          <w:tcPr>
            <w:tcW w:type="dxa" w:w="3798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7F9FC"/>
          </w:tcPr>
          <w:p>
            <w:pPr>
              <w:spacing w:after="20"/>
            </w:pPr>
            <w:r>
              <w:rPr>
                <w:sz w:val="15"/>
              </w:rPr>
              <w:t>Low-quality pixels marked nodata/quality mask, not treated as crop stress.</w:t>
            </w:r>
          </w:p>
        </w:tc>
      </w:tr>
      <w:tr>
        <w:trPr>
          <w:cantSplit/>
        </w:trPr>
        <w:tc>
          <w:tcPr>
            <w:tcW w:type="dxa" w:w="2268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sz w:val="15"/>
              </w:rPr>
              <w:t>Zonal stats</w:t>
            </w:r>
          </w:p>
        </w:tc>
        <w:tc>
          <w:tcPr>
            <w:tcW w:type="dxa" w:w="4139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sz w:val="15"/>
              </w:rPr>
              <w:t>Field/zone min/max/mean/median/percentiles and valid_pixel_pct.</w:t>
            </w:r>
          </w:p>
        </w:tc>
        <w:tc>
          <w:tcPr>
            <w:tcW w:type="dxa" w:w="3798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sz w:val="15"/>
              </w:rPr>
              <w:t>Store RemoteSensingMetric linked to scene+field geometry version.</w:t>
            </w:r>
          </w:p>
        </w:tc>
      </w:tr>
      <w:tr>
        <w:trPr>
          <w:cantSplit/>
        </w:trPr>
        <w:tc>
          <w:tcPr>
            <w:tcW w:type="dxa" w:w="2268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7F9FC"/>
          </w:tcPr>
          <w:p>
            <w:pPr>
              <w:spacing w:after="20"/>
            </w:pPr>
            <w:r>
              <w:rPr>
                <w:sz w:val="15"/>
              </w:rPr>
              <w:t>Raster layer</w:t>
            </w:r>
          </w:p>
        </w:tc>
        <w:tc>
          <w:tcPr>
            <w:tcW w:type="dxa" w:w="4139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7F9FC"/>
          </w:tcPr>
          <w:p>
            <w:pPr>
              <w:spacing w:after="20"/>
            </w:pPr>
            <w:r>
              <w:rPr>
                <w:sz w:val="15"/>
              </w:rPr>
              <w:t>COG/tiles/PMTiles or provider tile URL with cache policy.</w:t>
            </w:r>
          </w:p>
        </w:tc>
        <w:tc>
          <w:tcPr>
            <w:tcW w:type="dxa" w:w="3798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7F9FC"/>
          </w:tcPr>
          <w:p>
            <w:pPr>
              <w:spacing w:after="20"/>
            </w:pPr>
            <w:r>
              <w:rPr>
                <w:sz w:val="15"/>
              </w:rPr>
              <w:t>Mobile gets offline pack hooks; captured_at always visible.</w:t>
            </w:r>
          </w:p>
        </w:tc>
      </w:tr>
      <w:tr>
        <w:trPr>
          <w:cantSplit/>
        </w:trPr>
        <w:tc>
          <w:tcPr>
            <w:tcW w:type="dxa" w:w="2268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sz w:val="15"/>
              </w:rPr>
              <w:t>Anomaly</w:t>
            </w:r>
          </w:p>
        </w:tc>
        <w:tc>
          <w:tcPr>
            <w:tcW w:type="dxa" w:w="4139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sz w:val="15"/>
              </w:rPr>
              <w:t>Compare to temporal/peer baseline.</w:t>
            </w:r>
          </w:p>
        </w:tc>
        <w:tc>
          <w:tcPr>
            <w:tcW w:type="dxa" w:w="3798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sz w:val="15"/>
              </w:rPr>
              <w:t>Creates RemoteSensingAnomaly; does not automatically declare agronomic cause.</w:t>
            </w:r>
          </w:p>
        </w:tc>
      </w:tr>
      <w:tr>
        <w:trPr>
          <w:cantSplit/>
        </w:trPr>
        <w:tc>
          <w:tcPr>
            <w:tcW w:type="dxa" w:w="2268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7F9FC"/>
          </w:tcPr>
          <w:p>
            <w:pPr>
              <w:spacing w:after="20"/>
            </w:pPr>
            <w:r>
              <w:rPr>
                <w:sz w:val="15"/>
              </w:rPr>
              <w:t>Action</w:t>
            </w:r>
          </w:p>
        </w:tc>
        <w:tc>
          <w:tcPr>
            <w:tcW w:type="dxa" w:w="4139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7F9FC"/>
          </w:tcPr>
          <w:p>
            <w:pPr>
              <w:spacing w:after="20"/>
            </w:pPr>
            <w:r>
              <w:rPr>
                <w:sz w:val="15"/>
              </w:rPr>
              <w:t>Anomaly -&gt; Observation/ScoutingTask.</w:t>
            </w:r>
          </w:p>
        </w:tc>
        <w:tc>
          <w:tcPr>
            <w:tcW w:type="dxa" w:w="3798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7F9FC"/>
          </w:tcPr>
          <w:p>
            <w:pPr>
              <w:spacing w:after="20"/>
            </w:pPr>
            <w:r>
              <w:rPr>
                <w:sz w:val="15"/>
              </w:rPr>
              <w:t>Carry field, polygon, scene, metric into task context.</w:t>
            </w:r>
          </w:p>
        </w:tc>
      </w:tr>
    </w:tbl>
    <w:p>
      <w:pPr>
        <w:pStyle w:val="SmallNote"/>
      </w:pPr>
    </w:p>
    <w:p>
      <w:pPr>
        <w:pStyle w:val="Heading2"/>
      </w:pPr>
      <w:r>
        <w:t>13.1. NDVI pipeline for Codex</w:t>
      </w:r>
    </w:p>
    <w:p>
      <w:pPr>
        <w:pStyle w:val="CodeBlock"/>
      </w:pPr>
      <w:r>
        <w:t>Field geometry/version</w:t>
        <w:br/>
        <w:t xml:space="preserve">   -&gt; STAC search (Sentinel-2 L2A)</w:t>
        <w:br/>
        <w:t xml:space="preserve">   -&gt; choose scene(s) by date/cloud policy</w:t>
        <w:br/>
        <w:t xml:space="preserve">   -&gt; fetch required band assets</w:t>
        <w:br/>
        <w:t xml:space="preserve">   -&gt; cloud/quality mask</w:t>
        <w:br/>
        <w:t xml:space="preserve">   -&gt; calculate NDVI</w:t>
        <w:br/>
        <w:t xml:space="preserve">   -&gt; clip to field geometry</w:t>
        <w:br/>
        <w:t xml:space="preserve">   -&gt; zonal statistics</w:t>
        <w:br/>
        <w:t xml:space="preserve">   -&gt; store metadata + raster reference</w:t>
        <w:br/>
        <w:t xml:space="preserve">   -&gt; render layer / time series</w:t>
        <w:br/>
        <w:t xml:space="preserve">   -&gt; anomaly rule</w:t>
        <w:br/>
        <w:t xml:space="preserve">   -&gt; optional scouting task draft</w:t>
        <w:br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482"/>
      </w:tblGrid>
      <w:tr>
        <w:trPr>
          <w:cantSplit/>
        </w:trPr>
        <w:tc>
          <w:tcPr>
            <w:tcW w:type="dxa" w:w="10482"/>
            <w:shd w:fill="FFF2CC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r>
              <w:rPr>
                <w:b/>
                <w:color w:val="17365D"/>
              </w:rPr>
              <w:t>Important</w:t>
              <w:br/>
            </w:r>
            <w:r>
              <w:rPr>
                <w:sz w:val="18"/>
              </w:rPr>
              <w:t>NDVI is an observation layer, not a diagnosis. Low NDVI may be caused by crop stage, clouds/shadows, soil background, water, harvest or other factors. AI/analytics must show scene date and quality and may propose investigation, not silently assign disease/fertilizer cause.</w:t>
            </w:r>
          </w:p>
        </w:tc>
      </w:tr>
    </w:tbl>
    <w:p>
      <w:pPr>
        <w:pStyle w:val="SmallNote"/>
      </w:pPr>
    </w:p>
    <w:p>
      <w:pPr>
        <w:pStyle w:val="Heading1"/>
      </w:pPr>
      <w:r>
        <w:t>14. Weather connector</w:t>
      </w:r>
    </w:p>
    <w:p>
      <w:r>
        <w:t>Weather integration is provider-neutral. One practical API baseline is Open-Meteo, which currently exposes forecast and historical/reanalysis datasets through JSON endpoints; production clients may use other contracted or national providers through the same port. [S09][S10]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94"/>
        <w:gridCol w:w="3494"/>
        <w:gridCol w:w="3494"/>
      </w:tblGrid>
      <w:tr>
        <w:trPr>
          <w:tblHeader w:val="true"/>
        </w:trPr>
        <w:tc>
          <w:tcPr>
            <w:tcW w:type="dxa" w:w="2268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Capability</w:t>
            </w:r>
          </w:p>
        </w:tc>
        <w:tc>
          <w:tcPr>
            <w:tcW w:type="dxa" w:w="3685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Input</w:t>
            </w:r>
          </w:p>
        </w:tc>
        <w:tc>
          <w:tcPr>
            <w:tcW w:type="dxa" w:w="4252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Rule</w:t>
            </w:r>
          </w:p>
        </w:tc>
      </w:tr>
      <w:tr>
        <w:trPr>
          <w:cantSplit/>
        </w:trPr>
        <w:tc>
          <w:tcPr>
            <w:tcW w:type="dxa" w:w="2268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sz w:val="15"/>
              </w:rPr>
              <w:t>Forecast</w:t>
            </w:r>
          </w:p>
        </w:tc>
        <w:tc>
          <w:tcPr>
            <w:tcW w:type="dxa" w:w="3685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sz w:val="15"/>
              </w:rPr>
              <w:t>Point/field centroid; hourly/daily variables.</w:t>
            </w:r>
          </w:p>
        </w:tc>
        <w:tc>
          <w:tcPr>
            <w:tcW w:type="dxa" w:w="4252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sz w:val="15"/>
              </w:rPr>
              <w:t>Cache model/provider/run time; never merge forecasts from different runs invisibly.</w:t>
            </w:r>
          </w:p>
        </w:tc>
      </w:tr>
      <w:tr>
        <w:trPr>
          <w:cantSplit/>
        </w:trPr>
        <w:tc>
          <w:tcPr>
            <w:tcW w:type="dxa" w:w="2268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7F9FC"/>
          </w:tcPr>
          <w:p>
            <w:pPr>
              <w:spacing w:after="20"/>
            </w:pPr>
            <w:r>
              <w:rPr>
                <w:sz w:val="15"/>
              </w:rPr>
              <w:t>Historical/Reanalysis</w:t>
            </w:r>
          </w:p>
        </w:tc>
        <w:tc>
          <w:tcPr>
            <w:tcW w:type="dxa" w:w="3685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7F9FC"/>
          </w:tcPr>
          <w:p>
            <w:pPr>
              <w:spacing w:after="20"/>
            </w:pPr>
            <w:r>
              <w:rPr>
                <w:sz w:val="15"/>
              </w:rPr>
              <w:t>Coordinates + period.</w:t>
            </w:r>
          </w:p>
        </w:tc>
        <w:tc>
          <w:tcPr>
            <w:tcW w:type="dxa" w:w="4252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7F9FC"/>
          </w:tcPr>
          <w:p>
            <w:pPr>
              <w:spacing w:after="20"/>
            </w:pPr>
            <w:r>
              <w:rPr>
                <w:sz w:val="15"/>
              </w:rPr>
              <w:t>Store source model/resolution/version context.</w:t>
            </w:r>
          </w:p>
        </w:tc>
      </w:tr>
      <w:tr>
        <w:trPr>
          <w:cantSplit/>
        </w:trPr>
        <w:tc>
          <w:tcPr>
            <w:tcW w:type="dxa" w:w="2268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sz w:val="15"/>
              </w:rPr>
              <w:t>Field aggregation</w:t>
            </w:r>
          </w:p>
        </w:tc>
        <w:tc>
          <w:tcPr>
            <w:tcW w:type="dxa" w:w="3685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sz w:val="15"/>
              </w:rPr>
              <w:t>Centroid or multi-point sampling by field size policy.</w:t>
            </w:r>
          </w:p>
        </w:tc>
        <w:tc>
          <w:tcPr>
            <w:tcW w:type="dxa" w:w="4252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sz w:val="15"/>
              </w:rPr>
              <w:t>Aggregation method versioned.</w:t>
            </w:r>
          </w:p>
        </w:tc>
      </w:tr>
      <w:tr>
        <w:trPr>
          <w:cantSplit/>
        </w:trPr>
        <w:tc>
          <w:tcPr>
            <w:tcW w:type="dxa" w:w="2268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7F9FC"/>
          </w:tcPr>
          <w:p>
            <w:pPr>
              <w:spacing w:after="20"/>
            </w:pPr>
            <w:r>
              <w:rPr>
                <w:sz w:val="15"/>
              </w:rPr>
              <w:t>Variables</w:t>
            </w:r>
          </w:p>
        </w:tc>
        <w:tc>
          <w:tcPr>
            <w:tcW w:type="dxa" w:w="3685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7F9FC"/>
          </w:tcPr>
          <w:p>
            <w:pPr>
              <w:spacing w:after="20"/>
            </w:pPr>
            <w:r>
              <w:rPr>
                <w:sz w:val="15"/>
              </w:rPr>
              <w:t>precipitation, temp, humidity, wind, ET0, soil moisture where provider supplies.</w:t>
            </w:r>
          </w:p>
        </w:tc>
        <w:tc>
          <w:tcPr>
            <w:tcW w:type="dxa" w:w="4252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7F9FC"/>
          </w:tcPr>
          <w:p>
            <w:pPr>
              <w:spacing w:after="20"/>
            </w:pPr>
            <w:r>
              <w:rPr>
                <w:sz w:val="15"/>
              </w:rPr>
              <w:t>Canonical units SI/base.</w:t>
            </w:r>
          </w:p>
        </w:tc>
      </w:tr>
      <w:tr>
        <w:trPr>
          <w:cantSplit/>
        </w:trPr>
        <w:tc>
          <w:tcPr>
            <w:tcW w:type="dxa" w:w="2268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sz w:val="15"/>
              </w:rPr>
              <w:t>Alerts</w:t>
            </w:r>
          </w:p>
        </w:tc>
        <w:tc>
          <w:tcPr>
            <w:tcW w:type="dxa" w:w="3685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sz w:val="15"/>
              </w:rPr>
              <w:t>Rain/wind/frost/heat thresholds.</w:t>
            </w:r>
          </w:p>
        </w:tc>
        <w:tc>
          <w:tcPr>
            <w:tcW w:type="dxa" w:w="4252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sz w:val="15"/>
              </w:rPr>
              <w:t>Rules engine creates alert; source/time horizon visible.</w:t>
            </w:r>
          </w:p>
        </w:tc>
      </w:tr>
      <w:tr>
        <w:trPr>
          <w:cantSplit/>
        </w:trPr>
        <w:tc>
          <w:tcPr>
            <w:tcW w:type="dxa" w:w="2268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7F9FC"/>
          </w:tcPr>
          <w:p>
            <w:pPr>
              <w:spacing w:after="20"/>
            </w:pPr>
            <w:r>
              <w:rPr>
                <w:sz w:val="15"/>
              </w:rPr>
              <w:t>Operation advisory</w:t>
            </w:r>
          </w:p>
        </w:tc>
        <w:tc>
          <w:tcPr>
            <w:tcW w:type="dxa" w:w="3685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7F9FC"/>
          </w:tcPr>
          <w:p>
            <w:pPr>
              <w:spacing w:after="20"/>
            </w:pPr>
            <w:r>
              <w:rPr>
                <w:sz w:val="15"/>
              </w:rPr>
              <w:t>Weather can recommend/flag work window.</w:t>
            </w:r>
          </w:p>
        </w:tc>
        <w:tc>
          <w:tcPr>
            <w:tcW w:type="dxa" w:w="4252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7F9FC"/>
          </w:tcPr>
          <w:p>
            <w:pPr>
              <w:spacing w:after="20"/>
            </w:pPr>
            <w:r>
              <w:rPr>
                <w:sz w:val="15"/>
              </w:rPr>
              <w:t>Does not create OperationFact automatically.</w:t>
            </w:r>
          </w:p>
        </w:tc>
      </w:tr>
    </w:tbl>
    <w:p>
      <w:pPr>
        <w:pStyle w:val="SmallNote"/>
      </w:pPr>
    </w:p>
    <w:p>
      <w:pPr>
        <w:pStyle w:val="Heading1"/>
      </w:pPr>
      <w:r>
        <w:t>15. GPS / telematics integration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94"/>
        <w:gridCol w:w="3494"/>
        <w:gridCol w:w="3494"/>
      </w:tblGrid>
      <w:tr>
        <w:trPr>
          <w:tblHeader w:val="true"/>
        </w:trPr>
        <w:tc>
          <w:tcPr>
            <w:tcW w:type="dxa" w:w="2381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Capability</w:t>
            </w:r>
          </w:p>
        </w:tc>
        <w:tc>
          <w:tcPr>
            <w:tcW w:type="dxa" w:w="3628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Data</w:t>
            </w:r>
          </w:p>
        </w:tc>
        <w:tc>
          <w:tcPr>
            <w:tcW w:type="dxa" w:w="4195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Rule</w:t>
            </w:r>
          </w:p>
        </w:tc>
      </w:tr>
      <w:tr>
        <w:trPr>
          <w:cantSplit/>
        </w:trPr>
        <w:tc>
          <w:tcPr>
            <w:tcW w:type="dxa" w:w="2381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sz w:val="15"/>
              </w:rPr>
              <w:t>VehicleIdentityResolver</w:t>
            </w:r>
          </w:p>
        </w:tc>
        <w:tc>
          <w:tcPr>
            <w:tcW w:type="dxa" w:w="3628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sz w:val="15"/>
              </w:rPr>
              <w:t>provider unit ID -&gt; internal Vehicle.</w:t>
            </w:r>
          </w:p>
        </w:tc>
        <w:tc>
          <w:tcPr>
            <w:tcW w:type="dxa" w:w="4195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sz w:val="15"/>
              </w:rPr>
              <w:t>Mapping + VIN/plate/serial cross-check.</w:t>
            </w:r>
          </w:p>
        </w:tc>
      </w:tr>
      <w:tr>
        <w:trPr>
          <w:cantSplit/>
        </w:trPr>
        <w:tc>
          <w:tcPr>
            <w:tcW w:type="dxa" w:w="2381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7F9FC"/>
          </w:tcPr>
          <w:p>
            <w:pPr>
              <w:spacing w:after="20"/>
            </w:pPr>
            <w:r>
              <w:rPr>
                <w:sz w:val="15"/>
              </w:rPr>
              <w:t>Position</w:t>
            </w:r>
          </w:p>
        </w:tc>
        <w:tc>
          <w:tcPr>
            <w:tcW w:type="dxa" w:w="3628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7F9FC"/>
          </w:tcPr>
          <w:p>
            <w:pPr>
              <w:spacing w:after="20"/>
            </w:pPr>
            <w:r>
              <w:rPr>
                <w:sz w:val="15"/>
              </w:rPr>
              <w:t>lat, lon, speed, heading, accuracy, observed_at.</w:t>
            </w:r>
          </w:p>
        </w:tc>
        <w:tc>
          <w:tcPr>
            <w:tcW w:type="dxa" w:w="4195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7F9FC"/>
          </w:tcPr>
          <w:p>
            <w:pPr>
              <w:spacing w:after="20"/>
            </w:pPr>
            <w:r>
              <w:rPr>
                <w:sz w:val="15"/>
              </w:rPr>
              <w:t>Raw point append-only.</w:t>
            </w:r>
          </w:p>
        </w:tc>
      </w:tr>
      <w:tr>
        <w:trPr>
          <w:cantSplit/>
        </w:trPr>
        <w:tc>
          <w:tcPr>
            <w:tcW w:type="dxa" w:w="2381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sz w:val="15"/>
              </w:rPr>
              <w:t>Counters</w:t>
            </w:r>
          </w:p>
        </w:tc>
        <w:tc>
          <w:tcPr>
            <w:tcW w:type="dxa" w:w="3628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sz w:val="15"/>
              </w:rPr>
              <w:t>odometer, engine_hours.</w:t>
            </w:r>
          </w:p>
        </w:tc>
        <w:tc>
          <w:tcPr>
            <w:tcW w:type="dxa" w:w="4195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sz w:val="15"/>
              </w:rPr>
              <w:t>Monotonicity/correction rules from Business Rules.</w:t>
            </w:r>
          </w:p>
        </w:tc>
      </w:tr>
      <w:tr>
        <w:trPr>
          <w:cantSplit/>
        </w:trPr>
        <w:tc>
          <w:tcPr>
            <w:tcW w:type="dxa" w:w="2381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7F9FC"/>
          </w:tcPr>
          <w:p>
            <w:pPr>
              <w:spacing w:after="20"/>
            </w:pPr>
            <w:r>
              <w:rPr>
                <w:sz w:val="15"/>
              </w:rPr>
              <w:t>Fuel</w:t>
            </w:r>
          </w:p>
        </w:tc>
        <w:tc>
          <w:tcPr>
            <w:tcW w:type="dxa" w:w="3628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7F9FC"/>
          </w:tcPr>
          <w:p>
            <w:pPr>
              <w:spacing w:after="20"/>
            </w:pPr>
            <w:r>
              <w:rPr>
                <w:sz w:val="15"/>
              </w:rPr>
              <w:t>level/refuel/drain events.</w:t>
            </w:r>
          </w:p>
        </w:tc>
        <w:tc>
          <w:tcPr>
            <w:tcW w:type="dxa" w:w="4195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7F9FC"/>
          </w:tcPr>
          <w:p>
            <w:pPr>
              <w:spacing w:after="20"/>
            </w:pPr>
            <w:r>
              <w:rPr>
                <w:sz w:val="15"/>
              </w:rPr>
              <w:t>Provider raw signal separate from confirmed warehouse/fuel ledger.</w:t>
            </w:r>
          </w:p>
        </w:tc>
      </w:tr>
      <w:tr>
        <w:trPr>
          <w:cantSplit/>
        </w:trPr>
        <w:tc>
          <w:tcPr>
            <w:tcW w:type="dxa" w:w="2381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sz w:val="15"/>
              </w:rPr>
              <w:t>States</w:t>
            </w:r>
          </w:p>
        </w:tc>
        <w:tc>
          <w:tcPr>
            <w:tcW w:type="dxa" w:w="3628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sz w:val="15"/>
              </w:rPr>
              <w:t>ignition, engine, movement, PTO if available.</w:t>
            </w:r>
          </w:p>
        </w:tc>
        <w:tc>
          <w:tcPr>
            <w:tcW w:type="dxa" w:w="4195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sz w:val="15"/>
              </w:rPr>
              <w:t>Canonical enum with source-specific raw value retained.</w:t>
            </w:r>
          </w:p>
        </w:tc>
      </w:tr>
      <w:tr>
        <w:trPr>
          <w:cantSplit/>
        </w:trPr>
        <w:tc>
          <w:tcPr>
            <w:tcW w:type="dxa" w:w="2381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7F9FC"/>
          </w:tcPr>
          <w:p>
            <w:pPr>
              <w:spacing w:after="20"/>
            </w:pPr>
            <w:r>
              <w:rPr>
                <w:sz w:val="15"/>
              </w:rPr>
              <w:t>Track ingestion</w:t>
            </w:r>
          </w:p>
        </w:tc>
        <w:tc>
          <w:tcPr>
            <w:tcW w:type="dxa" w:w="3628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7F9FC"/>
          </w:tcPr>
          <w:p>
            <w:pPr>
              <w:spacing w:after="20"/>
            </w:pPr>
            <w:r>
              <w:rPr>
                <w:sz w:val="15"/>
              </w:rPr>
              <w:t>Polling/webhook/stream.</w:t>
            </w:r>
          </w:p>
        </w:tc>
        <w:tc>
          <w:tcPr>
            <w:tcW w:type="dxa" w:w="4195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7F9FC"/>
          </w:tcPr>
          <w:p>
            <w:pPr>
              <w:spacing w:after="20"/>
            </w:pPr>
            <w:r>
              <w:rPr>
                <w:sz w:val="15"/>
              </w:rPr>
              <w:t>Dedup by provider message ID/time+unit profile.</w:t>
            </w:r>
          </w:p>
        </w:tc>
      </w:tr>
      <w:tr>
        <w:trPr>
          <w:cantSplit/>
        </w:trPr>
        <w:tc>
          <w:tcPr>
            <w:tcW w:type="dxa" w:w="2381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sz w:val="15"/>
              </w:rPr>
              <w:t>Field matching</w:t>
            </w:r>
          </w:p>
        </w:tc>
        <w:tc>
          <w:tcPr>
            <w:tcW w:type="dxa" w:w="3628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sz w:val="15"/>
              </w:rPr>
              <w:t>Point/track -&gt; Field geofence.</w:t>
            </w:r>
          </w:p>
        </w:tc>
        <w:tc>
          <w:tcPr>
            <w:tcW w:type="dxa" w:w="4195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sz w:val="15"/>
              </w:rPr>
              <w:t>Derived event; does not alter raw telemetry.</w:t>
            </w:r>
          </w:p>
        </w:tc>
      </w:tr>
      <w:tr>
        <w:trPr>
          <w:cantSplit/>
        </w:trPr>
        <w:tc>
          <w:tcPr>
            <w:tcW w:type="dxa" w:w="2381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7F9FC"/>
          </w:tcPr>
          <w:p>
            <w:pPr>
              <w:spacing w:after="20"/>
            </w:pPr>
            <w:r>
              <w:rPr>
                <w:sz w:val="15"/>
              </w:rPr>
              <w:t>Work detection</w:t>
            </w:r>
          </w:p>
        </w:tc>
        <w:tc>
          <w:tcPr>
            <w:tcW w:type="dxa" w:w="3628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7F9FC"/>
          </w:tcPr>
          <w:p>
            <w:pPr>
              <w:spacing w:after="20"/>
            </w:pPr>
            <w:r>
              <w:rPr>
                <w:sz w:val="15"/>
              </w:rPr>
              <w:t>Track + implement/state + task context.</w:t>
            </w:r>
          </w:p>
        </w:tc>
        <w:tc>
          <w:tcPr>
            <w:tcW w:type="dxa" w:w="4195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7F9FC"/>
          </w:tcPr>
          <w:p>
            <w:pPr>
              <w:spacing w:after="20"/>
            </w:pPr>
            <w:r>
              <w:rPr>
                <w:sz w:val="15"/>
              </w:rPr>
              <w:t>Produces candidate fact requiring rule/confirmation.</w:t>
            </w:r>
          </w:p>
        </w:tc>
      </w:tr>
    </w:tbl>
    <w:p>
      <w:pPr>
        <w:pStyle w:val="SmallNote"/>
      </w:pPr>
    </w:p>
    <w:p>
      <w:r>
        <w:t>Provider adapters must not leak names such as provider-specific sensor keys into domain code. Raw payload can be archived/redacted for debugging, but normalized telemetry uses canonical fields.</w:t>
      </w:r>
    </w:p>
    <w:p>
      <w:pPr>
        <w:pStyle w:val="Heading1"/>
      </w:pPr>
      <w:r>
        <w:t>16. Laboratory integration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94"/>
        <w:gridCol w:w="3494"/>
        <w:gridCol w:w="3494"/>
      </w:tblGrid>
      <w:tr>
        <w:trPr>
          <w:tblHeader w:val="true"/>
        </w:trPr>
        <w:tc>
          <w:tcPr>
            <w:tcW w:type="dxa" w:w="2268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Mode</w:t>
            </w:r>
          </w:p>
        </w:tc>
        <w:tc>
          <w:tcPr>
            <w:tcW w:type="dxa" w:w="3685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Use</w:t>
            </w:r>
          </w:p>
        </w:tc>
        <w:tc>
          <w:tcPr>
            <w:tcW w:type="dxa" w:w="4252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Rule</w:t>
            </w:r>
          </w:p>
        </w:tc>
      </w:tr>
      <w:tr>
        <w:trPr>
          <w:cantSplit/>
        </w:trPr>
        <w:tc>
          <w:tcPr>
            <w:tcW w:type="dxa" w:w="2268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sz w:val="15"/>
              </w:rPr>
              <w:t>REST API</w:t>
            </w:r>
          </w:p>
        </w:tc>
        <w:tc>
          <w:tcPr>
            <w:tcW w:type="dxa" w:w="3685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sz w:val="15"/>
              </w:rPr>
              <w:t>Preferred when lab/LIMS supports.</w:t>
            </w:r>
          </w:p>
        </w:tc>
        <w:tc>
          <w:tcPr>
            <w:tcW w:type="dxa" w:w="4252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sz w:val="15"/>
              </w:rPr>
              <w:t>Sample external ID, result callback/poll, method/units.</w:t>
            </w:r>
          </w:p>
        </w:tc>
      </w:tr>
      <w:tr>
        <w:trPr>
          <w:cantSplit/>
        </w:trPr>
        <w:tc>
          <w:tcPr>
            <w:tcW w:type="dxa" w:w="2268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7F9FC"/>
          </w:tcPr>
          <w:p>
            <w:pPr>
              <w:spacing w:after="20"/>
            </w:pPr>
            <w:r>
              <w:rPr>
                <w:sz w:val="15"/>
              </w:rPr>
              <w:t>SFTP folder</w:t>
            </w:r>
          </w:p>
        </w:tc>
        <w:tc>
          <w:tcPr>
            <w:tcW w:type="dxa" w:w="3685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7F9FC"/>
          </w:tcPr>
          <w:p>
            <w:pPr>
              <w:spacing w:after="20"/>
            </w:pPr>
            <w:r>
              <w:rPr>
                <w:sz w:val="15"/>
              </w:rPr>
              <w:t>Scheduled CSV/XML exchange.</w:t>
            </w:r>
          </w:p>
        </w:tc>
        <w:tc>
          <w:tcPr>
            <w:tcW w:type="dxa" w:w="4252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7F9FC"/>
          </w:tcPr>
          <w:p>
            <w:pPr>
              <w:spacing w:after="20"/>
            </w:pPr>
            <w:r>
              <w:rPr>
                <w:sz w:val="15"/>
              </w:rPr>
              <w:t>File checksum + archive + idempotent import.</w:t>
            </w:r>
          </w:p>
        </w:tc>
      </w:tr>
      <w:tr>
        <w:trPr>
          <w:cantSplit/>
        </w:trPr>
        <w:tc>
          <w:tcPr>
            <w:tcW w:type="dxa" w:w="2268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sz w:val="15"/>
              </w:rPr>
              <w:t>CSV/XLSX manual import</w:t>
            </w:r>
          </w:p>
        </w:tc>
        <w:tc>
          <w:tcPr>
            <w:tcW w:type="dxa" w:w="3685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sz w:val="15"/>
              </w:rPr>
              <w:t>Fallback for regional/legacy labs.</w:t>
            </w:r>
          </w:p>
        </w:tc>
        <w:tc>
          <w:tcPr>
            <w:tcW w:type="dxa" w:w="4252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sz w:val="15"/>
              </w:rPr>
              <w:t>Mapping template + preview + validation before commit.</w:t>
            </w:r>
          </w:p>
        </w:tc>
      </w:tr>
      <w:tr>
        <w:trPr>
          <w:cantSplit/>
        </w:trPr>
        <w:tc>
          <w:tcPr>
            <w:tcW w:type="dxa" w:w="2268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7F9FC"/>
          </w:tcPr>
          <w:p>
            <w:pPr>
              <w:spacing w:after="20"/>
            </w:pPr>
            <w:r>
              <w:rPr>
                <w:sz w:val="15"/>
              </w:rPr>
              <w:t>Barcode/QR</w:t>
            </w:r>
          </w:p>
        </w:tc>
        <w:tc>
          <w:tcPr>
            <w:tcW w:type="dxa" w:w="3685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7F9FC"/>
          </w:tcPr>
          <w:p>
            <w:pPr>
              <w:spacing w:after="20"/>
            </w:pPr>
            <w:r>
              <w:rPr>
                <w:sz w:val="15"/>
              </w:rPr>
              <w:t>Sample ID from our Sample UUID.</w:t>
            </w:r>
          </w:p>
        </w:tc>
        <w:tc>
          <w:tcPr>
            <w:tcW w:type="dxa" w:w="4252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7F9FC"/>
          </w:tcPr>
          <w:p>
            <w:pPr>
              <w:spacing w:after="20"/>
            </w:pPr>
            <w:r>
              <w:rPr>
                <w:sz w:val="15"/>
              </w:rPr>
              <w:t>Lab can return our external_reference to avoid fuzzy matching.</w:t>
            </w:r>
          </w:p>
        </w:tc>
      </w:tr>
      <w:tr>
        <w:trPr>
          <w:cantSplit/>
        </w:trPr>
        <w:tc>
          <w:tcPr>
            <w:tcW w:type="dxa" w:w="2268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sz w:val="15"/>
              </w:rPr>
              <w:t>Units/methods</w:t>
            </w:r>
          </w:p>
        </w:tc>
        <w:tc>
          <w:tcPr>
            <w:tcW w:type="dxa" w:w="3685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sz w:val="15"/>
              </w:rPr>
              <w:t>Never accept numeric value without indicator+unit; method required where material.</w:t>
            </w:r>
          </w:p>
        </w:tc>
        <w:tc>
          <w:tcPr>
            <w:tcW w:type="dxa" w:w="4252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sz w:val="15"/>
              </w:rPr>
              <w:t>Unit normalization preserves raw value/unit.</w:t>
            </w:r>
          </w:p>
        </w:tc>
      </w:tr>
      <w:tr>
        <w:trPr>
          <w:cantSplit/>
        </w:trPr>
        <w:tc>
          <w:tcPr>
            <w:tcW w:type="dxa" w:w="2268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7F9FC"/>
          </w:tcPr>
          <w:p>
            <w:pPr>
              <w:spacing w:after="20"/>
            </w:pPr>
            <w:r>
              <w:rPr>
                <w:sz w:val="15"/>
              </w:rPr>
              <w:t>Retest</w:t>
            </w:r>
          </w:p>
        </w:tc>
        <w:tc>
          <w:tcPr>
            <w:tcW w:type="dxa" w:w="3685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7F9FC"/>
          </w:tcPr>
          <w:p>
            <w:pPr>
              <w:spacing w:after="20"/>
            </w:pPr>
            <w:r>
              <w:rPr>
                <w:sz w:val="15"/>
              </w:rPr>
              <w:t>New QualityTest, not overwrite.</w:t>
            </w:r>
          </w:p>
        </w:tc>
        <w:tc>
          <w:tcPr>
            <w:tcW w:type="dxa" w:w="4252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7F9FC"/>
          </w:tcPr>
          <w:p>
            <w:pPr>
              <w:spacing w:after="20"/>
            </w:pPr>
            <w:r>
              <w:rPr>
                <w:sz w:val="15"/>
              </w:rPr>
              <w:t>External revision mapped to supersedes/retest relation.</w:t>
            </w:r>
          </w:p>
        </w:tc>
      </w:tr>
    </w:tbl>
    <w:p>
      <w:pPr>
        <w:pStyle w:val="SmallNote"/>
      </w:pPr>
    </w:p>
    <w:p>
      <w:pPr>
        <w:pStyle w:val="Heading1"/>
      </w:pPr>
      <w:r>
        <w:t>17. Весовое оборудование и терминалы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94"/>
        <w:gridCol w:w="3494"/>
        <w:gridCol w:w="3494"/>
      </w:tblGrid>
      <w:tr>
        <w:trPr>
          <w:tblHeader w:val="true"/>
        </w:trPr>
        <w:tc>
          <w:tcPr>
            <w:tcW w:type="dxa" w:w="1984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Mode</w:t>
            </w:r>
          </w:p>
        </w:tc>
        <w:tc>
          <w:tcPr>
            <w:tcW w:type="dxa" w:w="3515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Transport</w:t>
            </w:r>
          </w:p>
        </w:tc>
        <w:tc>
          <w:tcPr>
            <w:tcW w:type="dxa" w:w="4706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Rule</w:t>
            </w:r>
          </w:p>
        </w:tc>
      </w:tr>
      <w:tr>
        <w:trPr>
          <w:cantSplit/>
        </w:trPr>
        <w:tc>
          <w:tcPr>
            <w:tcW w:type="dxa" w:w="1984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sz w:val="15"/>
              </w:rPr>
              <w:t>Manual</w:t>
            </w:r>
          </w:p>
        </w:tc>
        <w:tc>
          <w:tcPr>
            <w:tcW w:type="dxa" w:w="3515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sz w:val="15"/>
              </w:rPr>
              <w:t>Operator enters reading.</w:t>
            </w:r>
          </w:p>
        </w:tc>
        <w:tc>
          <w:tcPr>
            <w:tcW w:type="dxa" w:w="4706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sz w:val="15"/>
              </w:rPr>
              <w:t>source=MANUAL; user/time mandatory.</w:t>
            </w:r>
          </w:p>
        </w:tc>
      </w:tr>
      <w:tr>
        <w:trPr>
          <w:cantSplit/>
        </w:trPr>
        <w:tc>
          <w:tcPr>
            <w:tcW w:type="dxa" w:w="1984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7F9FC"/>
          </w:tcPr>
          <w:p>
            <w:pPr>
              <w:spacing w:after="20"/>
            </w:pPr>
            <w:r>
              <w:rPr>
                <w:sz w:val="15"/>
              </w:rPr>
              <w:t>LAN HTTP/TCP</w:t>
            </w:r>
          </w:p>
        </w:tc>
        <w:tc>
          <w:tcPr>
            <w:tcW w:type="dxa" w:w="3515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7F9FC"/>
          </w:tcPr>
          <w:p>
            <w:pPr>
              <w:spacing w:after="20"/>
            </w:pPr>
            <w:r>
              <w:rPr>
                <w:sz w:val="15"/>
              </w:rPr>
              <w:t>Terminal/gateway pushes or is polled.</w:t>
            </w:r>
          </w:p>
        </w:tc>
        <w:tc>
          <w:tcPr>
            <w:tcW w:type="dxa" w:w="4706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7F9FC"/>
          </w:tcPr>
          <w:p>
            <w:pPr>
              <w:spacing w:after="20"/>
            </w:pPr>
            <w:r>
              <w:rPr>
                <w:sz w:val="15"/>
              </w:rPr>
              <w:t>Adapter parses stable flag, weight, unit, terminal ID.</w:t>
            </w:r>
          </w:p>
        </w:tc>
      </w:tr>
      <w:tr>
        <w:trPr>
          <w:cantSplit/>
        </w:trPr>
        <w:tc>
          <w:tcPr>
            <w:tcW w:type="dxa" w:w="1984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sz w:val="15"/>
              </w:rPr>
              <w:t>Serial/RS-232/RS-485</w:t>
            </w:r>
          </w:p>
        </w:tc>
        <w:tc>
          <w:tcPr>
            <w:tcW w:type="dxa" w:w="3515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sz w:val="15"/>
              </w:rPr>
              <w:t>Local gateway reads protocol.</w:t>
            </w:r>
          </w:p>
        </w:tc>
        <w:tc>
          <w:tcPr>
            <w:tcW w:type="dxa" w:w="4706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sz w:val="15"/>
              </w:rPr>
              <w:t>Serial handled by edge service, not browser/mobile directly.</w:t>
            </w:r>
          </w:p>
        </w:tc>
      </w:tr>
      <w:tr>
        <w:trPr>
          <w:cantSplit/>
        </w:trPr>
        <w:tc>
          <w:tcPr>
            <w:tcW w:type="dxa" w:w="1984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7F9FC"/>
          </w:tcPr>
          <w:p>
            <w:pPr>
              <w:spacing w:after="20"/>
            </w:pPr>
            <w:r>
              <w:rPr>
                <w:sz w:val="15"/>
              </w:rPr>
              <w:t>Modbus</w:t>
            </w:r>
          </w:p>
        </w:tc>
        <w:tc>
          <w:tcPr>
            <w:tcW w:type="dxa" w:w="3515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7F9FC"/>
          </w:tcPr>
          <w:p>
            <w:pPr>
              <w:spacing w:after="20"/>
            </w:pPr>
            <w:r>
              <w:rPr>
                <w:sz w:val="15"/>
              </w:rPr>
              <w:t>Where terminal/device exposes registers.</w:t>
            </w:r>
          </w:p>
        </w:tc>
        <w:tc>
          <w:tcPr>
            <w:tcW w:type="dxa" w:w="4706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7F9FC"/>
          </w:tcPr>
          <w:p>
            <w:pPr>
              <w:spacing w:after="20"/>
            </w:pPr>
            <w:r>
              <w:rPr>
                <w:sz w:val="15"/>
              </w:rPr>
              <w:t>Register map is device profile; raw register retained in diagnostics.</w:t>
            </w:r>
          </w:p>
        </w:tc>
      </w:tr>
      <w:tr>
        <w:trPr>
          <w:cantSplit/>
        </w:trPr>
        <w:tc>
          <w:tcPr>
            <w:tcW w:type="dxa" w:w="1984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sz w:val="15"/>
              </w:rPr>
              <w:t>File/DB bridge</w:t>
            </w:r>
          </w:p>
        </w:tc>
        <w:tc>
          <w:tcPr>
            <w:tcW w:type="dxa" w:w="3515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sz w:val="15"/>
              </w:rPr>
              <w:t>Legacy weigh software export.</w:t>
            </w:r>
          </w:p>
        </w:tc>
        <w:tc>
          <w:tcPr>
            <w:tcW w:type="dxa" w:w="4706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sz w:val="15"/>
              </w:rPr>
              <w:t>Watcher/import with checksum/idempotency.</w:t>
            </w:r>
          </w:p>
        </w:tc>
      </w:tr>
      <w:tr>
        <w:trPr>
          <w:cantSplit/>
        </w:trPr>
        <w:tc>
          <w:tcPr>
            <w:tcW w:type="dxa" w:w="1984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7F9FC"/>
          </w:tcPr>
          <w:p>
            <w:pPr>
              <w:spacing w:after="20"/>
            </w:pPr>
            <w:r>
              <w:rPr>
                <w:sz w:val="15"/>
              </w:rPr>
              <w:t>Camera/RFID</w:t>
            </w:r>
          </w:p>
        </w:tc>
        <w:tc>
          <w:tcPr>
            <w:tcW w:type="dxa" w:w="3515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7F9FC"/>
          </w:tcPr>
          <w:p>
            <w:pPr>
              <w:spacing w:after="20"/>
            </w:pPr>
            <w:r>
              <w:rPr>
                <w:sz w:val="15"/>
              </w:rPr>
              <w:t>Optional identity evidence.</w:t>
            </w:r>
          </w:p>
        </w:tc>
        <w:tc>
          <w:tcPr>
            <w:tcW w:type="dxa" w:w="4706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7F9FC"/>
          </w:tcPr>
          <w:p>
            <w:pPr>
              <w:spacing w:after="20"/>
            </w:pPr>
            <w:r>
              <w:rPr>
                <w:sz w:val="15"/>
              </w:rPr>
              <w:t>Creates recognition/scan event; does not change raw weight.</w:t>
            </w:r>
          </w:p>
        </w:tc>
      </w:tr>
    </w:tbl>
    <w:p>
      <w:pPr>
        <w:pStyle w:val="SmallNote"/>
      </w:pPr>
    </w:p>
    <w:p>
      <w:r>
        <w:t>Canonical message from edge scale adapter:</w:t>
      </w:r>
    </w:p>
    <w:p>
      <w:pPr>
        <w:pStyle w:val="CodeBlock"/>
      </w:pPr>
      <w:r>
        <w:t>{</w:t>
        <w:br/>
        <w:t xml:space="preserve">  "deviceId": "scale-gw-01",</w:t>
        <w:br/>
        <w:t xml:space="preserve">  "terminalId": "scale-2",</w:t>
        <w:br/>
        <w:t xml:space="preserve">  "readingId": "provider-unique-id",</w:t>
        <w:br/>
        <w:t xml:space="preserve">  "observedAt": "...",</w:t>
        <w:br/>
        <w:t xml:space="preserve">  "weight": "18420.000",</w:t>
        <w:br/>
        <w:t xml:space="preserve">  "unit": "kg",</w:t>
        <w:br/>
        <w:t xml:space="preserve">  "stable": true,</w:t>
        <w:br/>
        <w:t xml:space="preserve">  "sourceProtocol": "MODBUS_TCP",</w:t>
        <w:br/>
        <w:t xml:space="preserve">  "rawRef": "sha256:..."</w:t>
        <w:br/>
        <w:t>}</w:t>
      </w:r>
    </w:p>
    <w:p>
      <w:pPr>
        <w:pStyle w:val="Heading1"/>
      </w:pPr>
      <w:r>
        <w:t>18. Универсальный File Import Framework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94"/>
        <w:gridCol w:w="3494"/>
        <w:gridCol w:w="3494"/>
      </w:tblGrid>
      <w:tr>
        <w:trPr>
          <w:tblHeader w:val="true"/>
        </w:trPr>
        <w:tc>
          <w:tcPr>
            <w:tcW w:type="dxa" w:w="2268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Format/transport</w:t>
            </w:r>
          </w:p>
        </w:tc>
        <w:tc>
          <w:tcPr>
            <w:tcW w:type="dxa" w:w="3685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Use</w:t>
            </w:r>
          </w:p>
        </w:tc>
        <w:tc>
          <w:tcPr>
            <w:tcW w:type="dxa" w:w="4252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Rule</w:t>
            </w:r>
          </w:p>
        </w:tc>
      </w:tr>
      <w:tr>
        <w:trPr>
          <w:cantSplit/>
        </w:trPr>
        <w:tc>
          <w:tcPr>
            <w:tcW w:type="dxa" w:w="2268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sz w:val="15"/>
              </w:rPr>
              <w:t>CSV/XLSX</w:t>
            </w:r>
          </w:p>
        </w:tc>
        <w:tc>
          <w:tcPr>
            <w:tcW w:type="dxa" w:w="3685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sz w:val="15"/>
              </w:rPr>
              <w:t>Справочники, лаборатории, migrations.</w:t>
            </w:r>
          </w:p>
        </w:tc>
        <w:tc>
          <w:tcPr>
            <w:tcW w:type="dxa" w:w="4252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sz w:val="15"/>
              </w:rPr>
              <w:t>Template version, preview, row errors, dry-run.</w:t>
            </w:r>
          </w:p>
        </w:tc>
      </w:tr>
      <w:tr>
        <w:trPr>
          <w:cantSplit/>
        </w:trPr>
        <w:tc>
          <w:tcPr>
            <w:tcW w:type="dxa" w:w="2268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7F9FC"/>
          </w:tcPr>
          <w:p>
            <w:pPr>
              <w:spacing w:after="20"/>
            </w:pPr>
            <w:r>
              <w:rPr>
                <w:sz w:val="15"/>
              </w:rPr>
              <w:t>GeoJSON/KML/SHP/GPKG</w:t>
            </w:r>
          </w:p>
        </w:tc>
        <w:tc>
          <w:tcPr>
            <w:tcW w:type="dxa" w:w="3685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7F9FC"/>
          </w:tcPr>
          <w:p>
            <w:pPr>
              <w:spacing w:after="20"/>
            </w:pPr>
            <w:r>
              <w:rPr>
                <w:sz w:val="15"/>
              </w:rPr>
              <w:t>Fields, zones, tracks.</w:t>
            </w:r>
          </w:p>
        </w:tc>
        <w:tc>
          <w:tcPr>
            <w:tcW w:type="dxa" w:w="4252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7F9FC"/>
          </w:tcPr>
          <w:p>
            <w:pPr>
              <w:spacing w:after="20"/>
            </w:pPr>
            <w:r>
              <w:rPr>
                <w:sz w:val="15"/>
              </w:rPr>
              <w:t>CRS detection/input, geometry validation, source metadata.</w:t>
            </w:r>
          </w:p>
        </w:tc>
      </w:tr>
      <w:tr>
        <w:trPr>
          <w:cantSplit/>
        </w:trPr>
        <w:tc>
          <w:tcPr>
            <w:tcW w:type="dxa" w:w="2268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sz w:val="15"/>
              </w:rPr>
              <w:t>XML/JSON</w:t>
            </w:r>
          </w:p>
        </w:tc>
        <w:tc>
          <w:tcPr>
            <w:tcW w:type="dxa" w:w="3685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sz w:val="15"/>
              </w:rPr>
              <w:t>Legacy system exchange.</w:t>
            </w:r>
          </w:p>
        </w:tc>
        <w:tc>
          <w:tcPr>
            <w:tcW w:type="dxa" w:w="4252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sz w:val="15"/>
              </w:rPr>
              <w:t>Schema validation.</w:t>
            </w:r>
          </w:p>
        </w:tc>
      </w:tr>
      <w:tr>
        <w:trPr>
          <w:cantSplit/>
        </w:trPr>
        <w:tc>
          <w:tcPr>
            <w:tcW w:type="dxa" w:w="2268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7F9FC"/>
          </w:tcPr>
          <w:p>
            <w:pPr>
              <w:spacing w:after="20"/>
            </w:pPr>
            <w:r>
              <w:rPr>
                <w:sz w:val="15"/>
              </w:rPr>
              <w:t>SFTP</w:t>
            </w:r>
          </w:p>
        </w:tc>
        <w:tc>
          <w:tcPr>
            <w:tcW w:type="dxa" w:w="3685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7F9FC"/>
          </w:tcPr>
          <w:p>
            <w:pPr>
              <w:spacing w:after="20"/>
            </w:pPr>
            <w:r>
              <w:rPr>
                <w:sz w:val="15"/>
              </w:rPr>
              <w:t>Scheduled files.</w:t>
            </w:r>
          </w:p>
        </w:tc>
        <w:tc>
          <w:tcPr>
            <w:tcW w:type="dxa" w:w="4252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7F9FC"/>
          </w:tcPr>
          <w:p>
            <w:pPr>
              <w:spacing w:after="20"/>
            </w:pPr>
            <w:r>
              <w:rPr>
                <w:sz w:val="15"/>
              </w:rPr>
              <w:t>Remote path + filename pattern + checksum + archive.</w:t>
            </w:r>
          </w:p>
        </w:tc>
      </w:tr>
      <w:tr>
        <w:trPr>
          <w:cantSplit/>
        </w:trPr>
        <w:tc>
          <w:tcPr>
            <w:tcW w:type="dxa" w:w="2268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sz w:val="15"/>
              </w:rPr>
              <w:t>Email attachments</w:t>
            </w:r>
          </w:p>
        </w:tc>
        <w:tc>
          <w:tcPr>
            <w:tcW w:type="dxa" w:w="3685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sz w:val="15"/>
              </w:rPr>
              <w:t>Не V1 integration transport.</w:t>
            </w:r>
          </w:p>
        </w:tc>
        <w:tc>
          <w:tcPr>
            <w:tcW w:type="dxa" w:w="4252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sz w:val="15"/>
              </w:rPr>
              <w:t>Avoid for automation due audit/security; manual upload only.</w:t>
            </w:r>
          </w:p>
        </w:tc>
      </w:tr>
    </w:tbl>
    <w:p>
      <w:pPr>
        <w:pStyle w:val="SmallNote"/>
      </w:pPr>
    </w:p>
    <w:p>
      <w:pPr>
        <w:pStyle w:val="Heading1"/>
      </w:pPr>
      <w:r>
        <w:t>19. Webhook и polling framework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94"/>
        <w:gridCol w:w="3494"/>
        <w:gridCol w:w="3494"/>
      </w:tblGrid>
      <w:tr>
        <w:trPr>
          <w:tblHeader w:val="true"/>
        </w:trPr>
        <w:tc>
          <w:tcPr>
            <w:tcW w:type="dxa" w:w="2381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Area</w:t>
            </w:r>
          </w:p>
        </w:tc>
        <w:tc>
          <w:tcPr>
            <w:tcW w:type="dxa" w:w="3855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Mechanism</w:t>
            </w:r>
          </w:p>
        </w:tc>
        <w:tc>
          <w:tcPr>
            <w:tcW w:type="dxa" w:w="3969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Rule</w:t>
            </w:r>
          </w:p>
        </w:tc>
      </w:tr>
      <w:tr>
        <w:trPr>
          <w:cantSplit/>
        </w:trPr>
        <w:tc>
          <w:tcPr>
            <w:tcW w:type="dxa" w:w="2381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sz w:val="15"/>
              </w:rPr>
              <w:t>Webhook verification</w:t>
            </w:r>
          </w:p>
        </w:tc>
        <w:tc>
          <w:tcPr>
            <w:tcW w:type="dxa" w:w="3855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sz w:val="15"/>
              </w:rPr>
              <w:t>Signature/mTLS/shared secret + timestamp/replay cache.</w:t>
            </w:r>
          </w:p>
        </w:tc>
        <w:tc>
          <w:tcPr>
            <w:tcW w:type="dxa" w:w="3969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sz w:val="15"/>
              </w:rPr>
              <w:t>Reject before parsing business event if auth invalid.</w:t>
            </w:r>
          </w:p>
        </w:tc>
      </w:tr>
      <w:tr>
        <w:trPr>
          <w:cantSplit/>
        </w:trPr>
        <w:tc>
          <w:tcPr>
            <w:tcW w:type="dxa" w:w="2381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7F9FC"/>
          </w:tcPr>
          <w:p>
            <w:pPr>
              <w:spacing w:after="20"/>
            </w:pPr>
            <w:r>
              <w:rPr>
                <w:sz w:val="15"/>
              </w:rPr>
              <w:t>Inbox</w:t>
            </w:r>
          </w:p>
        </w:tc>
        <w:tc>
          <w:tcPr>
            <w:tcW w:type="dxa" w:w="3855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7F9FC"/>
          </w:tcPr>
          <w:p>
            <w:pPr>
              <w:spacing w:after="20"/>
            </w:pPr>
            <w:r>
              <w:rPr>
                <w:sz w:val="15"/>
              </w:rPr>
              <w:t>Store external_event_id/raw hash before handler.</w:t>
            </w:r>
          </w:p>
        </w:tc>
        <w:tc>
          <w:tcPr>
            <w:tcW w:type="dxa" w:w="3969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7F9FC"/>
          </w:tcPr>
          <w:p>
            <w:pPr>
              <w:spacing w:after="20"/>
            </w:pPr>
            <w:r>
              <w:rPr>
                <w:sz w:val="15"/>
              </w:rPr>
              <w:t>Exactly-once by business key where possible.</w:t>
            </w:r>
          </w:p>
        </w:tc>
      </w:tr>
      <w:tr>
        <w:trPr>
          <w:cantSplit/>
        </w:trPr>
        <w:tc>
          <w:tcPr>
            <w:tcW w:type="dxa" w:w="2381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sz w:val="15"/>
              </w:rPr>
              <w:t>Unknown event</w:t>
            </w:r>
          </w:p>
        </w:tc>
        <w:tc>
          <w:tcPr>
            <w:tcW w:type="dxa" w:w="3855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sz w:val="15"/>
              </w:rPr>
              <w:t>Store quarantine/dead-letter, alert integration admin.</w:t>
            </w:r>
          </w:p>
        </w:tc>
        <w:tc>
          <w:tcPr>
            <w:tcW w:type="dxa" w:w="3969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sz w:val="15"/>
              </w:rPr>
              <w:t>Do not discard.</w:t>
            </w:r>
          </w:p>
        </w:tc>
      </w:tr>
      <w:tr>
        <w:trPr>
          <w:cantSplit/>
        </w:trPr>
        <w:tc>
          <w:tcPr>
            <w:tcW w:type="dxa" w:w="2381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7F9FC"/>
          </w:tcPr>
          <w:p>
            <w:pPr>
              <w:spacing w:after="20"/>
            </w:pPr>
            <w:r>
              <w:rPr>
                <w:sz w:val="15"/>
              </w:rPr>
              <w:t>Polling cursor</w:t>
            </w:r>
          </w:p>
        </w:tc>
        <w:tc>
          <w:tcPr>
            <w:tcW w:type="dxa" w:w="3855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7F9FC"/>
          </w:tcPr>
          <w:p>
            <w:pPr>
              <w:spacing w:after="20"/>
            </w:pPr>
            <w:r>
              <w:rPr>
                <w:sz w:val="15"/>
              </w:rPr>
              <w:t>external_updated_since/page token.</w:t>
            </w:r>
          </w:p>
        </w:tc>
        <w:tc>
          <w:tcPr>
            <w:tcW w:type="dxa" w:w="3969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7F9FC"/>
          </w:tcPr>
          <w:p>
            <w:pPr>
              <w:spacing w:after="20"/>
            </w:pPr>
            <w:r>
              <w:rPr>
                <w:sz w:val="15"/>
              </w:rPr>
              <w:t>Persist per profile.</w:t>
            </w:r>
          </w:p>
        </w:tc>
      </w:tr>
      <w:tr>
        <w:trPr>
          <w:cantSplit/>
        </w:trPr>
        <w:tc>
          <w:tcPr>
            <w:tcW w:type="dxa" w:w="2381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sz w:val="15"/>
              </w:rPr>
              <w:t>Adaptive polling</w:t>
            </w:r>
          </w:p>
        </w:tc>
        <w:tc>
          <w:tcPr>
            <w:tcW w:type="dxa" w:w="3855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sz w:val="15"/>
              </w:rPr>
              <w:t>Fast for active jobs, slower after time; stop at terminal.</w:t>
            </w:r>
          </w:p>
        </w:tc>
        <w:tc>
          <w:tcPr>
            <w:tcW w:type="dxa" w:w="3969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sz w:val="15"/>
              </w:rPr>
              <w:t>Respect provider rate limits.</w:t>
            </w:r>
          </w:p>
        </w:tc>
      </w:tr>
      <w:tr>
        <w:trPr>
          <w:cantSplit/>
        </w:trPr>
        <w:tc>
          <w:tcPr>
            <w:tcW w:type="dxa" w:w="2381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7F9FC"/>
          </w:tcPr>
          <w:p>
            <w:pPr>
              <w:spacing w:after="20"/>
            </w:pPr>
            <w:r>
              <w:rPr>
                <w:sz w:val="15"/>
              </w:rPr>
              <w:t>Backfill</w:t>
            </w:r>
          </w:p>
        </w:tc>
        <w:tc>
          <w:tcPr>
            <w:tcW w:type="dxa" w:w="3855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7F9FC"/>
          </w:tcPr>
          <w:p>
            <w:pPr>
              <w:spacing w:after="20"/>
            </w:pPr>
            <w:r>
              <w:rPr>
                <w:sz w:val="15"/>
              </w:rPr>
              <w:t>Admin command can pull date/ID range.</w:t>
            </w:r>
          </w:p>
        </w:tc>
        <w:tc>
          <w:tcPr>
            <w:tcW w:type="dxa" w:w="3969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7F9FC"/>
          </w:tcPr>
          <w:p>
            <w:pPr>
              <w:spacing w:after="20"/>
            </w:pPr>
            <w:r>
              <w:rPr>
                <w:sz w:val="15"/>
              </w:rPr>
              <w:t>Same idempotent import path.</w:t>
            </w:r>
          </w:p>
        </w:tc>
      </w:tr>
    </w:tbl>
    <w:p>
      <w:pPr>
        <w:pStyle w:val="SmallNote"/>
      </w:pPr>
    </w:p>
    <w:p>
      <w:pPr>
        <w:pStyle w:val="Heading1"/>
      </w:pPr>
      <w:r>
        <w:t>20. Mapping Engine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94"/>
        <w:gridCol w:w="3494"/>
        <w:gridCol w:w="3494"/>
      </w:tblGrid>
      <w:tr>
        <w:trPr>
          <w:tblHeader w:val="true"/>
        </w:trPr>
        <w:tc>
          <w:tcPr>
            <w:tcW w:type="dxa" w:w="1701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Type</w:t>
            </w:r>
          </w:p>
        </w:tc>
        <w:tc>
          <w:tcPr>
            <w:tcW w:type="dxa" w:w="3969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Example</w:t>
            </w:r>
          </w:p>
        </w:tc>
        <w:tc>
          <w:tcPr>
            <w:tcW w:type="dxa" w:w="4535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Rule</w:t>
            </w:r>
          </w:p>
        </w:tc>
      </w:tr>
      <w:tr>
        <w:trPr>
          <w:cantSplit/>
        </w:trPr>
        <w:tc>
          <w:tcPr>
            <w:tcW w:type="dxa" w:w="1701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sz w:val="15"/>
              </w:rPr>
              <w:t>Direct</w:t>
            </w:r>
          </w:p>
        </w:tc>
        <w:tc>
          <w:tcPr>
            <w:tcW w:type="dxa" w:w="3969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sz w:val="15"/>
              </w:rPr>
              <w:t>internal.field -&gt; external.field</w:t>
            </w:r>
          </w:p>
        </w:tc>
        <w:tc>
          <w:tcPr>
            <w:tcW w:type="dxa" w:w="4535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sz w:val="15"/>
              </w:rPr>
              <w:t>Simple path/type mapping.</w:t>
            </w:r>
          </w:p>
        </w:tc>
      </w:tr>
      <w:tr>
        <w:trPr>
          <w:cantSplit/>
        </w:trPr>
        <w:tc>
          <w:tcPr>
            <w:tcW w:type="dxa" w:w="1701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7F9FC"/>
          </w:tcPr>
          <w:p>
            <w:pPr>
              <w:spacing w:after="20"/>
            </w:pPr>
            <w:r>
              <w:rPr>
                <w:sz w:val="15"/>
              </w:rPr>
              <w:t>Dictionary</w:t>
            </w:r>
          </w:p>
        </w:tc>
        <w:tc>
          <w:tcPr>
            <w:tcW w:type="dxa" w:w="3969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7F9FC"/>
          </w:tcPr>
          <w:p>
            <w:pPr>
              <w:spacing w:after="20"/>
            </w:pPr>
            <w:r>
              <w:rPr>
                <w:sz w:val="15"/>
              </w:rPr>
              <w:t>our crop code -&gt; provider crop code</w:t>
            </w:r>
          </w:p>
        </w:tc>
        <w:tc>
          <w:tcPr>
            <w:tcW w:type="dxa" w:w="4535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7F9FC"/>
          </w:tcPr>
          <w:p>
            <w:pPr>
              <w:spacing w:after="20"/>
            </w:pPr>
            <w:r>
              <w:rPr>
                <w:sz w:val="15"/>
              </w:rPr>
              <w:t>Versioned dictionaries/effective dates.</w:t>
            </w:r>
          </w:p>
        </w:tc>
      </w:tr>
      <w:tr>
        <w:trPr>
          <w:cantSplit/>
        </w:trPr>
        <w:tc>
          <w:tcPr>
            <w:tcW w:type="dxa" w:w="1701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sz w:val="15"/>
              </w:rPr>
              <w:t>Transform</w:t>
            </w:r>
          </w:p>
        </w:tc>
        <w:tc>
          <w:tcPr>
            <w:tcW w:type="dxa" w:w="3969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sz w:val="15"/>
              </w:rPr>
              <w:t>kg -&gt; t; decimal/date formatting</w:t>
            </w:r>
          </w:p>
        </w:tc>
        <w:tc>
          <w:tcPr>
            <w:tcW w:type="dxa" w:w="4535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sz w:val="15"/>
              </w:rPr>
              <w:t>Explicit transform function.</w:t>
            </w:r>
          </w:p>
        </w:tc>
      </w:tr>
      <w:tr>
        <w:trPr>
          <w:cantSplit/>
        </w:trPr>
        <w:tc>
          <w:tcPr>
            <w:tcW w:type="dxa" w:w="1701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7F9FC"/>
          </w:tcPr>
          <w:p>
            <w:pPr>
              <w:spacing w:after="20"/>
            </w:pPr>
            <w:r>
              <w:rPr>
                <w:sz w:val="15"/>
              </w:rPr>
              <w:t>Lookup</w:t>
            </w:r>
          </w:p>
        </w:tc>
        <w:tc>
          <w:tcPr>
            <w:tcW w:type="dxa" w:w="3969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7F9FC"/>
          </w:tcPr>
          <w:p>
            <w:pPr>
              <w:spacing w:after="20"/>
            </w:pPr>
            <w:r>
              <w:rPr>
                <w:sz w:val="15"/>
              </w:rPr>
              <w:t>internal warehouse -&gt; external GUID</w:t>
            </w:r>
          </w:p>
        </w:tc>
        <w:tc>
          <w:tcPr>
            <w:tcW w:type="dxa" w:w="4535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7F9FC"/>
          </w:tcPr>
          <w:p>
            <w:pPr>
              <w:spacing w:after="20"/>
            </w:pPr>
            <w:r>
              <w:rPr>
                <w:sz w:val="15"/>
              </w:rPr>
              <w:t>ExternalRecordLink required.</w:t>
            </w:r>
          </w:p>
        </w:tc>
      </w:tr>
      <w:tr>
        <w:trPr>
          <w:cantSplit/>
        </w:trPr>
        <w:tc>
          <w:tcPr>
            <w:tcW w:type="dxa" w:w="1701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sz w:val="15"/>
              </w:rPr>
              <w:t>Conditional</w:t>
            </w:r>
          </w:p>
        </w:tc>
        <w:tc>
          <w:tcPr>
            <w:tcW w:type="dxa" w:w="3969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sz w:val="15"/>
              </w:rPr>
              <w:t>field required only for operation type X</w:t>
            </w:r>
          </w:p>
        </w:tc>
        <w:tc>
          <w:tcPr>
            <w:tcW w:type="dxa" w:w="4535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sz w:val="15"/>
              </w:rPr>
              <w:t>Rule expression.</w:t>
            </w:r>
          </w:p>
        </w:tc>
      </w:tr>
      <w:tr>
        <w:trPr>
          <w:cantSplit/>
        </w:trPr>
        <w:tc>
          <w:tcPr>
            <w:tcW w:type="dxa" w:w="1701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7F9FC"/>
          </w:tcPr>
          <w:p>
            <w:pPr>
              <w:spacing w:after="20"/>
            </w:pPr>
            <w:r>
              <w:rPr>
                <w:sz w:val="15"/>
              </w:rPr>
              <w:t>Aggregate</w:t>
            </w:r>
          </w:p>
        </w:tc>
        <w:tc>
          <w:tcPr>
            <w:tcW w:type="dxa" w:w="3969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7F9FC"/>
          </w:tcPr>
          <w:p>
            <w:pPr>
              <w:spacing w:after="20"/>
            </w:pPr>
            <w:r>
              <w:rPr>
                <w:sz w:val="15"/>
              </w:rPr>
              <w:t>sum closed weighings -&gt; report total</w:t>
            </w:r>
          </w:p>
        </w:tc>
        <w:tc>
          <w:tcPr>
            <w:tcW w:type="dxa" w:w="4535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7F9FC"/>
          </w:tcPr>
          <w:p>
            <w:pPr>
              <w:spacing w:after="20"/>
            </w:pPr>
            <w:r>
              <w:rPr>
                <w:sz w:val="15"/>
              </w:rPr>
              <w:t>Must cite source records and period.</w:t>
            </w:r>
          </w:p>
        </w:tc>
      </w:tr>
      <w:tr>
        <w:trPr>
          <w:cantSplit/>
        </w:trPr>
        <w:tc>
          <w:tcPr>
            <w:tcW w:type="dxa" w:w="1701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sz w:val="15"/>
              </w:rPr>
              <w:t>Split</w:t>
            </w:r>
          </w:p>
        </w:tc>
        <w:tc>
          <w:tcPr>
            <w:tcW w:type="dxa" w:w="3969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sz w:val="15"/>
              </w:rPr>
              <w:t>one domain object -&gt; several external objects</w:t>
            </w:r>
          </w:p>
        </w:tc>
        <w:tc>
          <w:tcPr>
            <w:tcW w:type="dxa" w:w="4535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sz w:val="15"/>
              </w:rPr>
              <w:t>Explicit mapping rule; stable derived keys.</w:t>
            </w:r>
          </w:p>
        </w:tc>
      </w:tr>
    </w:tbl>
    <w:p>
      <w:pPr>
        <w:pStyle w:val="SmallNote"/>
      </w:pPr>
    </w:p>
    <w:p>
      <w:pPr>
        <w:pStyle w:val="CodeBlock"/>
      </w:pPr>
      <w:r>
        <w:t>MappingProfile:</w:t>
        <w:br/>
        <w:t xml:space="preserve">  version: 7</w:t>
        <w:br/>
        <w:t xml:space="preserve">  object: MaterialConsumption</w:t>
        <w:br/>
        <w:t xml:space="preserve">  target: ONE_C</w:t>
        <w:br/>
        <w:t xml:space="preserve">  fields:</w:t>
        <w:br/>
        <w:t xml:space="preserve">    externalOperationId: event.id</w:t>
        <w:br/>
        <w:t xml:space="preserve">    warehouseGuid: lookup(Warehouse.external.ONE_C)</w:t>
        <w:br/>
        <w:t xml:space="preserve">    itemGuid: lookup(Material.external.ONE_C)</w:t>
        <w:br/>
        <w:t xml:space="preserve">    quantity:</w:t>
        <w:br/>
        <w:t xml:space="preserve">      from: movement.quantity</w:t>
        <w:br/>
        <w:t xml:space="preserve">      transform: convert_unit(movement.unit, targetUnit)</w:t>
        <w:br/>
        <w:t xml:space="preserve">    documentDate: movement.occurred_at</w:t>
        <w:br/>
      </w:r>
    </w:p>
    <w:p>
      <w:pPr>
        <w:pStyle w:val="Heading1"/>
      </w:pPr>
      <w:r>
        <w:t>21. Integration Status Center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94"/>
        <w:gridCol w:w="3494"/>
        <w:gridCol w:w="3494"/>
      </w:tblGrid>
      <w:tr>
        <w:trPr>
          <w:tblHeader w:val="true"/>
        </w:trPr>
        <w:tc>
          <w:tcPr>
            <w:tcW w:type="dxa" w:w="2268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Status</w:t>
            </w:r>
          </w:p>
        </w:tc>
        <w:tc>
          <w:tcPr>
            <w:tcW w:type="dxa" w:w="4535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Meaning</w:t>
            </w:r>
          </w:p>
        </w:tc>
        <w:tc>
          <w:tcPr>
            <w:tcW w:type="dxa" w:w="3402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UX</w:t>
            </w:r>
          </w:p>
        </w:tc>
      </w:tr>
      <w:tr>
        <w:trPr>
          <w:cantSplit/>
        </w:trPr>
        <w:tc>
          <w:tcPr>
            <w:tcW w:type="dxa" w:w="2268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sz w:val="15"/>
              </w:rPr>
              <w:t>DRAFT</w:t>
            </w:r>
          </w:p>
        </w:tc>
        <w:tc>
          <w:tcPr>
            <w:tcW w:type="dxa" w:w="4535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sz w:val="15"/>
              </w:rPr>
              <w:t>Данные ещё не готовы/не прошли local validation.</w:t>
            </w:r>
          </w:p>
        </w:tc>
        <w:tc>
          <w:tcPr>
            <w:tcW w:type="dxa" w:w="3402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sz w:val="15"/>
              </w:rPr>
              <w:t>Исправить исходные данные.</w:t>
            </w:r>
          </w:p>
        </w:tc>
      </w:tr>
      <w:tr>
        <w:trPr>
          <w:cantSplit/>
        </w:trPr>
        <w:tc>
          <w:tcPr>
            <w:tcW w:type="dxa" w:w="2268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7F9FC"/>
          </w:tcPr>
          <w:p>
            <w:pPr>
              <w:spacing w:after="20"/>
            </w:pPr>
            <w:r>
              <w:rPr>
                <w:sz w:val="15"/>
              </w:rPr>
              <w:t>QUEUED</w:t>
            </w:r>
          </w:p>
        </w:tc>
        <w:tc>
          <w:tcPr>
            <w:tcW w:type="dxa" w:w="4535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7F9FC"/>
          </w:tcPr>
          <w:p>
            <w:pPr>
              <w:spacing w:after="20"/>
            </w:pPr>
            <w:r>
              <w:rPr>
                <w:sz w:val="15"/>
              </w:rPr>
              <w:t>Job готов к отправке.</w:t>
            </w:r>
          </w:p>
        </w:tc>
        <w:tc>
          <w:tcPr>
            <w:tcW w:type="dxa" w:w="3402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7F9FC"/>
          </w:tcPr>
          <w:p>
            <w:pPr>
              <w:spacing w:after="20"/>
            </w:pPr>
            <w:r>
              <w:rPr>
                <w:sz w:val="15"/>
              </w:rPr>
              <w:t>Автоматически.</w:t>
            </w:r>
          </w:p>
        </w:tc>
      </w:tr>
      <w:tr>
        <w:trPr>
          <w:cantSplit/>
        </w:trPr>
        <w:tc>
          <w:tcPr>
            <w:tcW w:type="dxa" w:w="2268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sz w:val="15"/>
              </w:rPr>
              <w:t>SENDING</w:t>
            </w:r>
          </w:p>
        </w:tc>
        <w:tc>
          <w:tcPr>
            <w:tcW w:type="dxa" w:w="4535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sz w:val="15"/>
              </w:rPr>
              <w:t>Request выполняется.</w:t>
            </w:r>
          </w:p>
        </w:tc>
        <w:tc>
          <w:tcPr>
            <w:tcW w:type="dxa" w:w="3402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sz w:val="15"/>
              </w:rPr>
              <w:t>Wait.</w:t>
            </w:r>
          </w:p>
        </w:tc>
      </w:tr>
      <w:tr>
        <w:trPr>
          <w:cantSplit/>
        </w:trPr>
        <w:tc>
          <w:tcPr>
            <w:tcW w:type="dxa" w:w="2268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7F9FC"/>
          </w:tcPr>
          <w:p>
            <w:pPr>
              <w:spacing w:after="20"/>
            </w:pPr>
            <w:r>
              <w:rPr>
                <w:sz w:val="15"/>
              </w:rPr>
              <w:t>SENT</w:t>
            </w:r>
          </w:p>
        </w:tc>
        <w:tc>
          <w:tcPr>
            <w:tcW w:type="dxa" w:w="4535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7F9FC"/>
          </w:tcPr>
          <w:p>
            <w:pPr>
              <w:spacing w:after="20"/>
            </w:pPr>
            <w:r>
              <w:rPr>
                <w:sz w:val="15"/>
              </w:rPr>
              <w:t>Внешняя сторона приняла transport request.</w:t>
            </w:r>
          </w:p>
        </w:tc>
        <w:tc>
          <w:tcPr>
            <w:tcW w:type="dxa" w:w="3402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7F9FC"/>
          </w:tcPr>
          <w:p>
            <w:pPr>
              <w:spacing w:after="20"/>
            </w:pPr>
            <w:r>
              <w:rPr>
                <w:sz w:val="15"/>
              </w:rPr>
              <w:t>Polling/webhook.</w:t>
            </w:r>
          </w:p>
        </w:tc>
      </w:tr>
      <w:tr>
        <w:trPr>
          <w:cantSplit/>
        </w:trPr>
        <w:tc>
          <w:tcPr>
            <w:tcW w:type="dxa" w:w="2268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sz w:val="15"/>
              </w:rPr>
              <w:t>ACCEPTED</w:t>
            </w:r>
          </w:p>
        </w:tc>
        <w:tc>
          <w:tcPr>
            <w:tcW w:type="dxa" w:w="4535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sz w:val="15"/>
              </w:rPr>
              <w:t>Бизнес-операция принята.</w:t>
            </w:r>
          </w:p>
        </w:tc>
        <w:tc>
          <w:tcPr>
            <w:tcW w:type="dxa" w:w="3402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sz w:val="15"/>
              </w:rPr>
              <w:t>Show external ID/document.</w:t>
            </w:r>
          </w:p>
        </w:tc>
      </w:tr>
      <w:tr>
        <w:trPr>
          <w:cantSplit/>
        </w:trPr>
        <w:tc>
          <w:tcPr>
            <w:tcW w:type="dxa" w:w="2268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7F9FC"/>
          </w:tcPr>
          <w:p>
            <w:pPr>
              <w:spacing w:after="20"/>
            </w:pPr>
            <w:r>
              <w:rPr>
                <w:sz w:val="15"/>
              </w:rPr>
              <w:t>REJECTED</w:t>
            </w:r>
          </w:p>
        </w:tc>
        <w:tc>
          <w:tcPr>
            <w:tcW w:type="dxa" w:w="4535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7F9FC"/>
          </w:tcPr>
          <w:p>
            <w:pPr>
              <w:spacing w:after="20"/>
            </w:pPr>
            <w:r>
              <w:rPr>
                <w:sz w:val="15"/>
              </w:rPr>
              <w:t>Бизнес/ФЛК ошибка.</w:t>
            </w:r>
          </w:p>
        </w:tc>
        <w:tc>
          <w:tcPr>
            <w:tcW w:type="dxa" w:w="3402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7F9FC"/>
          </w:tcPr>
          <w:p>
            <w:pPr>
              <w:spacing w:after="20"/>
            </w:pPr>
            <w:r>
              <w:rPr>
                <w:sz w:val="15"/>
              </w:rPr>
              <w:t>Actionable issue.</w:t>
            </w:r>
          </w:p>
        </w:tc>
      </w:tr>
      <w:tr>
        <w:trPr>
          <w:cantSplit/>
        </w:trPr>
        <w:tc>
          <w:tcPr>
            <w:tcW w:type="dxa" w:w="2268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sz w:val="15"/>
              </w:rPr>
              <w:t>RETRYING</w:t>
            </w:r>
          </w:p>
        </w:tc>
        <w:tc>
          <w:tcPr>
            <w:tcW w:type="dxa" w:w="4535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sz w:val="15"/>
              </w:rPr>
              <w:t>Техническая ошибка.</w:t>
            </w:r>
          </w:p>
        </w:tc>
        <w:tc>
          <w:tcPr>
            <w:tcW w:type="dxa" w:w="3402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sz w:val="15"/>
              </w:rPr>
              <w:t>Auto backoff.</w:t>
            </w:r>
          </w:p>
        </w:tc>
      </w:tr>
      <w:tr>
        <w:trPr>
          <w:cantSplit/>
        </w:trPr>
        <w:tc>
          <w:tcPr>
            <w:tcW w:type="dxa" w:w="2268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7F9FC"/>
          </w:tcPr>
          <w:p>
            <w:pPr>
              <w:spacing w:after="20"/>
            </w:pPr>
            <w:r>
              <w:rPr>
                <w:sz w:val="15"/>
              </w:rPr>
              <w:t>ACTION_REQUIRED</w:t>
            </w:r>
          </w:p>
        </w:tc>
        <w:tc>
          <w:tcPr>
            <w:tcW w:type="dxa" w:w="4535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7F9FC"/>
          </w:tcPr>
          <w:p>
            <w:pPr>
              <w:spacing w:after="20"/>
            </w:pPr>
            <w:r>
              <w:rPr>
                <w:sz w:val="15"/>
              </w:rPr>
              <w:t>Нужна подпись/документ/mapping/user decision.</w:t>
            </w:r>
          </w:p>
        </w:tc>
        <w:tc>
          <w:tcPr>
            <w:tcW w:type="dxa" w:w="3402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7F9FC"/>
          </w:tcPr>
          <w:p>
            <w:pPr>
              <w:spacing w:after="20"/>
            </w:pPr>
            <w:r>
              <w:rPr>
                <w:sz w:val="15"/>
              </w:rPr>
              <w:t>Assign task.</w:t>
            </w:r>
          </w:p>
        </w:tc>
      </w:tr>
      <w:tr>
        <w:trPr>
          <w:cantSplit/>
        </w:trPr>
        <w:tc>
          <w:tcPr>
            <w:tcW w:type="dxa" w:w="2268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sz w:val="15"/>
              </w:rPr>
              <w:t>DEAD_LETTER</w:t>
            </w:r>
          </w:p>
        </w:tc>
        <w:tc>
          <w:tcPr>
            <w:tcW w:type="dxa" w:w="4535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sz w:val="15"/>
              </w:rPr>
              <w:t>Retries exhausted/schema unknown.</w:t>
            </w:r>
          </w:p>
        </w:tc>
        <w:tc>
          <w:tcPr>
            <w:tcW w:type="dxa" w:w="3402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sz w:val="15"/>
              </w:rPr>
              <w:t>Integration admin.</w:t>
            </w:r>
          </w:p>
        </w:tc>
      </w:tr>
      <w:tr>
        <w:trPr>
          <w:cantSplit/>
        </w:trPr>
        <w:tc>
          <w:tcPr>
            <w:tcW w:type="dxa" w:w="2268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7F9FC"/>
          </w:tcPr>
          <w:p>
            <w:pPr>
              <w:spacing w:after="20"/>
            </w:pPr>
            <w:r>
              <w:rPr>
                <w:sz w:val="15"/>
              </w:rPr>
              <w:t>RECONCILIATION_MISMATCH</w:t>
            </w:r>
          </w:p>
        </w:tc>
        <w:tc>
          <w:tcPr>
            <w:tcW w:type="dxa" w:w="4535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7F9FC"/>
          </w:tcPr>
          <w:p>
            <w:pPr>
              <w:spacing w:after="20"/>
            </w:pPr>
            <w:r>
              <w:rPr>
                <w:sz w:val="15"/>
              </w:rPr>
              <w:t>Стороны расходятся.</w:t>
            </w:r>
          </w:p>
        </w:tc>
        <w:tc>
          <w:tcPr>
            <w:tcW w:type="dxa" w:w="3402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7F9FC"/>
          </w:tcPr>
          <w:p>
            <w:pPr>
              <w:spacing w:after="20"/>
            </w:pPr>
            <w:r>
              <w:rPr>
                <w:sz w:val="15"/>
              </w:rPr>
              <w:t>Review/reconcile.</w:t>
            </w:r>
          </w:p>
        </w:tc>
      </w:tr>
    </w:tbl>
    <w:p>
      <w:pPr>
        <w:pStyle w:val="SmallNote"/>
      </w:pPr>
    </w:p>
    <w:p>
      <w:pPr>
        <w:pStyle w:val="Heading1"/>
      </w:pPr>
      <w:r>
        <w:t>22. Нормализация ошибок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94"/>
        <w:gridCol w:w="3494"/>
        <w:gridCol w:w="3494"/>
      </w:tblGrid>
      <w:tr>
        <w:trPr>
          <w:tblHeader w:val="true"/>
        </w:trPr>
        <w:tc>
          <w:tcPr>
            <w:tcW w:type="dxa" w:w="2381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Class</w:t>
            </w:r>
          </w:p>
        </w:tc>
        <w:tc>
          <w:tcPr>
            <w:tcW w:type="dxa" w:w="3855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Example</w:t>
            </w:r>
          </w:p>
        </w:tc>
        <w:tc>
          <w:tcPr>
            <w:tcW w:type="dxa" w:w="3969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Policy</w:t>
            </w:r>
          </w:p>
        </w:tc>
      </w:tr>
      <w:tr>
        <w:trPr>
          <w:cantSplit/>
        </w:trPr>
        <w:tc>
          <w:tcPr>
            <w:tcW w:type="dxa" w:w="2381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sz w:val="15"/>
              </w:rPr>
              <w:t>AUTH_ERROR</w:t>
            </w:r>
          </w:p>
        </w:tc>
        <w:tc>
          <w:tcPr>
            <w:tcW w:type="dxa" w:w="3855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sz w:val="15"/>
              </w:rPr>
              <w:t>Credentials/token/certificate.</w:t>
            </w:r>
          </w:p>
        </w:tc>
        <w:tc>
          <w:tcPr>
            <w:tcW w:type="dxa" w:w="3969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sz w:val="15"/>
              </w:rPr>
              <w:t>Do not retry blindly; notify admin.</w:t>
            </w:r>
          </w:p>
        </w:tc>
      </w:tr>
      <w:tr>
        <w:trPr>
          <w:cantSplit/>
        </w:trPr>
        <w:tc>
          <w:tcPr>
            <w:tcW w:type="dxa" w:w="2381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7F9FC"/>
          </w:tcPr>
          <w:p>
            <w:pPr>
              <w:spacing w:after="20"/>
            </w:pPr>
            <w:r>
              <w:rPr>
                <w:sz w:val="15"/>
              </w:rPr>
              <w:t>RATE_LIMIT</w:t>
            </w:r>
          </w:p>
        </w:tc>
        <w:tc>
          <w:tcPr>
            <w:tcW w:type="dxa" w:w="3855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7F9FC"/>
          </w:tcPr>
          <w:p>
            <w:pPr>
              <w:spacing w:after="20"/>
            </w:pPr>
            <w:r>
              <w:rPr>
                <w:sz w:val="15"/>
              </w:rPr>
              <w:t>429/quota.</w:t>
            </w:r>
          </w:p>
        </w:tc>
        <w:tc>
          <w:tcPr>
            <w:tcW w:type="dxa" w:w="3969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7F9FC"/>
          </w:tcPr>
          <w:p>
            <w:pPr>
              <w:spacing w:after="20"/>
            </w:pPr>
            <w:r>
              <w:rPr>
                <w:sz w:val="15"/>
              </w:rPr>
              <w:t>Retry-After/backoff.</w:t>
            </w:r>
          </w:p>
        </w:tc>
      </w:tr>
      <w:tr>
        <w:trPr>
          <w:cantSplit/>
        </w:trPr>
        <w:tc>
          <w:tcPr>
            <w:tcW w:type="dxa" w:w="2381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sz w:val="15"/>
              </w:rPr>
              <w:t>NETWORK/TIMEOUT</w:t>
            </w:r>
          </w:p>
        </w:tc>
        <w:tc>
          <w:tcPr>
            <w:tcW w:type="dxa" w:w="3855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sz w:val="15"/>
              </w:rPr>
              <w:t>No connection/timeout.</w:t>
            </w:r>
          </w:p>
        </w:tc>
        <w:tc>
          <w:tcPr>
            <w:tcW w:type="dxa" w:w="3969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sz w:val="15"/>
              </w:rPr>
              <w:t>Retry.</w:t>
            </w:r>
          </w:p>
        </w:tc>
      </w:tr>
      <w:tr>
        <w:trPr>
          <w:cantSplit/>
        </w:trPr>
        <w:tc>
          <w:tcPr>
            <w:tcW w:type="dxa" w:w="2381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7F9FC"/>
          </w:tcPr>
          <w:p>
            <w:pPr>
              <w:spacing w:after="20"/>
            </w:pPr>
            <w:r>
              <w:rPr>
                <w:sz w:val="15"/>
              </w:rPr>
              <w:t>VALIDATION</w:t>
            </w:r>
          </w:p>
        </w:tc>
        <w:tc>
          <w:tcPr>
            <w:tcW w:type="dxa" w:w="3855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7F9FC"/>
          </w:tcPr>
          <w:p>
            <w:pPr>
              <w:spacing w:after="20"/>
            </w:pPr>
            <w:r>
              <w:rPr>
                <w:sz w:val="15"/>
              </w:rPr>
              <w:t>Missing/invalid field.</w:t>
            </w:r>
          </w:p>
        </w:tc>
        <w:tc>
          <w:tcPr>
            <w:tcW w:type="dxa" w:w="3969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7F9FC"/>
          </w:tcPr>
          <w:p>
            <w:pPr>
              <w:spacing w:after="20"/>
            </w:pPr>
            <w:r>
              <w:rPr>
                <w:sz w:val="15"/>
              </w:rPr>
              <w:t>ACTION_REQUIRED with entity/field.</w:t>
            </w:r>
          </w:p>
        </w:tc>
      </w:tr>
      <w:tr>
        <w:trPr>
          <w:cantSplit/>
        </w:trPr>
        <w:tc>
          <w:tcPr>
            <w:tcW w:type="dxa" w:w="2381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sz w:val="15"/>
              </w:rPr>
              <w:t>REFERENCE_NOT_FOUND</w:t>
            </w:r>
          </w:p>
        </w:tc>
        <w:tc>
          <w:tcPr>
            <w:tcW w:type="dxa" w:w="3855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sz w:val="15"/>
              </w:rPr>
              <w:t>No external mapping.</w:t>
            </w:r>
          </w:p>
        </w:tc>
        <w:tc>
          <w:tcPr>
            <w:tcW w:type="dxa" w:w="3969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sz w:val="15"/>
              </w:rPr>
              <w:t>Mapping task.</w:t>
            </w:r>
          </w:p>
        </w:tc>
      </w:tr>
      <w:tr>
        <w:trPr>
          <w:cantSplit/>
        </w:trPr>
        <w:tc>
          <w:tcPr>
            <w:tcW w:type="dxa" w:w="2381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7F9FC"/>
          </w:tcPr>
          <w:p>
            <w:pPr>
              <w:spacing w:after="20"/>
            </w:pPr>
            <w:r>
              <w:rPr>
                <w:sz w:val="15"/>
              </w:rPr>
              <w:t>DUPLICATE</w:t>
            </w:r>
          </w:p>
        </w:tc>
        <w:tc>
          <w:tcPr>
            <w:tcW w:type="dxa" w:w="3855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7F9FC"/>
          </w:tcPr>
          <w:p>
            <w:pPr>
              <w:spacing w:after="20"/>
            </w:pPr>
            <w:r>
              <w:rPr>
                <w:sz w:val="15"/>
              </w:rPr>
              <w:t>External duplicate/conflict.</w:t>
            </w:r>
          </w:p>
        </w:tc>
        <w:tc>
          <w:tcPr>
            <w:tcW w:type="dxa" w:w="3969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7F9FC"/>
          </w:tcPr>
          <w:p>
            <w:pPr>
              <w:spacing w:after="20"/>
            </w:pPr>
            <w:r>
              <w:rPr>
                <w:sz w:val="15"/>
              </w:rPr>
              <w:t>Reconcile by external IDs/idempotency.</w:t>
            </w:r>
          </w:p>
        </w:tc>
      </w:tr>
      <w:tr>
        <w:trPr>
          <w:cantSplit/>
        </w:trPr>
        <w:tc>
          <w:tcPr>
            <w:tcW w:type="dxa" w:w="2381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sz w:val="15"/>
              </w:rPr>
              <w:t>SCHEMA_CHANGED</w:t>
            </w:r>
          </w:p>
        </w:tc>
        <w:tc>
          <w:tcPr>
            <w:tcW w:type="dxa" w:w="3855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sz w:val="15"/>
              </w:rPr>
              <w:t>Unexpected required field/version.</w:t>
            </w:r>
          </w:p>
        </w:tc>
        <w:tc>
          <w:tcPr>
            <w:tcW w:type="dxa" w:w="3969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sz w:val="15"/>
              </w:rPr>
              <w:t>Dead-letter + connector update.</w:t>
            </w:r>
          </w:p>
        </w:tc>
      </w:tr>
      <w:tr>
        <w:trPr>
          <w:cantSplit/>
        </w:trPr>
        <w:tc>
          <w:tcPr>
            <w:tcW w:type="dxa" w:w="2381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7F9FC"/>
          </w:tcPr>
          <w:p>
            <w:pPr>
              <w:spacing w:after="20"/>
            </w:pPr>
            <w:r>
              <w:rPr>
                <w:sz w:val="15"/>
              </w:rPr>
              <w:t>SIGNATURE_REQUIRED</w:t>
            </w:r>
          </w:p>
        </w:tc>
        <w:tc>
          <w:tcPr>
            <w:tcW w:type="dxa" w:w="3855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7F9FC"/>
          </w:tcPr>
          <w:p>
            <w:pPr>
              <w:spacing w:after="20"/>
            </w:pPr>
            <w:r>
              <w:rPr>
                <w:sz w:val="15"/>
              </w:rPr>
              <w:t>Need legal signing action.</w:t>
            </w:r>
          </w:p>
        </w:tc>
        <w:tc>
          <w:tcPr>
            <w:tcW w:type="dxa" w:w="3969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7F9FC"/>
          </w:tcPr>
          <w:p>
            <w:pPr>
              <w:spacing w:after="20"/>
            </w:pPr>
            <w:r>
              <w:rPr>
                <w:sz w:val="15"/>
              </w:rPr>
              <w:t>SignatureRequest.</w:t>
            </w:r>
          </w:p>
        </w:tc>
      </w:tr>
      <w:tr>
        <w:trPr>
          <w:cantSplit/>
        </w:trPr>
        <w:tc>
          <w:tcPr>
            <w:tcW w:type="dxa" w:w="2381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sz w:val="15"/>
              </w:rPr>
              <w:t>EXTERNAL_STATE_CONFLICT</w:t>
            </w:r>
          </w:p>
        </w:tc>
        <w:tc>
          <w:tcPr>
            <w:tcW w:type="dxa" w:w="3855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sz w:val="15"/>
              </w:rPr>
              <w:t>External record already in incompatible state.</w:t>
            </w:r>
          </w:p>
        </w:tc>
        <w:tc>
          <w:tcPr>
            <w:tcW w:type="dxa" w:w="3969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sz w:val="15"/>
              </w:rPr>
              <w:t>User/integrator decision.</w:t>
            </w:r>
          </w:p>
        </w:tc>
      </w:tr>
    </w:tbl>
    <w:p>
      <w:pPr>
        <w:pStyle w:val="SmallNote"/>
      </w:pPr>
    </w:p>
    <w:p>
      <w:pPr>
        <w:pStyle w:val="Heading1"/>
      </w:pPr>
      <w:r>
        <w:t>23. Retry, rate limits и circuit breaker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94"/>
        <w:gridCol w:w="3494"/>
        <w:gridCol w:w="3494"/>
      </w:tblGrid>
      <w:tr>
        <w:trPr>
          <w:tblHeader w:val="true"/>
        </w:trPr>
        <w:tc>
          <w:tcPr>
            <w:tcW w:type="dxa" w:w="2268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Mechanism</w:t>
            </w:r>
          </w:p>
        </w:tc>
        <w:tc>
          <w:tcPr>
            <w:tcW w:type="dxa" w:w="3969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Condition</w:t>
            </w:r>
          </w:p>
        </w:tc>
        <w:tc>
          <w:tcPr>
            <w:tcW w:type="dxa" w:w="3969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Rule</w:t>
            </w:r>
          </w:p>
        </w:tc>
      </w:tr>
      <w:tr>
        <w:trPr>
          <w:cantSplit/>
        </w:trPr>
        <w:tc>
          <w:tcPr>
            <w:tcW w:type="dxa" w:w="2268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sz w:val="15"/>
              </w:rPr>
              <w:t>Retryable</w:t>
            </w:r>
          </w:p>
        </w:tc>
        <w:tc>
          <w:tcPr>
            <w:tcW w:type="dxa" w:w="3969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sz w:val="15"/>
              </w:rPr>
              <w:t>network, 408, 429, 5xx, provider temporary.</w:t>
            </w:r>
          </w:p>
        </w:tc>
        <w:tc>
          <w:tcPr>
            <w:tcW w:type="dxa" w:w="3969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sz w:val="15"/>
              </w:rPr>
              <w:t>Exponential backoff + jitter; honor Retry-After.</w:t>
            </w:r>
          </w:p>
        </w:tc>
      </w:tr>
      <w:tr>
        <w:trPr>
          <w:cantSplit/>
        </w:trPr>
        <w:tc>
          <w:tcPr>
            <w:tcW w:type="dxa" w:w="2268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7F9FC"/>
          </w:tcPr>
          <w:p>
            <w:pPr>
              <w:spacing w:after="20"/>
            </w:pPr>
            <w:r>
              <w:rPr>
                <w:sz w:val="15"/>
              </w:rPr>
              <w:t>Non-retryable</w:t>
            </w:r>
          </w:p>
        </w:tc>
        <w:tc>
          <w:tcPr>
            <w:tcW w:type="dxa" w:w="3969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7F9FC"/>
          </w:tcPr>
          <w:p>
            <w:pPr>
              <w:spacing w:after="20"/>
            </w:pPr>
            <w:r>
              <w:rPr>
                <w:sz w:val="15"/>
              </w:rPr>
              <w:t>4xx validation/auth (except expired-token refresh path).</w:t>
            </w:r>
          </w:p>
        </w:tc>
        <w:tc>
          <w:tcPr>
            <w:tcW w:type="dxa" w:w="3969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7F9FC"/>
          </w:tcPr>
          <w:p>
            <w:pPr>
              <w:spacing w:after="20"/>
            </w:pPr>
            <w:r>
              <w:rPr>
                <w:sz w:val="15"/>
              </w:rPr>
              <w:t>Action required.</w:t>
            </w:r>
          </w:p>
        </w:tc>
      </w:tr>
      <w:tr>
        <w:trPr>
          <w:cantSplit/>
        </w:trPr>
        <w:tc>
          <w:tcPr>
            <w:tcW w:type="dxa" w:w="2268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sz w:val="15"/>
              </w:rPr>
              <w:t>Circuit breaker</w:t>
            </w:r>
          </w:p>
        </w:tc>
        <w:tc>
          <w:tcPr>
            <w:tcW w:type="dxa" w:w="3969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sz w:val="15"/>
              </w:rPr>
              <w:t>High failure rate per profile.</w:t>
            </w:r>
          </w:p>
        </w:tc>
        <w:tc>
          <w:tcPr>
            <w:tcW w:type="dxa" w:w="3969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sz w:val="15"/>
              </w:rPr>
              <w:t>OPEN -&gt; pause new attempts; HALF_OPEN health probes.</w:t>
            </w:r>
          </w:p>
        </w:tc>
      </w:tr>
      <w:tr>
        <w:trPr>
          <w:cantSplit/>
        </w:trPr>
        <w:tc>
          <w:tcPr>
            <w:tcW w:type="dxa" w:w="2268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7F9FC"/>
          </w:tcPr>
          <w:p>
            <w:pPr>
              <w:spacing w:after="20"/>
            </w:pPr>
            <w:r>
              <w:rPr>
                <w:sz w:val="15"/>
              </w:rPr>
              <w:t>Concurrency</w:t>
            </w:r>
          </w:p>
        </w:tc>
        <w:tc>
          <w:tcPr>
            <w:tcW w:type="dxa" w:w="3969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7F9FC"/>
          </w:tcPr>
          <w:p>
            <w:pPr>
              <w:spacing w:after="20"/>
            </w:pPr>
            <w:r>
              <w:rPr>
                <w:sz w:val="15"/>
              </w:rPr>
              <w:t>Per provider/profile semaphore.</w:t>
            </w:r>
          </w:p>
        </w:tc>
        <w:tc>
          <w:tcPr>
            <w:tcW w:type="dxa" w:w="3969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7F9FC"/>
          </w:tcPr>
          <w:p>
            <w:pPr>
              <w:spacing w:after="20"/>
            </w:pPr>
            <w:r>
              <w:rPr>
                <w:sz w:val="15"/>
              </w:rPr>
              <w:t>Avoid self-inflicted rate-limit.</w:t>
            </w:r>
          </w:p>
        </w:tc>
      </w:tr>
      <w:tr>
        <w:trPr>
          <w:cantSplit/>
        </w:trPr>
        <w:tc>
          <w:tcPr>
            <w:tcW w:type="dxa" w:w="2268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sz w:val="15"/>
              </w:rPr>
              <w:t>Priority</w:t>
            </w:r>
          </w:p>
        </w:tc>
        <w:tc>
          <w:tcPr>
            <w:tcW w:type="dxa" w:w="3969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sz w:val="15"/>
              </w:rPr>
              <w:t>Legal/time-sensitive docs &gt; background backfill.</w:t>
            </w:r>
          </w:p>
        </w:tc>
        <w:tc>
          <w:tcPr>
            <w:tcW w:type="dxa" w:w="3969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sz w:val="15"/>
              </w:rPr>
              <w:t>Queue priority.</w:t>
            </w:r>
          </w:p>
        </w:tc>
      </w:tr>
      <w:tr>
        <w:trPr>
          <w:cantSplit/>
        </w:trPr>
        <w:tc>
          <w:tcPr>
            <w:tcW w:type="dxa" w:w="2268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7F9FC"/>
          </w:tcPr>
          <w:p>
            <w:pPr>
              <w:spacing w:after="20"/>
            </w:pPr>
            <w:r>
              <w:rPr>
                <w:sz w:val="15"/>
              </w:rPr>
              <w:t>Bulk</w:t>
            </w:r>
          </w:p>
        </w:tc>
        <w:tc>
          <w:tcPr>
            <w:tcW w:type="dxa" w:w="3969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7F9FC"/>
          </w:tcPr>
          <w:p>
            <w:pPr>
              <w:spacing w:after="20"/>
            </w:pPr>
            <w:r>
              <w:rPr>
                <w:sz w:val="15"/>
              </w:rPr>
              <w:t>Chunk size provider-specific.</w:t>
            </w:r>
          </w:p>
        </w:tc>
        <w:tc>
          <w:tcPr>
            <w:tcW w:type="dxa" w:w="3969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7F9FC"/>
          </w:tcPr>
          <w:p>
            <w:pPr>
              <w:spacing w:after="20"/>
            </w:pPr>
            <w:r>
              <w:rPr>
                <w:sz w:val="15"/>
              </w:rPr>
              <w:t>Checkpoint after each batch.</w:t>
            </w:r>
          </w:p>
        </w:tc>
      </w:tr>
    </w:tbl>
    <w:p>
      <w:pPr>
        <w:pStyle w:val="SmallNote"/>
      </w:pPr>
    </w:p>
    <w:p>
      <w:pPr>
        <w:pStyle w:val="Heading1"/>
      </w:pPr>
      <w:r>
        <w:t>24. Reconciliation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94"/>
        <w:gridCol w:w="3494"/>
        <w:gridCol w:w="3494"/>
      </w:tblGrid>
      <w:tr>
        <w:trPr>
          <w:tblHeader w:val="true"/>
        </w:trPr>
        <w:tc>
          <w:tcPr>
            <w:tcW w:type="dxa" w:w="2381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Type</w:t>
            </w:r>
          </w:p>
        </w:tc>
        <w:tc>
          <w:tcPr>
            <w:tcW w:type="dxa" w:w="3969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Check</w:t>
            </w:r>
          </w:p>
        </w:tc>
        <w:tc>
          <w:tcPr>
            <w:tcW w:type="dxa" w:w="3855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Action</w:t>
            </w:r>
          </w:p>
        </w:tc>
      </w:tr>
      <w:tr>
        <w:trPr>
          <w:cantSplit/>
        </w:trPr>
        <w:tc>
          <w:tcPr>
            <w:tcW w:type="dxa" w:w="2381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sz w:val="15"/>
              </w:rPr>
              <w:t>ID reconciliation</w:t>
            </w:r>
          </w:p>
        </w:tc>
        <w:tc>
          <w:tcPr>
            <w:tcW w:type="dxa" w:w="3969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sz w:val="15"/>
              </w:rPr>
              <w:t>All accepted records have external ID and link.</w:t>
            </w:r>
          </w:p>
        </w:tc>
        <w:tc>
          <w:tcPr>
            <w:tcW w:type="dxa" w:w="3855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sz w:val="15"/>
              </w:rPr>
              <w:t>Find missing links/duplicates.</w:t>
            </w:r>
          </w:p>
        </w:tc>
      </w:tr>
      <w:tr>
        <w:trPr>
          <w:cantSplit/>
        </w:trPr>
        <w:tc>
          <w:tcPr>
            <w:tcW w:type="dxa" w:w="2381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7F9FC"/>
          </w:tcPr>
          <w:p>
            <w:pPr>
              <w:spacing w:after="20"/>
            </w:pPr>
            <w:r>
              <w:rPr>
                <w:sz w:val="15"/>
              </w:rPr>
              <w:t>Status reconciliation</w:t>
            </w:r>
          </w:p>
        </w:tc>
        <w:tc>
          <w:tcPr>
            <w:tcW w:type="dxa" w:w="3969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7F9FC"/>
          </w:tcPr>
          <w:p>
            <w:pPr>
              <w:spacing w:after="20"/>
            </w:pPr>
            <w:r>
              <w:rPr>
                <w:sz w:val="15"/>
              </w:rPr>
              <w:t>External terminal status vs our ExternalDocument.</w:t>
            </w:r>
          </w:p>
        </w:tc>
        <w:tc>
          <w:tcPr>
            <w:tcW w:type="dxa" w:w="3855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7F9FC"/>
          </w:tcPr>
          <w:p>
            <w:pPr>
              <w:spacing w:after="20"/>
            </w:pPr>
            <w:r>
              <w:rPr>
                <w:sz w:val="15"/>
              </w:rPr>
              <w:t>Correct local external-status projection, not domain fact.</w:t>
            </w:r>
          </w:p>
        </w:tc>
      </w:tr>
      <w:tr>
        <w:trPr>
          <w:cantSplit/>
        </w:trPr>
        <w:tc>
          <w:tcPr>
            <w:tcW w:type="dxa" w:w="2381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sz w:val="15"/>
              </w:rPr>
              <w:t>Quantity reconciliation</w:t>
            </w:r>
          </w:p>
        </w:tc>
        <w:tc>
          <w:tcPr>
            <w:tcW w:type="dxa" w:w="3969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sz w:val="15"/>
              </w:rPr>
              <w:t>Totals/quantities/weights per period.</w:t>
            </w:r>
          </w:p>
        </w:tc>
        <w:tc>
          <w:tcPr>
            <w:tcW w:type="dxa" w:w="3855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sz w:val="15"/>
              </w:rPr>
              <w:t>Mismatch issue with source refs.</w:t>
            </w:r>
          </w:p>
        </w:tc>
      </w:tr>
      <w:tr>
        <w:trPr>
          <w:cantSplit/>
        </w:trPr>
        <w:tc>
          <w:tcPr>
            <w:tcW w:type="dxa" w:w="2381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7F9FC"/>
          </w:tcPr>
          <w:p>
            <w:pPr>
              <w:spacing w:after="20"/>
            </w:pPr>
            <w:r>
              <w:rPr>
                <w:sz w:val="15"/>
              </w:rPr>
              <w:t>Master data reconciliation</w:t>
            </w:r>
          </w:p>
        </w:tc>
        <w:tc>
          <w:tcPr>
            <w:tcW w:type="dxa" w:w="3969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7F9FC"/>
          </w:tcPr>
          <w:p>
            <w:pPr>
              <w:spacing w:after="20"/>
            </w:pPr>
            <w:r>
              <w:rPr>
                <w:sz w:val="15"/>
              </w:rPr>
              <w:t>External GUID/code changed/deactivated.</w:t>
            </w:r>
          </w:p>
        </w:tc>
        <w:tc>
          <w:tcPr>
            <w:tcW w:type="dxa" w:w="3855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7F9FC"/>
          </w:tcPr>
          <w:p>
            <w:pPr>
              <w:spacing w:after="20"/>
            </w:pPr>
            <w:r>
              <w:rPr>
                <w:sz w:val="15"/>
              </w:rPr>
              <w:t>Mapping review.</w:t>
            </w:r>
          </w:p>
        </w:tc>
      </w:tr>
      <w:tr>
        <w:trPr>
          <w:cantSplit/>
        </w:trPr>
        <w:tc>
          <w:tcPr>
            <w:tcW w:type="dxa" w:w="2381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sz w:val="15"/>
              </w:rPr>
              <w:t>Time window</w:t>
            </w:r>
          </w:p>
        </w:tc>
        <w:tc>
          <w:tcPr>
            <w:tcW w:type="dxa" w:w="3969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sz w:val="15"/>
              </w:rPr>
              <w:t>Nightly/weekly/manual depending connector.</w:t>
            </w:r>
          </w:p>
        </w:tc>
        <w:tc>
          <w:tcPr>
            <w:tcW w:type="dxa" w:w="3855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sz w:val="15"/>
              </w:rPr>
              <w:t>Store ReconciliationRun and counts.</w:t>
            </w:r>
          </w:p>
        </w:tc>
      </w:tr>
      <w:tr>
        <w:trPr>
          <w:cantSplit/>
        </w:trPr>
        <w:tc>
          <w:tcPr>
            <w:tcW w:type="dxa" w:w="2381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7F9FC"/>
          </w:tcPr>
          <w:p>
            <w:pPr>
              <w:spacing w:after="20"/>
            </w:pPr>
            <w:r>
              <w:rPr>
                <w:sz w:val="15"/>
              </w:rPr>
              <w:t>Repair</w:t>
            </w:r>
          </w:p>
        </w:tc>
        <w:tc>
          <w:tcPr>
            <w:tcW w:type="dxa" w:w="3969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7F9FC"/>
          </w:tcPr>
          <w:p>
            <w:pPr>
              <w:spacing w:after="20"/>
            </w:pPr>
            <w:r>
              <w:rPr>
                <w:sz w:val="15"/>
              </w:rPr>
              <w:t>Create explicit repair job/correction.</w:t>
            </w:r>
          </w:p>
        </w:tc>
        <w:tc>
          <w:tcPr>
            <w:tcW w:type="dxa" w:w="3855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7F9FC"/>
          </w:tcPr>
          <w:p>
            <w:pPr>
              <w:spacing w:after="20"/>
            </w:pPr>
            <w:r>
              <w:rPr>
                <w:sz w:val="15"/>
              </w:rPr>
              <w:t>Never silently edit closed facts.</w:t>
            </w:r>
          </w:p>
        </w:tc>
      </w:tr>
    </w:tbl>
    <w:p>
      <w:pPr>
        <w:pStyle w:val="SmallNote"/>
      </w:pPr>
    </w:p>
    <w:p>
      <w:pPr>
        <w:pStyle w:val="Heading1"/>
      </w:pPr>
      <w:r>
        <w:t>25. Интеграции в LOCAL_PRIMARY и offline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94"/>
        <w:gridCol w:w="3494"/>
        <w:gridCol w:w="3494"/>
      </w:tblGrid>
      <w:tr>
        <w:trPr>
          <w:tblHeader w:val="true"/>
        </w:trPr>
        <w:tc>
          <w:tcPr>
            <w:tcW w:type="dxa" w:w="2268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Integration</w:t>
            </w:r>
          </w:p>
        </w:tc>
        <w:tc>
          <w:tcPr>
            <w:tcW w:type="dxa" w:w="3685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No external Internet</w:t>
            </w:r>
          </w:p>
        </w:tc>
        <w:tc>
          <w:tcPr>
            <w:tcW w:type="dxa" w:w="4252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Rule</w:t>
            </w:r>
          </w:p>
        </w:tc>
      </w:tr>
      <w:tr>
        <w:trPr>
          <w:cantSplit/>
        </w:trPr>
        <w:tc>
          <w:tcPr>
            <w:tcW w:type="dxa" w:w="2268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sz w:val="16"/>
              </w:rPr>
              <w:t>1C in LAN</w:t>
            </w:r>
          </w:p>
        </w:tc>
        <w:tc>
          <w:tcPr>
            <w:tcW w:type="dxa" w:w="3685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sz w:val="16"/>
              </w:rPr>
              <w:t>May continue while Internet down.</w:t>
            </w:r>
          </w:p>
        </w:tc>
        <w:tc>
          <w:tcPr>
            <w:tcW w:type="dxa" w:w="4252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sz w:val="16"/>
              </w:rPr>
              <w:t>Local connector talks to LAN 1C.</w:t>
            </w:r>
          </w:p>
        </w:tc>
      </w:tr>
      <w:tr>
        <w:trPr>
          <w:cantSplit/>
        </w:trPr>
        <w:tc>
          <w:tcPr>
            <w:tcW w:type="dxa" w:w="2268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7F9FC"/>
          </w:tcPr>
          <w:p>
            <w:pPr>
              <w:spacing w:after="20"/>
            </w:pPr>
            <w:r>
              <w:rPr>
                <w:sz w:val="16"/>
              </w:rPr>
              <w:t>Scales/PLC/Lab LAN</w:t>
            </w:r>
          </w:p>
        </w:tc>
        <w:tc>
          <w:tcPr>
            <w:tcW w:type="dxa" w:w="3685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7F9FC"/>
          </w:tcPr>
          <w:p>
            <w:pPr>
              <w:spacing w:after="20"/>
            </w:pPr>
            <w:r>
              <w:rPr>
                <w:sz w:val="16"/>
              </w:rPr>
              <w:t>Continue locally.</w:t>
            </w:r>
          </w:p>
        </w:tc>
        <w:tc>
          <w:tcPr>
            <w:tcW w:type="dxa" w:w="4252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7F9FC"/>
          </w:tcPr>
          <w:p>
            <w:pPr>
              <w:spacing w:after="20"/>
            </w:pPr>
            <w:r>
              <w:rPr>
                <w:sz w:val="16"/>
              </w:rPr>
              <w:t>Edge/local adapters.</w:t>
            </w:r>
          </w:p>
        </w:tc>
      </w:tr>
      <w:tr>
        <w:trPr>
          <w:cantSplit/>
        </w:trPr>
        <w:tc>
          <w:tcPr>
            <w:tcW w:type="dxa" w:w="2268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sz w:val="16"/>
              </w:rPr>
              <w:t>Satellite/weather</w:t>
            </w:r>
          </w:p>
        </w:tc>
        <w:tc>
          <w:tcPr>
            <w:tcW w:type="dxa" w:w="3685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sz w:val="16"/>
              </w:rPr>
              <w:t>Use cached last data; new fetch waits Internet.</w:t>
            </w:r>
          </w:p>
        </w:tc>
        <w:tc>
          <w:tcPr>
            <w:tcW w:type="dxa" w:w="4252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sz w:val="16"/>
              </w:rPr>
              <w:t>Show captured_at/run time.</w:t>
            </w:r>
          </w:p>
        </w:tc>
      </w:tr>
      <w:tr>
        <w:trPr>
          <w:cantSplit/>
        </w:trPr>
        <w:tc>
          <w:tcPr>
            <w:tcW w:type="dxa" w:w="2268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7F9FC"/>
          </w:tcPr>
          <w:p>
            <w:pPr>
              <w:spacing w:after="20"/>
            </w:pPr>
            <w:r>
              <w:rPr>
                <w:sz w:val="16"/>
              </w:rPr>
              <w:t>FGIS/Cloud APIs</w:t>
            </w:r>
          </w:p>
        </w:tc>
        <w:tc>
          <w:tcPr>
            <w:tcW w:type="dxa" w:w="3685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7F9FC"/>
          </w:tcPr>
          <w:p>
            <w:pPr>
              <w:spacing w:after="20"/>
            </w:pPr>
            <w:r>
              <w:rPr>
                <w:sz w:val="16"/>
              </w:rPr>
              <w:t>Queue jobs.</w:t>
            </w:r>
          </w:p>
        </w:tc>
        <w:tc>
          <w:tcPr>
            <w:tcW w:type="dxa" w:w="4252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7F9FC"/>
          </w:tcPr>
          <w:p>
            <w:pPr>
              <w:spacing w:after="20"/>
            </w:pPr>
            <w:r>
              <w:rPr>
                <w:sz w:val="16"/>
              </w:rPr>
              <w:t>Domain operations continue per policy.</w:t>
            </w:r>
          </w:p>
        </w:tc>
      </w:tr>
      <w:tr>
        <w:trPr>
          <w:cantSplit/>
        </w:trPr>
        <w:tc>
          <w:tcPr>
            <w:tcW w:type="dxa" w:w="2268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sz w:val="16"/>
              </w:rPr>
              <w:t>GPS cloud provider</w:t>
            </w:r>
          </w:p>
        </w:tc>
        <w:tc>
          <w:tcPr>
            <w:tcW w:type="dxa" w:w="3685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sz w:val="16"/>
              </w:rPr>
              <w:t>Queue remote pull; local GPS device adapter may continue if available.</w:t>
            </w:r>
          </w:p>
        </w:tc>
        <w:tc>
          <w:tcPr>
            <w:tcW w:type="dxa" w:w="4252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sz w:val="16"/>
              </w:rPr>
              <w:t>Source status visible.</w:t>
            </w:r>
          </w:p>
        </w:tc>
      </w:tr>
      <w:tr>
        <w:trPr>
          <w:cantSplit/>
        </w:trPr>
        <w:tc>
          <w:tcPr>
            <w:tcW w:type="dxa" w:w="2268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7F9FC"/>
          </w:tcPr>
          <w:p>
            <w:pPr>
              <w:spacing w:after="20"/>
            </w:pPr>
            <w:r>
              <w:rPr>
                <w:sz w:val="16"/>
              </w:rPr>
              <w:t>Cloud replication</w:t>
            </w:r>
          </w:p>
        </w:tc>
        <w:tc>
          <w:tcPr>
            <w:tcW w:type="dxa" w:w="3685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7F9FC"/>
          </w:tcPr>
          <w:p>
            <w:pPr>
              <w:spacing w:after="20"/>
            </w:pPr>
            <w:r>
              <w:rPr>
                <w:sz w:val="16"/>
              </w:rPr>
              <w:t>Local -&gt; Cloud outbox catches up later.</w:t>
            </w:r>
          </w:p>
        </w:tc>
        <w:tc>
          <w:tcPr>
            <w:tcW w:type="dxa" w:w="4252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7F9FC"/>
          </w:tcPr>
          <w:p>
            <w:pPr>
              <w:spacing w:after="20"/>
            </w:pPr>
            <w:r>
              <w:rPr>
                <w:sz w:val="16"/>
              </w:rPr>
              <w:t>Not a prerequisite for operations.</w:t>
            </w:r>
          </w:p>
        </w:tc>
      </w:tr>
    </w:tbl>
    <w:p>
      <w:pPr>
        <w:pStyle w:val="SmallNote"/>
      </w:pPr>
    </w:p>
    <w:p>
      <w:pPr>
        <w:pStyle w:val="Heading1"/>
      </w:pPr>
      <w:r>
        <w:t>26. Observability и SLO интеграций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41"/>
        <w:gridCol w:w="5241"/>
      </w:tblGrid>
      <w:tr>
        <w:trPr>
          <w:tblHeader w:val="true"/>
        </w:trPr>
        <w:tc>
          <w:tcPr>
            <w:tcW w:type="dxa" w:w="3402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Metric</w:t>
            </w:r>
          </w:p>
        </w:tc>
        <w:tc>
          <w:tcPr>
            <w:tcW w:type="dxa" w:w="6803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Meaning</w:t>
            </w:r>
          </w:p>
        </w:tc>
      </w:tr>
      <w:tr>
        <w:trPr>
          <w:cantSplit/>
        </w:trPr>
        <w:tc>
          <w:tcPr>
            <w:tcW w:type="dxa" w:w="3402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sz w:val="16"/>
              </w:rPr>
              <w:t>integration_job_total</w:t>
            </w:r>
          </w:p>
        </w:tc>
        <w:tc>
          <w:tcPr>
            <w:tcW w:type="dxa" w:w="6803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sz w:val="16"/>
              </w:rPr>
              <w:t>Jobs by system/status/type.</w:t>
            </w:r>
          </w:p>
        </w:tc>
      </w:tr>
      <w:tr>
        <w:trPr>
          <w:cantSplit/>
        </w:trPr>
        <w:tc>
          <w:tcPr>
            <w:tcW w:type="dxa" w:w="3402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7F9FC"/>
          </w:tcPr>
          <w:p>
            <w:pPr>
              <w:spacing w:after="20"/>
            </w:pPr>
            <w:r>
              <w:rPr>
                <w:sz w:val="16"/>
              </w:rPr>
              <w:t>integration_latency_seconds</w:t>
            </w:r>
          </w:p>
        </w:tc>
        <w:tc>
          <w:tcPr>
            <w:tcW w:type="dxa" w:w="6803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7F9FC"/>
          </w:tcPr>
          <w:p>
            <w:pPr>
              <w:spacing w:after="20"/>
            </w:pPr>
            <w:r>
              <w:rPr>
                <w:sz w:val="16"/>
              </w:rPr>
              <w:t>submit -&gt; terminal result.</w:t>
            </w:r>
          </w:p>
        </w:tc>
      </w:tr>
      <w:tr>
        <w:trPr>
          <w:cantSplit/>
        </w:trPr>
        <w:tc>
          <w:tcPr>
            <w:tcW w:type="dxa" w:w="3402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sz w:val="16"/>
              </w:rPr>
              <w:t>integration_retry_total</w:t>
            </w:r>
          </w:p>
        </w:tc>
        <w:tc>
          <w:tcPr>
            <w:tcW w:type="dxa" w:w="6803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sz w:val="16"/>
              </w:rPr>
              <w:t>Retry count.</w:t>
            </w:r>
          </w:p>
        </w:tc>
      </w:tr>
      <w:tr>
        <w:trPr>
          <w:cantSplit/>
        </w:trPr>
        <w:tc>
          <w:tcPr>
            <w:tcW w:type="dxa" w:w="3402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7F9FC"/>
          </w:tcPr>
          <w:p>
            <w:pPr>
              <w:spacing w:after="20"/>
            </w:pPr>
            <w:r>
              <w:rPr>
                <w:sz w:val="16"/>
              </w:rPr>
              <w:t>integration_dead_letter_total</w:t>
            </w:r>
          </w:p>
        </w:tc>
        <w:tc>
          <w:tcPr>
            <w:tcW w:type="dxa" w:w="6803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7F9FC"/>
          </w:tcPr>
          <w:p>
            <w:pPr>
              <w:spacing w:after="20"/>
            </w:pPr>
            <w:r>
              <w:rPr>
                <w:sz w:val="16"/>
              </w:rPr>
              <w:t>Dead letters; alert &gt;0 for critical system.</w:t>
            </w:r>
          </w:p>
        </w:tc>
      </w:tr>
      <w:tr>
        <w:trPr>
          <w:cantSplit/>
        </w:trPr>
        <w:tc>
          <w:tcPr>
            <w:tcW w:type="dxa" w:w="3402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sz w:val="16"/>
              </w:rPr>
              <w:t>integration_reconciliation_mismatch</w:t>
            </w:r>
          </w:p>
        </w:tc>
        <w:tc>
          <w:tcPr>
            <w:tcW w:type="dxa" w:w="6803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sz w:val="16"/>
              </w:rPr>
              <w:t>Mismatch count.</w:t>
            </w:r>
          </w:p>
        </w:tc>
      </w:tr>
      <w:tr>
        <w:trPr>
          <w:cantSplit/>
        </w:trPr>
        <w:tc>
          <w:tcPr>
            <w:tcW w:type="dxa" w:w="3402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7F9FC"/>
          </w:tcPr>
          <w:p>
            <w:pPr>
              <w:spacing w:after="20"/>
            </w:pPr>
            <w:r>
              <w:rPr>
                <w:sz w:val="16"/>
              </w:rPr>
              <w:t>webhook_lag_seconds</w:t>
            </w:r>
          </w:p>
        </w:tc>
        <w:tc>
          <w:tcPr>
            <w:tcW w:type="dxa" w:w="6803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7F9FC"/>
          </w:tcPr>
          <w:p>
            <w:pPr>
              <w:spacing w:after="20"/>
            </w:pPr>
            <w:r>
              <w:rPr>
                <w:sz w:val="16"/>
              </w:rPr>
              <w:t>event observed -&gt; handled.</w:t>
            </w:r>
          </w:p>
        </w:tc>
      </w:tr>
      <w:tr>
        <w:trPr>
          <w:cantSplit/>
        </w:trPr>
        <w:tc>
          <w:tcPr>
            <w:tcW w:type="dxa" w:w="3402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sz w:val="16"/>
              </w:rPr>
              <w:t>telemetry_ingest_lag</w:t>
            </w:r>
          </w:p>
        </w:tc>
        <w:tc>
          <w:tcPr>
            <w:tcW w:type="dxa" w:w="6803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sz w:val="16"/>
              </w:rPr>
              <w:t>device/provider observed_at -&gt; received_at.</w:t>
            </w:r>
          </w:p>
        </w:tc>
      </w:tr>
      <w:tr>
        <w:trPr>
          <w:cantSplit/>
        </w:trPr>
        <w:tc>
          <w:tcPr>
            <w:tcW w:type="dxa" w:w="3402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7F9FC"/>
          </w:tcPr>
          <w:p>
            <w:pPr>
              <w:spacing w:after="20"/>
            </w:pPr>
            <w:r>
              <w:rPr>
                <w:sz w:val="16"/>
              </w:rPr>
              <w:t>satellite_scene_age_days</w:t>
            </w:r>
          </w:p>
        </w:tc>
        <w:tc>
          <w:tcPr>
            <w:tcW w:type="dxa" w:w="6803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7F9FC"/>
          </w:tcPr>
          <w:p>
            <w:pPr>
              <w:spacing w:after="20"/>
            </w:pPr>
            <w:r>
              <w:rPr>
                <w:sz w:val="16"/>
              </w:rPr>
              <w:t>Latest valid scene per field.</w:t>
            </w:r>
          </w:p>
        </w:tc>
      </w:tr>
    </w:tbl>
    <w:p>
      <w:pPr>
        <w:pStyle w:val="SmallNote"/>
      </w:pPr>
    </w:p>
    <w:p>
      <w:pPr>
        <w:pStyle w:val="Heading1"/>
      </w:pPr>
      <w:r>
        <w:t>27. Contract and integration tests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94"/>
        <w:gridCol w:w="3494"/>
        <w:gridCol w:w="3494"/>
      </w:tblGrid>
      <w:tr>
        <w:trPr>
          <w:tblHeader w:val="true"/>
        </w:trPr>
        <w:tc>
          <w:tcPr>
            <w:tcW w:type="dxa" w:w="1417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Test</w:t>
            </w:r>
          </w:p>
        </w:tc>
        <w:tc>
          <w:tcPr>
            <w:tcW w:type="dxa" w:w="2551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Area</w:t>
            </w:r>
          </w:p>
        </w:tc>
        <w:tc>
          <w:tcPr>
            <w:tcW w:type="dxa" w:w="6236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Expected</w:t>
            </w:r>
          </w:p>
        </w:tc>
      </w:tr>
      <w:tr>
        <w:trPr>
          <w:cantSplit/>
        </w:trPr>
        <w:tc>
          <w:tcPr>
            <w:tcW w:type="dxa" w:w="1417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sz w:val="15"/>
              </w:rPr>
              <w:t>INT-T001</w:t>
            </w:r>
          </w:p>
        </w:tc>
        <w:tc>
          <w:tcPr>
            <w:tcW w:type="dxa" w:w="2551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sz w:val="15"/>
              </w:rPr>
              <w:t>1C idempotency</w:t>
            </w:r>
          </w:p>
        </w:tc>
        <w:tc>
          <w:tcPr>
            <w:tcW w:type="dxa" w:w="6236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sz w:val="15"/>
              </w:rPr>
              <w:t>Retry same consumption export -&gt; one 1C document/external GUID.</w:t>
            </w:r>
          </w:p>
        </w:tc>
      </w:tr>
      <w:tr>
        <w:trPr>
          <w:cantSplit/>
        </w:trPr>
        <w:tc>
          <w:tcPr>
            <w:tcW w:type="dxa" w:w="1417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7F9FC"/>
          </w:tcPr>
          <w:p>
            <w:pPr>
              <w:spacing w:after="20"/>
            </w:pPr>
            <w:r>
              <w:rPr>
                <w:sz w:val="15"/>
              </w:rPr>
              <w:t>INT-T002</w:t>
            </w:r>
          </w:p>
        </w:tc>
        <w:tc>
          <w:tcPr>
            <w:tcW w:type="dxa" w:w="2551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7F9FC"/>
          </w:tcPr>
          <w:p>
            <w:pPr>
              <w:spacing w:after="20"/>
            </w:pPr>
            <w:r>
              <w:rPr>
                <w:sz w:val="15"/>
              </w:rPr>
              <w:t>1C reconciliation</w:t>
            </w:r>
          </w:p>
        </w:tc>
        <w:tc>
          <w:tcPr>
            <w:tcW w:type="dxa" w:w="6236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7F9FC"/>
          </w:tcPr>
          <w:p>
            <w:pPr>
              <w:spacing w:after="20"/>
            </w:pPr>
            <w:r>
              <w:rPr>
                <w:sz w:val="15"/>
              </w:rPr>
              <w:t>Change external catalog GUID mapping -&gt; mismatch found, no duplicate material.</w:t>
            </w:r>
          </w:p>
        </w:tc>
      </w:tr>
      <w:tr>
        <w:trPr>
          <w:cantSplit/>
        </w:trPr>
        <w:tc>
          <w:tcPr>
            <w:tcW w:type="dxa" w:w="1417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sz w:val="15"/>
              </w:rPr>
              <w:t>INT-T003</w:t>
            </w:r>
          </w:p>
        </w:tc>
        <w:tc>
          <w:tcPr>
            <w:tcW w:type="dxa" w:w="2551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sz w:val="15"/>
              </w:rPr>
              <w:t>FGIS Grain version</w:t>
            </w:r>
          </w:p>
        </w:tc>
        <w:tc>
          <w:tcPr>
            <w:tcW w:type="dxa" w:w="6236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sz w:val="15"/>
              </w:rPr>
              <w:t>Same canonical SDIZ fixture maps validly to each supported configured API adapter.</w:t>
            </w:r>
          </w:p>
        </w:tc>
      </w:tr>
      <w:tr>
        <w:trPr>
          <w:cantSplit/>
        </w:trPr>
        <w:tc>
          <w:tcPr>
            <w:tcW w:type="dxa" w:w="1417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7F9FC"/>
          </w:tcPr>
          <w:p>
            <w:pPr>
              <w:spacing w:after="20"/>
            </w:pPr>
            <w:r>
              <w:rPr>
                <w:sz w:val="15"/>
              </w:rPr>
              <w:t>INT-T004</w:t>
            </w:r>
          </w:p>
        </w:tc>
        <w:tc>
          <w:tcPr>
            <w:tcW w:type="dxa" w:w="2551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7F9FC"/>
          </w:tcPr>
          <w:p>
            <w:pPr>
              <w:spacing w:after="20"/>
            </w:pPr>
            <w:r>
              <w:rPr>
                <w:sz w:val="15"/>
              </w:rPr>
              <w:t>FGIS timeout</w:t>
            </w:r>
          </w:p>
        </w:tc>
        <w:tc>
          <w:tcPr>
            <w:tcW w:type="dxa" w:w="6236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7F9FC"/>
          </w:tcPr>
          <w:p>
            <w:pPr>
              <w:spacing w:after="20"/>
            </w:pPr>
            <w:r>
              <w:rPr>
                <w:sz w:val="15"/>
              </w:rPr>
              <w:t>Domain batch remains closed; job RETRYING.</w:t>
            </w:r>
          </w:p>
        </w:tc>
      </w:tr>
      <w:tr>
        <w:trPr>
          <w:cantSplit/>
        </w:trPr>
        <w:tc>
          <w:tcPr>
            <w:tcW w:type="dxa" w:w="1417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sz w:val="15"/>
              </w:rPr>
              <w:t>INT-T005</w:t>
            </w:r>
          </w:p>
        </w:tc>
        <w:tc>
          <w:tcPr>
            <w:tcW w:type="dxa" w:w="2551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sz w:val="15"/>
              </w:rPr>
              <w:t>EFGIS FLC</w:t>
            </w:r>
          </w:p>
        </w:tc>
        <w:tc>
          <w:tcPr>
            <w:tcW w:type="dxa" w:w="6236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sz w:val="15"/>
              </w:rPr>
              <w:t>Invalid geometry error mapped to Field.geometry actionable issue.</w:t>
            </w:r>
          </w:p>
        </w:tc>
      </w:tr>
      <w:tr>
        <w:trPr>
          <w:cantSplit/>
        </w:trPr>
        <w:tc>
          <w:tcPr>
            <w:tcW w:type="dxa" w:w="1417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7F9FC"/>
          </w:tcPr>
          <w:p>
            <w:pPr>
              <w:spacing w:after="20"/>
            </w:pPr>
            <w:r>
              <w:rPr>
                <w:sz w:val="15"/>
              </w:rPr>
              <w:t>INT-T006</w:t>
            </w:r>
          </w:p>
        </w:tc>
        <w:tc>
          <w:tcPr>
            <w:tcW w:type="dxa" w:w="2551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7F9FC"/>
          </w:tcPr>
          <w:p>
            <w:pPr>
              <w:spacing w:after="20"/>
            </w:pPr>
            <w:r>
              <w:rPr>
                <w:sz w:val="15"/>
              </w:rPr>
              <w:t>Cadastral no geometry</w:t>
            </w:r>
          </w:p>
        </w:tc>
        <w:tc>
          <w:tcPr>
            <w:tcW w:type="dxa" w:w="6236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7F9FC"/>
          </w:tcPr>
          <w:p>
            <w:pPr>
              <w:spacing w:after="20"/>
            </w:pPr>
            <w:r>
              <w:rPr>
                <w:sz w:val="15"/>
              </w:rPr>
              <w:t>Resolver returns metadata only -&gt; LandPlot created with GEOMETRY_PENDING, no fake polygon.</w:t>
            </w:r>
          </w:p>
        </w:tc>
      </w:tr>
      <w:tr>
        <w:trPr>
          <w:cantSplit/>
        </w:trPr>
        <w:tc>
          <w:tcPr>
            <w:tcW w:type="dxa" w:w="1417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sz w:val="15"/>
              </w:rPr>
              <w:t>INT-T007</w:t>
            </w:r>
          </w:p>
        </w:tc>
        <w:tc>
          <w:tcPr>
            <w:tcW w:type="dxa" w:w="2551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sz w:val="15"/>
              </w:rPr>
              <w:t>Satellite cloud</w:t>
            </w:r>
          </w:p>
        </w:tc>
        <w:tc>
          <w:tcPr>
            <w:tcW w:type="dxa" w:w="6236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sz w:val="15"/>
              </w:rPr>
              <w:t>Scene cloud/quality mask leaves nodata; no false field average over invalid pixels.</w:t>
            </w:r>
          </w:p>
        </w:tc>
      </w:tr>
      <w:tr>
        <w:trPr>
          <w:cantSplit/>
        </w:trPr>
        <w:tc>
          <w:tcPr>
            <w:tcW w:type="dxa" w:w="1417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7F9FC"/>
          </w:tcPr>
          <w:p>
            <w:pPr>
              <w:spacing w:after="20"/>
            </w:pPr>
            <w:r>
              <w:rPr>
                <w:sz w:val="15"/>
              </w:rPr>
              <w:t>INT-T008</w:t>
            </w:r>
          </w:p>
        </w:tc>
        <w:tc>
          <w:tcPr>
            <w:tcW w:type="dxa" w:w="2551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7F9FC"/>
          </w:tcPr>
          <w:p>
            <w:pPr>
              <w:spacing w:after="20"/>
            </w:pPr>
            <w:r>
              <w:rPr>
                <w:sz w:val="15"/>
              </w:rPr>
              <w:t>NDVI formula</w:t>
            </w:r>
          </w:p>
        </w:tc>
        <w:tc>
          <w:tcPr>
            <w:tcW w:type="dxa" w:w="6236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7F9FC"/>
          </w:tcPr>
          <w:p>
            <w:pPr>
              <w:spacing w:after="20"/>
            </w:pPr>
            <w:r>
              <w:rPr>
                <w:sz w:val="15"/>
              </w:rPr>
              <w:t>Known red/NIR fixture -&gt; expected NDVI within numeric tolerance.</w:t>
            </w:r>
          </w:p>
        </w:tc>
      </w:tr>
      <w:tr>
        <w:trPr>
          <w:cantSplit/>
        </w:trPr>
        <w:tc>
          <w:tcPr>
            <w:tcW w:type="dxa" w:w="1417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sz w:val="15"/>
              </w:rPr>
              <w:t>INT-T009</w:t>
            </w:r>
          </w:p>
        </w:tc>
        <w:tc>
          <w:tcPr>
            <w:tcW w:type="dxa" w:w="2551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sz w:val="15"/>
              </w:rPr>
              <w:t>Weather provenance</w:t>
            </w:r>
          </w:p>
        </w:tc>
        <w:tc>
          <w:tcPr>
            <w:tcW w:type="dxa" w:w="6236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sz w:val="15"/>
              </w:rPr>
              <w:t>Forecast stores provider/model/run; new run does not overwrite old record invisibly.</w:t>
            </w:r>
          </w:p>
        </w:tc>
      </w:tr>
      <w:tr>
        <w:trPr>
          <w:cantSplit/>
        </w:trPr>
        <w:tc>
          <w:tcPr>
            <w:tcW w:type="dxa" w:w="1417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7F9FC"/>
          </w:tcPr>
          <w:p>
            <w:pPr>
              <w:spacing w:after="20"/>
            </w:pPr>
            <w:r>
              <w:rPr>
                <w:sz w:val="15"/>
              </w:rPr>
              <w:t>INT-T010</w:t>
            </w:r>
          </w:p>
        </w:tc>
        <w:tc>
          <w:tcPr>
            <w:tcW w:type="dxa" w:w="2551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7F9FC"/>
          </w:tcPr>
          <w:p>
            <w:pPr>
              <w:spacing w:after="20"/>
            </w:pPr>
            <w:r>
              <w:rPr>
                <w:sz w:val="15"/>
              </w:rPr>
              <w:t>Telemetry duplicate</w:t>
            </w:r>
          </w:p>
        </w:tc>
        <w:tc>
          <w:tcPr>
            <w:tcW w:type="dxa" w:w="6236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7F9FC"/>
          </w:tcPr>
          <w:p>
            <w:pPr>
              <w:spacing w:after="20"/>
            </w:pPr>
            <w:r>
              <w:rPr>
                <w:sz w:val="15"/>
              </w:rPr>
              <w:t>Duplicate provider message -&gt; one raw/normalized event according to profile.</w:t>
            </w:r>
          </w:p>
        </w:tc>
      </w:tr>
      <w:tr>
        <w:trPr>
          <w:cantSplit/>
        </w:trPr>
        <w:tc>
          <w:tcPr>
            <w:tcW w:type="dxa" w:w="1417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sz w:val="15"/>
              </w:rPr>
              <w:t>INT-T011</w:t>
            </w:r>
          </w:p>
        </w:tc>
        <w:tc>
          <w:tcPr>
            <w:tcW w:type="dxa" w:w="2551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sz w:val="15"/>
              </w:rPr>
              <w:t>Lab CSV replay</w:t>
            </w:r>
          </w:p>
        </w:tc>
        <w:tc>
          <w:tcPr>
            <w:tcW w:type="dxa" w:w="6236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sz w:val="15"/>
              </w:rPr>
              <w:t>Same file checksum reimport -&gt; no duplicate QualityTest.</w:t>
            </w:r>
          </w:p>
        </w:tc>
      </w:tr>
      <w:tr>
        <w:trPr>
          <w:cantSplit/>
        </w:trPr>
        <w:tc>
          <w:tcPr>
            <w:tcW w:type="dxa" w:w="1417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7F9FC"/>
          </w:tcPr>
          <w:p>
            <w:pPr>
              <w:spacing w:after="20"/>
            </w:pPr>
            <w:r>
              <w:rPr>
                <w:sz w:val="15"/>
              </w:rPr>
              <w:t>INT-T012</w:t>
            </w:r>
          </w:p>
        </w:tc>
        <w:tc>
          <w:tcPr>
            <w:tcW w:type="dxa" w:w="2551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7F9FC"/>
          </w:tcPr>
          <w:p>
            <w:pPr>
              <w:spacing w:after="20"/>
            </w:pPr>
            <w:r>
              <w:rPr>
                <w:sz w:val="15"/>
              </w:rPr>
              <w:t>Scale duplicate</w:t>
            </w:r>
          </w:p>
        </w:tc>
        <w:tc>
          <w:tcPr>
            <w:tcW w:type="dxa" w:w="6236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7F9FC"/>
          </w:tcPr>
          <w:p>
            <w:pPr>
              <w:spacing w:after="20"/>
            </w:pPr>
            <w:r>
              <w:rPr>
                <w:sz w:val="15"/>
              </w:rPr>
              <w:t>Same readingId replay -&gt; one RawWeightReading.</w:t>
            </w:r>
          </w:p>
        </w:tc>
      </w:tr>
      <w:tr>
        <w:trPr>
          <w:cantSplit/>
        </w:trPr>
        <w:tc>
          <w:tcPr>
            <w:tcW w:type="dxa" w:w="1417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sz w:val="15"/>
              </w:rPr>
              <w:t>INT-T013</w:t>
            </w:r>
          </w:p>
        </w:tc>
        <w:tc>
          <w:tcPr>
            <w:tcW w:type="dxa" w:w="2551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sz w:val="15"/>
              </w:rPr>
              <w:t>Webhook replay</w:t>
            </w:r>
          </w:p>
        </w:tc>
        <w:tc>
          <w:tcPr>
            <w:tcW w:type="dxa" w:w="6236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sz w:val="15"/>
              </w:rPr>
              <w:t>Same signed webhook twice -&gt; one business event.</w:t>
            </w:r>
          </w:p>
        </w:tc>
      </w:tr>
      <w:tr>
        <w:trPr>
          <w:cantSplit/>
        </w:trPr>
        <w:tc>
          <w:tcPr>
            <w:tcW w:type="dxa" w:w="1417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7F9FC"/>
          </w:tcPr>
          <w:p>
            <w:pPr>
              <w:spacing w:after="20"/>
            </w:pPr>
            <w:r>
              <w:rPr>
                <w:sz w:val="15"/>
              </w:rPr>
              <w:t>INT-T014</w:t>
            </w:r>
          </w:p>
        </w:tc>
        <w:tc>
          <w:tcPr>
            <w:tcW w:type="dxa" w:w="2551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7F9FC"/>
          </w:tcPr>
          <w:p>
            <w:pPr>
              <w:spacing w:after="20"/>
            </w:pPr>
            <w:r>
              <w:rPr>
                <w:sz w:val="15"/>
              </w:rPr>
              <w:t>Schema change</w:t>
            </w:r>
          </w:p>
        </w:tc>
        <w:tc>
          <w:tcPr>
            <w:tcW w:type="dxa" w:w="6236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7F9FC"/>
          </w:tcPr>
          <w:p>
            <w:pPr>
              <w:spacing w:after="20"/>
            </w:pPr>
            <w:r>
              <w:rPr>
                <w:sz w:val="15"/>
              </w:rPr>
              <w:t>Unknown required provider schema -&gt; DEAD_LETTER, no guessed values.</w:t>
            </w:r>
          </w:p>
        </w:tc>
      </w:tr>
      <w:tr>
        <w:trPr>
          <w:cantSplit/>
        </w:trPr>
        <w:tc>
          <w:tcPr>
            <w:tcW w:type="dxa" w:w="1417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sz w:val="15"/>
              </w:rPr>
              <w:t>INT-T015</w:t>
            </w:r>
          </w:p>
        </w:tc>
        <w:tc>
          <w:tcPr>
            <w:tcW w:type="dxa" w:w="2551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sz w:val="15"/>
              </w:rPr>
              <w:t>LocalPrimary outage</w:t>
            </w:r>
          </w:p>
        </w:tc>
        <w:tc>
          <w:tcPr>
            <w:tcW w:type="dxa" w:w="6236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sz w:val="15"/>
              </w:rPr>
              <w:t>External Internet down -&gt; 1C/scales LAN continue; FGIS/satellite jobs wait.</w:t>
            </w:r>
          </w:p>
        </w:tc>
      </w:tr>
    </w:tbl>
    <w:p>
      <w:pPr>
        <w:pStyle w:val="SmallNote"/>
      </w:pPr>
    </w:p>
    <w:p>
      <w:pPr>
        <w:pStyle w:val="Heading1"/>
      </w:pPr>
      <w:r>
        <w:t>28. Порядок реализации Codex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94"/>
        <w:gridCol w:w="3494"/>
        <w:gridCol w:w="3494"/>
      </w:tblGrid>
      <w:tr>
        <w:trPr>
          <w:tblHeader w:val="true"/>
        </w:trPr>
        <w:tc>
          <w:tcPr>
            <w:tcW w:type="dxa" w:w="1417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Stage</w:t>
            </w:r>
          </w:p>
        </w:tc>
        <w:tc>
          <w:tcPr>
            <w:tcW w:type="dxa" w:w="2948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Component</w:t>
            </w:r>
          </w:p>
        </w:tc>
        <w:tc>
          <w:tcPr>
            <w:tcW w:type="dxa" w:w="5839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Deliverable</w:t>
            </w:r>
          </w:p>
        </w:tc>
      </w:tr>
      <w:tr>
        <w:trPr>
          <w:cantSplit/>
        </w:trPr>
        <w:tc>
          <w:tcPr>
            <w:tcW w:type="dxa" w:w="1417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sz w:val="15"/>
              </w:rPr>
              <w:t>I13-01</w:t>
            </w:r>
          </w:p>
        </w:tc>
        <w:tc>
          <w:tcPr>
            <w:tcW w:type="dxa" w:w="2948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sz w:val="15"/>
              </w:rPr>
              <w:t>Integration framework</w:t>
            </w:r>
          </w:p>
        </w:tc>
        <w:tc>
          <w:tcPr>
            <w:tcW w:type="dxa" w:w="5839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sz w:val="15"/>
              </w:rPr>
              <w:t>Profiles, AuthProfile refs, MappingProfile, Job/Attempt, Status Center.</w:t>
            </w:r>
          </w:p>
        </w:tc>
      </w:tr>
      <w:tr>
        <w:trPr>
          <w:cantSplit/>
        </w:trPr>
        <w:tc>
          <w:tcPr>
            <w:tcW w:type="dxa" w:w="1417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7F9FC"/>
          </w:tcPr>
          <w:p>
            <w:pPr>
              <w:spacing w:after="20"/>
            </w:pPr>
            <w:r>
              <w:rPr>
                <w:sz w:val="15"/>
              </w:rPr>
              <w:t>I13-02</w:t>
            </w:r>
          </w:p>
        </w:tc>
        <w:tc>
          <w:tcPr>
            <w:tcW w:type="dxa" w:w="2948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7F9FC"/>
          </w:tcPr>
          <w:p>
            <w:pPr>
              <w:spacing w:after="20"/>
            </w:pPr>
            <w:r>
              <w:rPr>
                <w:sz w:val="15"/>
              </w:rPr>
              <w:t>Generic HTTP client</w:t>
            </w:r>
          </w:p>
        </w:tc>
        <w:tc>
          <w:tcPr>
            <w:tcW w:type="dxa" w:w="5839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7F9FC"/>
          </w:tcPr>
          <w:p>
            <w:pPr>
              <w:spacing w:after="20"/>
            </w:pPr>
            <w:r>
              <w:rPr>
                <w:sz w:val="15"/>
              </w:rPr>
              <w:t>TLS, auth, rate limits, retries, circuit breaker, logging redaction.</w:t>
            </w:r>
          </w:p>
        </w:tc>
      </w:tr>
      <w:tr>
        <w:trPr>
          <w:cantSplit/>
        </w:trPr>
        <w:tc>
          <w:tcPr>
            <w:tcW w:type="dxa" w:w="1417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sz w:val="15"/>
              </w:rPr>
              <w:t>I13-03</w:t>
            </w:r>
          </w:p>
        </w:tc>
        <w:tc>
          <w:tcPr>
            <w:tcW w:type="dxa" w:w="2948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sz w:val="15"/>
              </w:rPr>
              <w:t>Webhook inbox</w:t>
            </w:r>
          </w:p>
        </w:tc>
        <w:tc>
          <w:tcPr>
            <w:tcW w:type="dxa" w:w="5839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sz w:val="15"/>
              </w:rPr>
              <w:t>Verification, dedup, replay protection.</w:t>
            </w:r>
          </w:p>
        </w:tc>
      </w:tr>
      <w:tr>
        <w:trPr>
          <w:cantSplit/>
        </w:trPr>
        <w:tc>
          <w:tcPr>
            <w:tcW w:type="dxa" w:w="1417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7F9FC"/>
          </w:tcPr>
          <w:p>
            <w:pPr>
              <w:spacing w:after="20"/>
            </w:pPr>
            <w:r>
              <w:rPr>
                <w:sz w:val="15"/>
              </w:rPr>
              <w:t>I13-04</w:t>
            </w:r>
          </w:p>
        </w:tc>
        <w:tc>
          <w:tcPr>
            <w:tcW w:type="dxa" w:w="2948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7F9FC"/>
          </w:tcPr>
          <w:p>
            <w:pPr>
              <w:spacing w:after="20"/>
            </w:pPr>
            <w:r>
              <w:rPr>
                <w:sz w:val="15"/>
              </w:rPr>
              <w:t>File import framework</w:t>
            </w:r>
          </w:p>
        </w:tc>
        <w:tc>
          <w:tcPr>
            <w:tcW w:type="dxa" w:w="5839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7F9FC"/>
          </w:tcPr>
          <w:p>
            <w:pPr>
              <w:spacing w:after="20"/>
            </w:pPr>
            <w:r>
              <w:rPr>
                <w:sz w:val="15"/>
              </w:rPr>
              <w:t>CSV/XLSX/GeoJSON/KML/SHP preview+validation.</w:t>
            </w:r>
          </w:p>
        </w:tc>
      </w:tr>
      <w:tr>
        <w:trPr>
          <w:cantSplit/>
        </w:trPr>
        <w:tc>
          <w:tcPr>
            <w:tcW w:type="dxa" w:w="1417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sz w:val="15"/>
              </w:rPr>
              <w:t>I13-05</w:t>
            </w:r>
          </w:p>
        </w:tc>
        <w:tc>
          <w:tcPr>
            <w:tcW w:type="dxa" w:w="2948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sz w:val="15"/>
              </w:rPr>
              <w:t>1C bridge</w:t>
            </w:r>
          </w:p>
        </w:tc>
        <w:tc>
          <w:tcPr>
            <w:tcW w:type="dxa" w:w="5839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sz w:val="15"/>
              </w:rPr>
              <w:t>HTTP-service skeleton + first master + first operational document.</w:t>
            </w:r>
          </w:p>
        </w:tc>
      </w:tr>
      <w:tr>
        <w:trPr>
          <w:cantSplit/>
        </w:trPr>
        <w:tc>
          <w:tcPr>
            <w:tcW w:type="dxa" w:w="1417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7F9FC"/>
          </w:tcPr>
          <w:p>
            <w:pPr>
              <w:spacing w:after="20"/>
            </w:pPr>
            <w:r>
              <w:rPr>
                <w:sz w:val="15"/>
              </w:rPr>
              <w:t>I13-06</w:t>
            </w:r>
          </w:p>
        </w:tc>
        <w:tc>
          <w:tcPr>
            <w:tcW w:type="dxa" w:w="2948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7F9FC"/>
          </w:tcPr>
          <w:p>
            <w:pPr>
              <w:spacing w:after="20"/>
            </w:pPr>
            <w:r>
              <w:rPr>
                <w:sz w:val="15"/>
              </w:rPr>
              <w:t>Cadastral/GIS ports</w:t>
            </w:r>
          </w:p>
        </w:tc>
        <w:tc>
          <w:tcPr>
            <w:tcW w:type="dxa" w:w="5839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7F9FC"/>
          </w:tcPr>
          <w:p>
            <w:pPr>
              <w:spacing w:after="20"/>
            </w:pPr>
            <w:r>
              <w:rPr>
                <w:sz w:val="15"/>
              </w:rPr>
              <w:t>CadastralResolver + GeometryImport + EFGIS link.</w:t>
            </w:r>
          </w:p>
        </w:tc>
      </w:tr>
      <w:tr>
        <w:trPr>
          <w:cantSplit/>
        </w:trPr>
        <w:tc>
          <w:tcPr>
            <w:tcW w:type="dxa" w:w="1417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sz w:val="15"/>
              </w:rPr>
              <w:t>I13-07</w:t>
            </w:r>
          </w:p>
        </w:tc>
        <w:tc>
          <w:tcPr>
            <w:tcW w:type="dxa" w:w="2948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sz w:val="15"/>
              </w:rPr>
              <w:t>Satellite/NDVI</w:t>
            </w:r>
          </w:p>
        </w:tc>
        <w:tc>
          <w:tcPr>
            <w:tcW w:type="dxa" w:w="5839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sz w:val="15"/>
              </w:rPr>
              <w:t>STAC search + scene metadata + NDVI pipeline + cache hooks.</w:t>
            </w:r>
          </w:p>
        </w:tc>
      </w:tr>
      <w:tr>
        <w:trPr>
          <w:cantSplit/>
        </w:trPr>
        <w:tc>
          <w:tcPr>
            <w:tcW w:type="dxa" w:w="1417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7F9FC"/>
          </w:tcPr>
          <w:p>
            <w:pPr>
              <w:spacing w:after="20"/>
            </w:pPr>
            <w:r>
              <w:rPr>
                <w:sz w:val="15"/>
              </w:rPr>
              <w:t>I13-08</w:t>
            </w:r>
          </w:p>
        </w:tc>
        <w:tc>
          <w:tcPr>
            <w:tcW w:type="dxa" w:w="2948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7F9FC"/>
          </w:tcPr>
          <w:p>
            <w:pPr>
              <w:spacing w:after="20"/>
            </w:pPr>
            <w:r>
              <w:rPr>
                <w:sz w:val="15"/>
              </w:rPr>
              <w:t>Weather</w:t>
            </w:r>
          </w:p>
        </w:tc>
        <w:tc>
          <w:tcPr>
            <w:tcW w:type="dxa" w:w="5839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7F9FC"/>
          </w:tcPr>
          <w:p>
            <w:pPr>
              <w:spacing w:after="20"/>
            </w:pPr>
            <w:r>
              <w:rPr>
                <w:sz w:val="15"/>
              </w:rPr>
              <w:t>Provider adapter + history/forecast storage.</w:t>
            </w:r>
          </w:p>
        </w:tc>
      </w:tr>
      <w:tr>
        <w:trPr>
          <w:cantSplit/>
        </w:trPr>
        <w:tc>
          <w:tcPr>
            <w:tcW w:type="dxa" w:w="1417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sz w:val="15"/>
              </w:rPr>
              <w:t>I13-09</w:t>
            </w:r>
          </w:p>
        </w:tc>
        <w:tc>
          <w:tcPr>
            <w:tcW w:type="dxa" w:w="2948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sz w:val="15"/>
              </w:rPr>
              <w:t>FGIS Grain</w:t>
            </w:r>
          </w:p>
        </w:tc>
        <w:tc>
          <w:tcPr>
            <w:tcW w:type="dxa" w:w="5839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sz w:val="15"/>
              </w:rPr>
              <w:t>Versioned connector + SDIZ/status.</w:t>
            </w:r>
          </w:p>
        </w:tc>
      </w:tr>
      <w:tr>
        <w:trPr>
          <w:cantSplit/>
        </w:trPr>
        <w:tc>
          <w:tcPr>
            <w:tcW w:type="dxa" w:w="1417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7F9FC"/>
          </w:tcPr>
          <w:p>
            <w:pPr>
              <w:spacing w:after="20"/>
            </w:pPr>
            <w:r>
              <w:rPr>
                <w:sz w:val="15"/>
              </w:rPr>
              <w:t>I13-10</w:t>
            </w:r>
          </w:p>
        </w:tc>
        <w:tc>
          <w:tcPr>
            <w:tcW w:type="dxa" w:w="2948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7F9FC"/>
          </w:tcPr>
          <w:p>
            <w:pPr>
              <w:spacing w:after="20"/>
            </w:pPr>
            <w:r>
              <w:rPr>
                <w:sz w:val="15"/>
              </w:rPr>
              <w:t>Telemetry</w:t>
            </w:r>
          </w:p>
        </w:tc>
        <w:tc>
          <w:tcPr>
            <w:tcW w:type="dxa" w:w="5839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7F9FC"/>
          </w:tcPr>
          <w:p>
            <w:pPr>
              <w:spacing w:after="20"/>
            </w:pPr>
            <w:r>
              <w:rPr>
                <w:sz w:val="15"/>
              </w:rPr>
              <w:t>Canonical VehicleTelemetry + one pilot provider.</w:t>
            </w:r>
          </w:p>
        </w:tc>
      </w:tr>
      <w:tr>
        <w:trPr>
          <w:cantSplit/>
        </w:trPr>
        <w:tc>
          <w:tcPr>
            <w:tcW w:type="dxa" w:w="1417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sz w:val="15"/>
              </w:rPr>
              <w:t>I13-11</w:t>
            </w:r>
          </w:p>
        </w:tc>
        <w:tc>
          <w:tcPr>
            <w:tcW w:type="dxa" w:w="2948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sz w:val="15"/>
              </w:rPr>
              <w:t>Lab + scales</w:t>
            </w:r>
          </w:p>
        </w:tc>
        <w:tc>
          <w:tcPr>
            <w:tcW w:type="dxa" w:w="5839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sz w:val="15"/>
              </w:rPr>
              <w:t>File/API labs; edge weighing adapter.</w:t>
            </w:r>
          </w:p>
        </w:tc>
      </w:tr>
      <w:tr>
        <w:trPr>
          <w:cantSplit/>
        </w:trPr>
        <w:tc>
          <w:tcPr>
            <w:tcW w:type="dxa" w:w="1417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7F9FC"/>
          </w:tcPr>
          <w:p>
            <w:pPr>
              <w:spacing w:after="20"/>
            </w:pPr>
            <w:r>
              <w:rPr>
                <w:sz w:val="15"/>
              </w:rPr>
              <w:t>I13-12</w:t>
            </w:r>
          </w:p>
        </w:tc>
        <w:tc>
          <w:tcPr>
            <w:tcW w:type="dxa" w:w="2948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7F9FC"/>
          </w:tcPr>
          <w:p>
            <w:pPr>
              <w:spacing w:after="20"/>
            </w:pPr>
            <w:r>
              <w:rPr>
                <w:sz w:val="15"/>
              </w:rPr>
              <w:t>Remaining FGIS/regulated connectors</w:t>
            </w:r>
          </w:p>
        </w:tc>
        <w:tc>
          <w:tcPr>
            <w:tcW w:type="dxa" w:w="5839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7F9FC"/>
          </w:tcPr>
          <w:p>
            <w:pPr>
              <w:spacing w:after="20"/>
            </w:pPr>
            <w:r>
              <w:rPr>
                <w:sz w:val="15"/>
              </w:rPr>
              <w:t>By pilot ComplianceProfile.</w:t>
            </w:r>
          </w:p>
        </w:tc>
      </w:tr>
      <w:tr>
        <w:trPr>
          <w:cantSplit/>
        </w:trPr>
        <w:tc>
          <w:tcPr>
            <w:tcW w:type="dxa" w:w="1417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sz w:val="15"/>
              </w:rPr>
              <w:t>I13-13</w:t>
            </w:r>
          </w:p>
        </w:tc>
        <w:tc>
          <w:tcPr>
            <w:tcW w:type="dxa" w:w="2948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sz w:val="15"/>
              </w:rPr>
              <w:t>Reconciliation/observability</w:t>
            </w:r>
          </w:p>
        </w:tc>
        <w:tc>
          <w:tcPr>
            <w:tcW w:type="dxa" w:w="5839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sz w:val="15"/>
              </w:rPr>
              <w:t>Dashboards, mismatch jobs, alarms.</w:t>
            </w:r>
          </w:p>
        </w:tc>
      </w:tr>
    </w:tbl>
    <w:p>
      <w:pPr>
        <w:pStyle w:val="SmallNote"/>
      </w:pPr>
    </w:p>
    <w:p>
      <w:pPr>
        <w:pStyle w:val="Heading1"/>
        <w:pageBreakBefore/>
      </w:pPr>
      <w:r>
        <w:t>29. Machine-readable Integration Profile example</w:t>
      </w:r>
    </w:p>
    <w:p>
      <w:pPr>
        <w:pStyle w:val="CodeBlock"/>
      </w:pPr>
      <w:r>
        <w:t>integration:</w:t>
        <w:br/>
        <w:t xml:space="preserve">  code: COPERNICUS_CDSE</w:t>
        <w:br/>
        <w:t xml:space="preserve">  adapter: copernicus_stac_v1</w:t>
        <w:br/>
        <w:t xml:space="preserve">  direction: READ</w:t>
        <w:br/>
        <w:t xml:space="preserve">  environment: PROD</w:t>
        <w:br/>
        <w:t xml:space="preserve">  capabilities: [SEARCH, BULK_ASSET_FETCH]</w:t>
        <w:br/>
        <w:t xml:space="preserve">  auth_profile: cdse_oauth</w:t>
        <w:br/>
        <w:t xml:space="preserve">  mapping_profile: remote_sensing_v2</w:t>
        <w:br/>
        <w:t xml:space="preserve">  retry_profile: public_api_standard</w:t>
        <w:br/>
        <w:t xml:space="preserve">  rate_limit_profile: cdse_default</w:t>
        <w:br/>
        <w:br/>
        <w:t>remote_sensing:</w:t>
        <w:br/>
        <w:t xml:space="preserve">  collection: sentinel-2-l2a</w:t>
        <w:br/>
        <w:t xml:space="preserve">  cloud_cover_max: 35</w:t>
        <w:br/>
        <w:t xml:space="preserve">  canonical_bands:</w:t>
        <w:br/>
        <w:t xml:space="preserve">    RED: B04</w:t>
        <w:br/>
        <w:t xml:space="preserve">    NIR: B08</w:t>
        <w:br/>
        <w:t xml:space="preserve">  derived_indices:</w:t>
        <w:br/>
        <w:t xml:space="preserve">    NDVI:</w:t>
        <w:br/>
        <w:t xml:space="preserve">      formula_version: ndvi-v1</w:t>
        <w:br/>
        <w:t xml:space="preserve">  persist:</w:t>
        <w:br/>
        <w:t xml:space="preserve">    - scene_metadata</w:t>
        <w:br/>
        <w:t xml:space="preserve">    - quality_mask_metadata</w:t>
        <w:br/>
        <w:t xml:space="preserve">    - zonal_statistics</w:t>
        <w:br/>
        <w:t xml:space="preserve">    - raster_asset_ref</w:t>
        <w:br/>
      </w:r>
    </w:p>
    <w:p>
      <w:pPr>
        <w:pStyle w:val="CodeBlock"/>
      </w:pPr>
      <w:r>
        <w:t>integration:</w:t>
        <w:br/>
        <w:t xml:space="preserve">  code: ONE_C</w:t>
        <w:br/>
        <w:t xml:space="preserve">  adapter: one_c_http_service_v1</w:t>
        <w:br/>
        <w:t xml:space="preserve">  direction: BIDIRECTIONAL_WITH_RULES</w:t>
        <w:br/>
        <w:t xml:space="preserve">  authority_location: LOCAL_LAN</w:t>
        <w:br/>
        <w:t xml:space="preserve">  endpoints:</w:t>
        <w:br/>
        <w:t xml:space="preserve">    material_sync: /hs/agroplatform/v1/materials</w:t>
        <w:br/>
        <w:t xml:space="preserve">    post_consumption: /hs/agroplatform/v1/material-consumption</w:t>
        <w:br/>
        <w:t xml:space="preserve">  idempotency:</w:t>
        <w:br/>
        <w:t xml:space="preserve">    field: externalOperationId</w:t>
        <w:br/>
        <w:t xml:space="preserve">  master_policy:</w:t>
        <w:br/>
        <w:t xml:space="preserve">    Material: MASTER_ONE_C</w:t>
        <w:br/>
        <w:t xml:space="preserve">    OperationFact: MASTER_PLATFORM</w:t>
        <w:br/>
      </w:r>
    </w:p>
    <w:p>
      <w:pPr>
        <w:pStyle w:val="Heading1"/>
      </w:pPr>
      <w:r>
        <w:t>30. Сущности, которые должен дополнить Data Dictionary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41"/>
        <w:gridCol w:w="5241"/>
      </w:tblGrid>
      <w:tr>
        <w:trPr>
          <w:tblHeader w:val="true"/>
        </w:trPr>
        <w:tc>
          <w:tcPr>
            <w:tcW w:type="dxa" w:w="2835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Entity</w:t>
            </w:r>
          </w:p>
        </w:tc>
        <w:tc>
          <w:tcPr>
            <w:tcW w:type="dxa" w:w="7370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Key fields</w:t>
            </w:r>
          </w:p>
        </w:tc>
      </w:tr>
      <w:tr>
        <w:trPr>
          <w:cantSplit/>
        </w:trPr>
        <w:tc>
          <w:tcPr>
            <w:tcW w:type="dxa" w:w="2835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sz w:val="15"/>
              </w:rPr>
              <w:t>IntegrationProfile</w:t>
            </w:r>
          </w:p>
        </w:tc>
        <w:tc>
          <w:tcPr>
            <w:tcW w:type="dxa" w:w="7370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sz w:val="15"/>
              </w:rPr>
              <w:t>system_code, environment, direction, transport, endpoint_ref, auth_profile_id, schema/mapping/retry/rate profiles.</w:t>
            </w:r>
          </w:p>
        </w:tc>
      </w:tr>
      <w:tr>
        <w:trPr>
          <w:cantSplit/>
        </w:trPr>
        <w:tc>
          <w:tcPr>
            <w:tcW w:type="dxa" w:w="2835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7F9FC"/>
          </w:tcPr>
          <w:p>
            <w:pPr>
              <w:spacing w:after="20"/>
            </w:pPr>
            <w:r>
              <w:rPr>
                <w:sz w:val="15"/>
              </w:rPr>
              <w:t>AuthProfile</w:t>
            </w:r>
          </w:p>
        </w:tc>
        <w:tc>
          <w:tcPr>
            <w:tcW w:type="dxa" w:w="7370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7F9FC"/>
          </w:tcPr>
          <w:p>
            <w:pPr>
              <w:spacing w:after="20"/>
            </w:pPr>
            <w:r>
              <w:rPr>
                <w:sz w:val="15"/>
              </w:rPr>
              <w:t>type, secret_ref, certificate_ref, scopes, rotated_at, expires_at.</w:t>
            </w:r>
          </w:p>
        </w:tc>
      </w:tr>
      <w:tr>
        <w:trPr>
          <w:cantSplit/>
        </w:trPr>
        <w:tc>
          <w:tcPr>
            <w:tcW w:type="dxa" w:w="2835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sz w:val="15"/>
              </w:rPr>
              <w:t>ConnectorCapability</w:t>
            </w:r>
          </w:p>
        </w:tc>
        <w:tc>
          <w:tcPr>
            <w:tcW w:type="dxa" w:w="7370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sz w:val="15"/>
              </w:rPr>
              <w:t>profile_id, capability, enabled, limits_json.</w:t>
            </w:r>
          </w:p>
        </w:tc>
      </w:tr>
      <w:tr>
        <w:trPr>
          <w:cantSplit/>
        </w:trPr>
        <w:tc>
          <w:tcPr>
            <w:tcW w:type="dxa" w:w="2835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7F9FC"/>
          </w:tcPr>
          <w:p>
            <w:pPr>
              <w:spacing w:after="20"/>
            </w:pPr>
            <w:r>
              <w:rPr>
                <w:sz w:val="15"/>
              </w:rPr>
              <w:t>WebhookSubscription</w:t>
            </w:r>
          </w:p>
        </w:tc>
        <w:tc>
          <w:tcPr>
            <w:tcW w:type="dxa" w:w="7370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7F9FC"/>
          </w:tcPr>
          <w:p>
            <w:pPr>
              <w:spacing w:after="20"/>
            </w:pPr>
            <w:r>
              <w:rPr>
                <w:sz w:val="15"/>
              </w:rPr>
              <w:t>profile_id, callback_key, verification_type, state, provider_subscription_id.</w:t>
            </w:r>
          </w:p>
        </w:tc>
      </w:tr>
      <w:tr>
        <w:trPr>
          <w:cantSplit/>
        </w:trPr>
        <w:tc>
          <w:tcPr>
            <w:tcW w:type="dxa" w:w="2835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sz w:val="15"/>
              </w:rPr>
              <w:t>ExternalInboxEvent</w:t>
            </w:r>
          </w:p>
        </w:tc>
        <w:tc>
          <w:tcPr>
            <w:tcW w:type="dxa" w:w="7370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sz w:val="15"/>
              </w:rPr>
              <w:t>profile_id, external_event_id, received_at, hash, status, raw_ref.</w:t>
            </w:r>
          </w:p>
        </w:tc>
      </w:tr>
      <w:tr>
        <w:trPr>
          <w:cantSplit/>
        </w:trPr>
        <w:tc>
          <w:tcPr>
            <w:tcW w:type="dxa" w:w="2835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7F9FC"/>
          </w:tcPr>
          <w:p>
            <w:pPr>
              <w:spacing w:after="20"/>
            </w:pPr>
            <w:r>
              <w:rPr>
                <w:sz w:val="15"/>
              </w:rPr>
              <w:t>CadastralCandidate</w:t>
            </w:r>
          </w:p>
        </w:tc>
        <w:tc>
          <w:tcPr>
            <w:tcW w:type="dxa" w:w="7370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7F9FC"/>
          </w:tcPr>
          <w:p>
            <w:pPr>
              <w:spacing w:after="20"/>
            </w:pPr>
            <w:r>
              <w:rPr>
                <w:sz w:val="15"/>
              </w:rPr>
              <w:t>request_id, cadastral_number, metadata, geometry_ref?, source, captured_at, confidence/status.</w:t>
            </w:r>
          </w:p>
        </w:tc>
      </w:tr>
      <w:tr>
        <w:trPr>
          <w:cantSplit/>
        </w:trPr>
        <w:tc>
          <w:tcPr>
            <w:tcW w:type="dxa" w:w="2835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sz w:val="15"/>
              </w:rPr>
              <w:t>SatelliteScene</w:t>
            </w:r>
          </w:p>
        </w:tc>
        <w:tc>
          <w:tcPr>
            <w:tcW w:type="dxa" w:w="7370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sz w:val="15"/>
              </w:rPr>
              <w:t>provider, collection, scene_id, captured_at, cloud_percent, footprint, assets_json, quality.</w:t>
            </w:r>
          </w:p>
        </w:tc>
      </w:tr>
      <w:tr>
        <w:trPr>
          <w:cantSplit/>
        </w:trPr>
        <w:tc>
          <w:tcPr>
            <w:tcW w:type="dxa" w:w="2835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7F9FC"/>
          </w:tcPr>
          <w:p>
            <w:pPr>
              <w:spacing w:after="20"/>
            </w:pPr>
            <w:r>
              <w:rPr>
                <w:sz w:val="15"/>
              </w:rPr>
              <w:t>RemoteSensingMetric</w:t>
            </w:r>
          </w:p>
        </w:tc>
        <w:tc>
          <w:tcPr>
            <w:tcW w:type="dxa" w:w="7370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7F9FC"/>
          </w:tcPr>
          <w:p>
            <w:pPr>
              <w:spacing w:after="20"/>
            </w:pPr>
            <w:r>
              <w:rPr>
                <w:sz w:val="15"/>
              </w:rPr>
              <w:t>scene_id, field_id, geometry_version, metric, formula_version, stats, valid_pixel_pct.</w:t>
            </w:r>
          </w:p>
        </w:tc>
      </w:tr>
      <w:tr>
        <w:trPr>
          <w:cantSplit/>
        </w:trPr>
        <w:tc>
          <w:tcPr>
            <w:tcW w:type="dxa" w:w="2835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sz w:val="15"/>
              </w:rPr>
              <w:t>WeatherRun</w:t>
            </w:r>
          </w:p>
        </w:tc>
        <w:tc>
          <w:tcPr>
            <w:tcW w:type="dxa" w:w="7370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sz w:val="15"/>
              </w:rPr>
              <w:t>provider, model, run_at, fetched_at, spatial_method, variables.</w:t>
            </w:r>
          </w:p>
        </w:tc>
      </w:tr>
      <w:tr>
        <w:trPr>
          <w:cantSplit/>
        </w:trPr>
        <w:tc>
          <w:tcPr>
            <w:tcW w:type="dxa" w:w="2835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7F9FC"/>
          </w:tcPr>
          <w:p>
            <w:pPr>
              <w:spacing w:after="20"/>
            </w:pPr>
            <w:r>
              <w:rPr>
                <w:sz w:val="15"/>
              </w:rPr>
              <w:t>TelemetryProviderMessage</w:t>
            </w:r>
          </w:p>
        </w:tc>
        <w:tc>
          <w:tcPr>
            <w:tcW w:type="dxa" w:w="7370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7F9FC"/>
          </w:tcPr>
          <w:p>
            <w:pPr>
              <w:spacing w:after="20"/>
            </w:pPr>
            <w:r>
              <w:rPr>
                <w:sz w:val="15"/>
              </w:rPr>
              <w:t>provider, unit_id, external_message_id, observed_at, received_at, raw_ref.</w:t>
            </w:r>
          </w:p>
        </w:tc>
      </w:tr>
    </w:tbl>
    <w:p>
      <w:pPr>
        <w:pStyle w:val="SmallNote"/>
      </w:pPr>
    </w:p>
    <w:p>
      <w:pPr>
        <w:pStyle w:val="Heading1"/>
      </w:pPr>
      <w:r>
        <w:t>31. Решения, считающиеся зафиксированными</w:t>
      </w:r>
    </w:p>
    <w:p>
      <w:pPr>
        <w:pStyle w:val="ListBullet"/>
      </w:pPr>
      <w:r>
        <w:t>Все интеграции реализуются как ports/adapters и не импортируют provider-specific модели в Domain Core.</w:t>
      </w:r>
    </w:p>
    <w:p>
      <w:pPr>
        <w:pStyle w:val="ListBullet"/>
      </w:pPr>
      <w:r>
        <w:t>Mapping, external schema/API version, auth and rate-limit profiles versioned and tenant-specific.</w:t>
      </w:r>
    </w:p>
    <w:p>
      <w:pPr>
        <w:pStyle w:val="ListBullet"/>
      </w:pPr>
      <w:r>
        <w:t>1С поддерживается через профиль конкретной конфигурации; preferred custom HTTP-service for controlled posting, OData may serve standard read/bootstrap.</w:t>
      </w:r>
    </w:p>
    <w:p>
      <w:pPr>
        <w:pStyle w:val="ListBullet"/>
      </w:pPr>
      <w:r>
        <w:t>Создание поля по кадастровому номеру работает через CadastralResolver; undocumented scraping запрещён.</w:t>
      </w:r>
    </w:p>
    <w:p>
      <w:pPr>
        <w:pStyle w:val="ListBullet"/>
      </w:pPr>
      <w:r>
        <w:t>LandPlot и production Field — разные сущности; official geometry и production geometry versioned independently.</w:t>
      </w:r>
    </w:p>
    <w:p>
      <w:pPr>
        <w:pStyle w:val="ListBullet"/>
      </w:pPr>
      <w:r>
        <w:t>Sentinel-2 L2A/STAC принят как открытый baseline remote-sensing adapter, но provider can be replaced.</w:t>
      </w:r>
    </w:p>
    <w:p>
      <w:pPr>
        <w:pStyle w:val="ListBullet"/>
      </w:pPr>
      <w:r>
        <w:t>NDVI хранит scene/date/quality/formula version; NDVI anomaly creates investigation context, not automatic agronomic diagnosis.</w:t>
      </w:r>
    </w:p>
    <w:p>
      <w:pPr>
        <w:pStyle w:val="ListBullet"/>
      </w:pPr>
      <w:r>
        <w:t>Weather stores provider/model/run provenance.</w:t>
      </w:r>
    </w:p>
    <w:p>
      <w:pPr>
        <w:pStyle w:val="ListBullet"/>
      </w:pPr>
      <w:r>
        <w:t>Telemetry raw data and normalized business events are separated.</w:t>
      </w:r>
    </w:p>
    <w:p>
      <w:pPr>
        <w:pStyle w:val="ListBullet"/>
      </w:pPr>
      <w:r>
        <w:t>Lab/scale/file imports are idempotent by external ID/checksum.</w:t>
      </w:r>
    </w:p>
    <w:p>
      <w:pPr>
        <w:pStyle w:val="ListBullet"/>
      </w:pPr>
      <w:r>
        <w:t>1С/ФГИС external outage never rolls back valid domain fact.</w:t>
      </w:r>
    </w:p>
    <w:p>
      <w:pPr>
        <w:pStyle w:val="ListBullet"/>
      </w:pPr>
      <w:r>
        <w:t>All integrations expose Status Center, normalized errors, reconciliation and observability.</w:t>
      </w:r>
    </w:p>
    <w:p>
      <w:pPr>
        <w:pStyle w:val="ListBullet"/>
      </w:pPr>
      <w:r>
        <w:t>LOCAL_PRIMARY may continue LAN integrations while external Internet is unavailable.</w:t>
      </w:r>
    </w:p>
    <w:p>
      <w:pPr>
        <w:pStyle w:val="Heading1"/>
      </w:pPr>
      <w:r>
        <w:t>32. Проверенные источники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20"/>
        <w:gridCol w:w="2620"/>
        <w:gridCol w:w="2620"/>
        <w:gridCol w:w="2620"/>
      </w:tblGrid>
      <w:tr>
        <w:trPr>
          <w:tblHeader w:val="true"/>
        </w:trPr>
        <w:tc>
          <w:tcPr>
            <w:tcW w:type="dxa" w:w="737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ID</w:t>
            </w:r>
          </w:p>
        </w:tc>
        <w:tc>
          <w:tcPr>
            <w:tcW w:type="dxa" w:w="2948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Источник</w:t>
            </w:r>
          </w:p>
        </w:tc>
        <w:tc>
          <w:tcPr>
            <w:tcW w:type="dxa" w:w="4309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URL</w:t>
            </w:r>
          </w:p>
        </w:tc>
        <w:tc>
          <w:tcPr>
            <w:tcW w:type="dxa" w:w="2268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Что подтверждает</w:t>
            </w:r>
          </w:p>
        </w:tc>
      </w:tr>
      <w:tr>
        <w:trPr>
          <w:cantSplit/>
        </w:trPr>
        <w:tc>
          <w:tcPr>
            <w:tcW w:type="dxa" w:w="737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sz w:val="14"/>
              </w:rPr>
              <w:t>S01</w:t>
            </w:r>
          </w:p>
        </w:tc>
        <w:tc>
          <w:tcPr>
            <w:tcW w:type="dxa" w:w="2948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sz w:val="14"/>
              </w:rPr>
              <w:t>1С:Предприятие — REST интерфейс</w:t>
            </w:r>
          </w:p>
        </w:tc>
        <w:tc>
          <w:tcPr>
            <w:tcW w:type="dxa" w:w="4309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sz w:val="14"/>
              </w:rPr>
              <w:t>https://v8.1c.ru/platforma/rest-interfeys/</w:t>
            </w:r>
          </w:p>
        </w:tc>
        <w:tc>
          <w:tcPr>
            <w:tcW w:type="dxa" w:w="2268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sz w:val="14"/>
              </w:rPr>
              <w:t>OData 3.0 automatic REST; read/write/create/process.</w:t>
            </w:r>
          </w:p>
        </w:tc>
      </w:tr>
      <w:tr>
        <w:trPr>
          <w:cantSplit/>
        </w:trPr>
        <w:tc>
          <w:tcPr>
            <w:tcW w:type="dxa" w:w="737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7F9FC"/>
          </w:tcPr>
          <w:p>
            <w:pPr>
              <w:spacing w:after="20"/>
            </w:pPr>
            <w:r>
              <w:rPr>
                <w:sz w:val="14"/>
              </w:rPr>
              <w:t>S02</w:t>
            </w:r>
          </w:p>
        </w:tc>
        <w:tc>
          <w:tcPr>
            <w:tcW w:type="dxa" w:w="2948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7F9FC"/>
          </w:tcPr>
          <w:p>
            <w:pPr>
              <w:spacing w:after="20"/>
            </w:pPr>
            <w:r>
              <w:rPr>
                <w:sz w:val="14"/>
              </w:rPr>
              <w:t>1С:Предприятие — HTTP-сервисы</w:t>
            </w:r>
          </w:p>
        </w:tc>
        <w:tc>
          <w:tcPr>
            <w:tcW w:type="dxa" w:w="4309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7F9FC"/>
          </w:tcPr>
          <w:p>
            <w:pPr>
              <w:spacing w:after="20"/>
            </w:pPr>
            <w:r>
              <w:rPr>
                <w:sz w:val="14"/>
              </w:rPr>
              <w:t>https://v8.1c.ru/platforma/http-servisy/</w:t>
            </w:r>
          </w:p>
        </w:tc>
        <w:tc>
          <w:tcPr>
            <w:tcW w:type="dxa" w:w="2268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7F9FC"/>
          </w:tcPr>
          <w:p>
            <w:pPr>
              <w:spacing w:after="20"/>
            </w:pPr>
            <w:r>
              <w:rPr>
                <w:sz w:val="14"/>
              </w:rPr>
              <w:t>Custom HTTP services and flexible request/response handling.</w:t>
            </w:r>
          </w:p>
        </w:tc>
      </w:tr>
      <w:tr>
        <w:trPr>
          <w:cantSplit/>
        </w:trPr>
        <w:tc>
          <w:tcPr>
            <w:tcW w:type="dxa" w:w="737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sz w:val="14"/>
              </w:rPr>
              <w:t>S03</w:t>
            </w:r>
          </w:p>
        </w:tc>
        <w:tc>
          <w:tcPr>
            <w:tcW w:type="dxa" w:w="2948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sz w:val="14"/>
              </w:rPr>
              <w:t>1С:Предприятие — Web-сервисы</w:t>
            </w:r>
          </w:p>
        </w:tc>
        <w:tc>
          <w:tcPr>
            <w:tcW w:type="dxa" w:w="4309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sz w:val="14"/>
              </w:rPr>
              <w:t>https://v8.1c.ru/platforma/web-servisy/</w:t>
            </w:r>
          </w:p>
        </w:tc>
        <w:tc>
          <w:tcPr>
            <w:tcW w:type="dxa" w:w="2268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sz w:val="14"/>
              </w:rPr>
              <w:t>SOAP/web-service integration option.</w:t>
            </w:r>
          </w:p>
        </w:tc>
      </w:tr>
      <w:tr>
        <w:trPr>
          <w:cantSplit/>
        </w:trPr>
        <w:tc>
          <w:tcPr>
            <w:tcW w:type="dxa" w:w="737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7F9FC"/>
          </w:tcPr>
          <w:p>
            <w:pPr>
              <w:spacing w:after="20"/>
            </w:pPr>
            <w:r>
              <w:rPr>
                <w:sz w:val="14"/>
              </w:rPr>
              <w:t>S04</w:t>
            </w:r>
          </w:p>
        </w:tc>
        <w:tc>
          <w:tcPr>
            <w:tcW w:type="dxa" w:w="2948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7F9FC"/>
          </w:tcPr>
          <w:p>
            <w:pPr>
              <w:spacing w:after="20"/>
            </w:pPr>
            <w:r>
              <w:rPr>
                <w:sz w:val="14"/>
              </w:rPr>
              <w:t>1С:ERP Агропромышленный комплекс</w:t>
            </w:r>
          </w:p>
        </w:tc>
        <w:tc>
          <w:tcPr>
            <w:tcW w:type="dxa" w:w="4309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7F9FC"/>
          </w:tcPr>
          <w:p>
            <w:pPr>
              <w:spacing w:after="20"/>
            </w:pPr>
            <w:r>
              <w:rPr>
                <w:sz w:val="14"/>
              </w:rPr>
              <w:t>https://solutions.1c.ru/catalog/erpapk/buy</w:t>
            </w:r>
          </w:p>
        </w:tc>
        <w:tc>
          <w:tcPr>
            <w:tcW w:type="dxa" w:w="2268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7F9FC"/>
          </w:tcPr>
          <w:p>
            <w:pPr>
              <w:spacing w:after="20"/>
            </w:pPr>
            <w:r>
              <w:rPr>
                <w:sz w:val="14"/>
              </w:rPr>
              <w:t>Current product/release 2.5.27.82 dated 09.09.2026.</w:t>
            </w:r>
          </w:p>
        </w:tc>
      </w:tr>
      <w:tr>
        <w:trPr>
          <w:cantSplit/>
        </w:trPr>
        <w:tc>
          <w:tcPr>
            <w:tcW w:type="dxa" w:w="737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sz w:val="14"/>
              </w:rPr>
              <w:t>S05</w:t>
            </w:r>
          </w:p>
        </w:tc>
        <w:tc>
          <w:tcPr>
            <w:tcW w:type="dxa" w:w="2948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sz w:val="14"/>
              </w:rPr>
              <w:t>ЕФГИС ЗСН — инструкции</w:t>
            </w:r>
          </w:p>
        </w:tc>
        <w:tc>
          <w:tcPr>
            <w:tcW w:type="dxa" w:w="4309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sz w:val="14"/>
              </w:rPr>
              <w:t>https://rshzm.ru/instructions</w:t>
            </w:r>
          </w:p>
        </w:tc>
        <w:tc>
          <w:tcPr>
            <w:tcW w:type="dxa" w:w="2268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sz w:val="14"/>
              </w:rPr>
              <w:t>API interface description; field creation/editing/crop rotation materials.</w:t>
            </w:r>
          </w:p>
        </w:tc>
      </w:tr>
      <w:tr>
        <w:trPr>
          <w:cantSplit/>
        </w:trPr>
        <w:tc>
          <w:tcPr>
            <w:tcW w:type="dxa" w:w="737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7F9FC"/>
          </w:tcPr>
          <w:p>
            <w:pPr>
              <w:spacing w:after="20"/>
            </w:pPr>
            <w:r>
              <w:rPr>
                <w:sz w:val="14"/>
              </w:rPr>
              <w:t>S06</w:t>
            </w:r>
          </w:p>
        </w:tc>
        <w:tc>
          <w:tcPr>
            <w:tcW w:type="dxa" w:w="2948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7F9FC"/>
          </w:tcPr>
          <w:p>
            <w:pPr>
              <w:spacing w:after="20"/>
            </w:pPr>
            <w:r>
              <w:rPr>
                <w:sz w:val="14"/>
              </w:rPr>
              <w:t>ФГИС «Зерно» — API</w:t>
            </w:r>
          </w:p>
        </w:tc>
        <w:tc>
          <w:tcPr>
            <w:tcW w:type="dxa" w:w="4309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7F9FC"/>
          </w:tcPr>
          <w:p>
            <w:pPr>
              <w:spacing w:after="20"/>
            </w:pPr>
            <w:r>
              <w:rPr>
                <w:sz w:val="14"/>
              </w:rPr>
              <w:t>https://specagro.ru/fgis/api</w:t>
            </w:r>
          </w:p>
        </w:tc>
        <w:tc>
          <w:tcPr>
            <w:tcW w:type="dxa" w:w="2268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7F9FC"/>
          </w:tcPr>
          <w:p>
            <w:pPr>
              <w:spacing w:after="20"/>
            </w:pPr>
            <w:r>
              <w:rPr>
                <w:sz w:val="14"/>
              </w:rPr>
              <w:t>Published API versions 1.0.9/1.0.16/1.0.19/1.0.23 and deprecation notice.</w:t>
            </w:r>
          </w:p>
        </w:tc>
      </w:tr>
      <w:tr>
        <w:trPr>
          <w:cantSplit/>
        </w:trPr>
        <w:tc>
          <w:tcPr>
            <w:tcW w:type="dxa" w:w="737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sz w:val="14"/>
              </w:rPr>
              <w:t>S07</w:t>
            </w:r>
          </w:p>
        </w:tc>
        <w:tc>
          <w:tcPr>
            <w:tcW w:type="dxa" w:w="2948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sz w:val="14"/>
              </w:rPr>
              <w:t>ВетИС — updates 2026</w:t>
            </w:r>
          </w:p>
        </w:tc>
        <w:tc>
          <w:tcPr>
            <w:tcW w:type="dxa" w:w="4309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sz w:val="14"/>
              </w:rPr>
              <w:t>https://help.vetrf.ru/wiki/Обновления_компонента_Меркурий_за_2026_год</w:t>
            </w:r>
          </w:p>
        </w:tc>
        <w:tc>
          <w:tcPr>
            <w:tcW w:type="dxa" w:w="2268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sz w:val="14"/>
              </w:rPr>
              <w:t>VetIS.API remains an active integration gateway and evolves.</w:t>
            </w:r>
          </w:p>
        </w:tc>
      </w:tr>
      <w:tr>
        <w:trPr>
          <w:cantSplit/>
        </w:trPr>
        <w:tc>
          <w:tcPr>
            <w:tcW w:type="dxa" w:w="737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7F9FC"/>
          </w:tcPr>
          <w:p>
            <w:pPr>
              <w:spacing w:after="20"/>
            </w:pPr>
            <w:r>
              <w:rPr>
                <w:sz w:val="14"/>
              </w:rPr>
              <w:t>S08</w:t>
            </w:r>
          </w:p>
        </w:tc>
        <w:tc>
          <w:tcPr>
            <w:tcW w:type="dxa" w:w="2948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7F9FC"/>
          </w:tcPr>
          <w:p>
            <w:pPr>
              <w:spacing w:after="20"/>
            </w:pPr>
            <w:r>
              <w:rPr>
                <w:sz w:val="14"/>
              </w:rPr>
              <w:t>Copernicus Data Space — STAC API</w:t>
            </w:r>
          </w:p>
        </w:tc>
        <w:tc>
          <w:tcPr>
            <w:tcW w:type="dxa" w:w="4309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7F9FC"/>
          </w:tcPr>
          <w:p>
            <w:pPr>
              <w:spacing w:after="20"/>
            </w:pPr>
            <w:r>
              <w:rPr>
                <w:sz w:val="14"/>
              </w:rPr>
              <w:t>https://documentation.dataspace.copernicus.eu/APIs/STAC.html</w:t>
            </w:r>
          </w:p>
        </w:tc>
        <w:tc>
          <w:tcPr>
            <w:tcW w:type="dxa" w:w="2268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7F9FC"/>
          </w:tcPr>
          <w:p>
            <w:pPr>
              <w:spacing w:after="20"/>
            </w:pPr>
            <w:r>
              <w:rPr>
                <w:sz w:val="14"/>
              </w:rPr>
              <w:t>Sentinel-2 L2A catalogue; spatial/time/cloud filtering and STAC extensions.</w:t>
            </w:r>
          </w:p>
        </w:tc>
      </w:tr>
      <w:tr>
        <w:trPr>
          <w:cantSplit/>
        </w:trPr>
        <w:tc>
          <w:tcPr>
            <w:tcW w:type="dxa" w:w="737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sz w:val="14"/>
              </w:rPr>
              <w:t>S09</w:t>
            </w:r>
          </w:p>
        </w:tc>
        <w:tc>
          <w:tcPr>
            <w:tcW w:type="dxa" w:w="2948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sz w:val="14"/>
              </w:rPr>
              <w:t>Open-Meteo</w:t>
            </w:r>
          </w:p>
        </w:tc>
        <w:tc>
          <w:tcPr>
            <w:tcW w:type="dxa" w:w="4309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sz w:val="14"/>
              </w:rPr>
              <w:t>https://open-meteo.com/</w:t>
            </w:r>
          </w:p>
        </w:tc>
        <w:tc>
          <w:tcPr>
            <w:tcW w:type="dxa" w:w="2268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sz w:val="14"/>
              </w:rPr>
              <w:t>Forecast/historical JSON weather API baseline.</w:t>
            </w:r>
          </w:p>
        </w:tc>
      </w:tr>
      <w:tr>
        <w:trPr>
          <w:cantSplit/>
        </w:trPr>
        <w:tc>
          <w:tcPr>
            <w:tcW w:type="dxa" w:w="737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7F9FC"/>
          </w:tcPr>
          <w:p>
            <w:pPr>
              <w:spacing w:after="20"/>
            </w:pPr>
            <w:r>
              <w:rPr>
                <w:sz w:val="14"/>
              </w:rPr>
              <w:t>S10</w:t>
            </w:r>
          </w:p>
        </w:tc>
        <w:tc>
          <w:tcPr>
            <w:tcW w:type="dxa" w:w="2948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7F9FC"/>
          </w:tcPr>
          <w:p>
            <w:pPr>
              <w:spacing w:after="20"/>
            </w:pPr>
            <w:r>
              <w:rPr>
                <w:sz w:val="14"/>
              </w:rPr>
              <w:t>Open-Meteo Historical Weather</w:t>
            </w:r>
          </w:p>
        </w:tc>
        <w:tc>
          <w:tcPr>
            <w:tcW w:type="dxa" w:w="4309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7F9FC"/>
          </w:tcPr>
          <w:p>
            <w:pPr>
              <w:spacing w:after="20"/>
            </w:pPr>
            <w:r>
              <w:rPr>
                <w:sz w:val="14"/>
              </w:rPr>
              <w:t>https://open-meteo.com/en/docs/historical-weather-api</w:t>
            </w:r>
          </w:p>
        </w:tc>
        <w:tc>
          <w:tcPr>
            <w:tcW w:type="dxa" w:w="2268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7F9FC"/>
          </w:tcPr>
          <w:p>
            <w:pPr>
              <w:spacing w:after="20"/>
            </w:pPr>
            <w:r>
              <w:rPr>
                <w:sz w:val="14"/>
              </w:rPr>
              <w:t>Historical/reanalysis datasets and model provenance.</w:t>
            </w:r>
          </w:p>
        </w:tc>
      </w:tr>
      <w:tr>
        <w:trPr>
          <w:cantSplit/>
        </w:trPr>
        <w:tc>
          <w:tcPr>
            <w:tcW w:type="dxa" w:w="737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sz w:val="14"/>
              </w:rPr>
              <w:t>S11</w:t>
            </w:r>
          </w:p>
        </w:tc>
        <w:tc>
          <w:tcPr>
            <w:tcW w:type="dxa" w:w="2948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sz w:val="14"/>
              </w:rPr>
              <w:t>АгроСигнал — интеграция с 1С</w:t>
            </w:r>
          </w:p>
        </w:tc>
        <w:tc>
          <w:tcPr>
            <w:tcW w:type="dxa" w:w="4309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sz w:val="14"/>
              </w:rPr>
              <w:t>https://agrosignal.com/articles/integratsiya-s-1s/</w:t>
            </w:r>
          </w:p>
        </w:tc>
        <w:tc>
          <w:tcPr>
            <w:tcW w:type="dxa" w:w="2268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/>
            </w:pPr>
            <w:r>
              <w:rPr>
                <w:sz w:val="14"/>
              </w:rPr>
              <w:t>Market baseline: partner REST API and 1C integrations.</w:t>
            </w:r>
          </w:p>
        </w:tc>
      </w:tr>
      <w:tr>
        <w:trPr>
          <w:cantSplit/>
        </w:trPr>
        <w:tc>
          <w:tcPr>
            <w:tcW w:type="dxa" w:w="737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7F9FC"/>
          </w:tcPr>
          <w:p>
            <w:pPr>
              <w:spacing w:after="20"/>
            </w:pPr>
            <w:r>
              <w:rPr>
                <w:sz w:val="14"/>
              </w:rPr>
              <w:t>S12</w:t>
            </w:r>
          </w:p>
        </w:tc>
        <w:tc>
          <w:tcPr>
            <w:tcW w:type="dxa" w:w="2948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7F9FC"/>
          </w:tcPr>
          <w:p>
            <w:pPr>
              <w:spacing w:after="20"/>
            </w:pPr>
            <w:r>
              <w:rPr>
                <w:sz w:val="14"/>
              </w:rPr>
              <w:t>АгроСигнал — сведения для ФГИС</w:t>
            </w:r>
          </w:p>
        </w:tc>
        <w:tc>
          <w:tcPr>
            <w:tcW w:type="dxa" w:w="4309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7F9FC"/>
          </w:tcPr>
          <w:p>
            <w:pPr>
              <w:spacing w:after="20"/>
            </w:pPr>
            <w:r>
              <w:rPr>
                <w:sz w:val="14"/>
              </w:rPr>
              <w:t>https://agrosignal.com/resheniya/svedeniya-dlya-fgis/</w:t>
            </w:r>
          </w:p>
        </w:tc>
        <w:tc>
          <w:tcPr>
            <w:tcW w:type="dxa" w:w="2268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  <w:shd w:fill="F7F9FC"/>
          </w:tcPr>
          <w:p>
            <w:pPr>
              <w:spacing w:after="20"/>
            </w:pPr>
            <w:r>
              <w:rPr>
                <w:sz w:val="14"/>
              </w:rPr>
              <w:t>Market baseline: reuse operational data for Grain/Saturn/Seeds/EFGIS.</w:t>
            </w:r>
          </w:p>
        </w:tc>
      </w:tr>
    </w:tbl>
    <w:p>
      <w:pPr>
        <w:pStyle w:val="SmallNote"/>
      </w:pPr>
    </w:p>
    <w:p>
      <w:pPr>
        <w:pStyle w:val="Heading1"/>
      </w:pPr>
      <w:r>
        <w:t>33. Acceptance Criteria Документа №13</w:t>
      </w:r>
    </w:p>
    <w:p>
      <w:pPr>
        <w:pStyle w:val="ListBullet"/>
      </w:pPr>
      <w:r>
        <w:t>Codex может реализовать новый connector без изменения Domain Core.</w:t>
      </w:r>
    </w:p>
    <w:p>
      <w:pPr>
        <w:pStyle w:val="ListBullet"/>
      </w:pPr>
      <w:r>
        <w:t>Каждый connector имеет IntegrationProfile, MappingProfile, AuthProfile, retry/rate-limit and reconciliation strategy.</w:t>
      </w:r>
    </w:p>
    <w:p>
      <w:pPr>
        <w:pStyle w:val="ListBullet"/>
      </w:pPr>
      <w:r>
        <w:t>External API/schema version не зашита в бизнес-сущность.</w:t>
      </w:r>
    </w:p>
    <w:p>
      <w:pPr>
        <w:pStyle w:val="ListBullet"/>
      </w:pPr>
      <w:r>
        <w:t>1С source-of-truth direction задана по каждой синхронизируемой сущности.</w:t>
      </w:r>
    </w:p>
    <w:p>
      <w:pPr>
        <w:pStyle w:val="ListBullet"/>
      </w:pPr>
      <w:r>
        <w:t>Кадастровый номер может инициировать CadastralResolver flow без создания ложной геометрии.</w:t>
      </w:r>
    </w:p>
    <w:p>
      <w:pPr>
        <w:pStyle w:val="ListBullet"/>
      </w:pPr>
      <w:r>
        <w:t>ЕФГИС ЗСН adapter отделён от generic cadastral/GIS resolver.</w:t>
      </w:r>
    </w:p>
    <w:p>
      <w:pPr>
        <w:pStyle w:val="ListBullet"/>
      </w:pPr>
      <w:r>
        <w:t>ФГИС «Зерно» поддерживается versioned adapter architecture.</w:t>
      </w:r>
    </w:p>
    <w:p>
      <w:pPr>
        <w:pStyle w:val="ListBullet"/>
      </w:pPr>
      <w:r>
        <w:t>Satellite connector умеет найти Sentinel-2 L2A scene, получить quality metadata и построить NDVI pipeline.</w:t>
      </w:r>
    </w:p>
    <w:p>
      <w:pPr>
        <w:pStyle w:val="ListBullet"/>
      </w:pPr>
      <w:r>
        <w:t>NDVI слой имеет captured_at, source, quality and formula_version.</w:t>
      </w:r>
    </w:p>
    <w:p>
      <w:pPr>
        <w:pStyle w:val="ListBullet"/>
      </w:pPr>
      <w:r>
        <w:t>Weather records have provider/model/run provenance.</w:t>
      </w:r>
    </w:p>
    <w:p>
      <w:pPr>
        <w:pStyle w:val="ListBullet"/>
      </w:pPr>
      <w:r>
        <w:t>Telemetry raw payload отделён от canonical VehicleTelemetry.</w:t>
      </w:r>
    </w:p>
    <w:p>
      <w:pPr>
        <w:pStyle w:val="ListBullet"/>
      </w:pPr>
      <w:r>
        <w:t>Lab and file imports provide preview/validation/idempotency.</w:t>
      </w:r>
    </w:p>
    <w:p>
      <w:pPr>
        <w:pStyle w:val="ListBullet"/>
      </w:pPr>
      <w:r>
        <w:t>Scale device messages preserve raw measurement source.</w:t>
      </w:r>
    </w:p>
    <w:p>
      <w:pPr>
        <w:pStyle w:val="ListBullet"/>
      </w:pPr>
      <w:r>
        <w:t>Webhook/poll/file/stream patterns use the same inbox/outbox/error model.</w:t>
      </w:r>
    </w:p>
    <w:p>
      <w:pPr>
        <w:pStyle w:val="ListBullet"/>
      </w:pPr>
      <w:r>
        <w:t>External outage leaves domain fact intact and integration job queued/retrying.</w:t>
      </w:r>
    </w:p>
    <w:p>
      <w:pPr>
        <w:pStyle w:val="ListBullet"/>
      </w:pPr>
      <w:r>
        <w:t>Status Center shows human-readable state and actionable errors.</w:t>
      </w:r>
    </w:p>
    <w:p>
      <w:pPr>
        <w:pStyle w:val="ListBullet"/>
      </w:pPr>
      <w:r>
        <w:t>Reconciliation detects mismatches without silently rewriting closed facts.</w:t>
      </w:r>
    </w:p>
    <w:p>
      <w:pPr>
        <w:pStyle w:val="ListBullet"/>
      </w:pPr>
      <w:r>
        <w:t>LOCAL_PRIMARY continues LAN integrations without external Internet.</w:t>
      </w:r>
    </w:p>
    <w:p>
      <w:pPr>
        <w:pStyle w:val="ListBullet"/>
      </w:pPr>
      <w:r>
        <w:t>Contract tests from section 27 are implemented for pilot connectors.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482"/>
      </w:tblGrid>
      <w:tr>
        <w:trPr>
          <w:cantSplit/>
        </w:trPr>
        <w:tc>
          <w:tcPr>
            <w:tcW w:type="dxa" w:w="10482"/>
            <w:shd w:fill="E2F0D9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r>
              <w:rPr>
                <w:b/>
                <w:color w:val="17365D"/>
              </w:rPr>
              <w:t>Следующий документ</w:t>
              <w:br/>
            </w:r>
            <w:r>
              <w:rPr>
                <w:sz w:val="18"/>
              </w:rPr>
              <w:t>№14 — API Contract / OpenAPI. Там уже превратим Domain Commands, Integration/Sync endpoints и основные CRUD/read models в точные HTTP endpoints, DTO, validation schemas, pagination, filtering, error envelopes, idempotency headers, webhooks и OpenAPI rules для генерации client/server code.</w:t>
            </w:r>
          </w:p>
        </w:tc>
      </w:tr>
    </w:tbl>
    <w:p>
      <w:pPr>
        <w:pStyle w:val="SmallNote"/>
      </w:pPr>
    </w:p>
    <w:sectPr w:rsidR="00FC693F" w:rsidRPr="0006063C" w:rsidSect="00034616">
      <w:footerReference w:type="default" r:id="rId9"/>
      <w:pgSz w:w="12240" w:h="15840"/>
      <w:pgMar w:top="822" w:right="879" w:bottom="822" w:left="87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87878"/>
        <w:sz w:val="15"/>
      </w:rPr>
      <w:t>Документ №13 • Integration Specification • 25.09.2026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70" w:line="250" w:lineRule="auto"/>
    </w:pPr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1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44062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365F91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65D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Note">
    <w:name w:val="Small Note"/>
    <w:pPr>
      <w:spacing w:after="40"/>
    </w:pPr>
    <w:rPr>
      <w:rFonts w:ascii="Aptos" w:hAnsi="Aptos"/>
      <w:color w:val="5F5F5F"/>
      <w:sz w:val="15"/>
    </w:rPr>
  </w:style>
  <w:style w:type="paragraph" w:customStyle="1" w:styleId="CodeBlock">
    <w:name w:val="Code Block"/>
    <w:pPr>
      <w:spacing w:before="60" w:after="80"/>
      <w:ind w:left="227" w:right="142"/>
    </w:pPr>
    <w:rPr>
      <w:rFonts w:ascii="Consolas" w:hAnsi="Consolas"/>
      <w:sz w:val="15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