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9BD5"/>
          <w:sz w:val="21"/>
        </w:rPr>
        <w:t>ДОКУМЕНТ №19</w:t>
      </w:r>
    </w:p>
    <w:p>
      <w:pPr>
        <w:pStyle w:val="Title"/>
        <w:jc w:val="center"/>
      </w:pPr>
      <w:r>
        <w:t>Security / Personal Data / Electronic Signature / Audit</w:t>
      </w:r>
    </w:p>
    <w:p>
      <w:pPr>
        <w:jc w:val="center"/>
      </w:pPr>
      <w:r>
        <w:rPr>
          <w:i/>
          <w:sz w:val="19"/>
        </w:rPr>
        <w:t>Security Architecture для Codex: tenant isolation, IAM, device trust, 152-ФЗ, encryption, secrets, ЭП/МЧД, audit trail, Local Server, backup, incident response и security acceptance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80"/>
      </w:tblGrid>
      <w:tr>
        <w:trPr>
          <w:cantSplit/>
        </w:trPr>
        <w:tc>
          <w:tcPr>
            <w:tcW w:type="dxa" w:w="1448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Security North Star</w:t>
              <w:br/>
            </w:r>
            <w:r>
              <w:t>Безопасность не должна ломать полевую работу. Offline, Local Server, интеграции, AI и будущий IoT обязаны проходить те же identity, authorization, audit и domain boundaries. Пользователь видит простой workflow, а security complexity остаётся внутри платформы.</w:t>
            </w:r>
          </w:p>
        </w:tc>
      </w:tr>
    </w:tbl>
    <w:p>
      <w:pPr>
        <w:pStyle w:val="SmallNote"/>
      </w:pPr>
    </w:p>
    <w:p>
      <w:pPr>
        <w:jc w:val="center"/>
      </w:pPr>
      <w:r>
        <w:rPr>
          <w:sz w:val="17"/>
        </w:rPr>
        <w:t>Версия 1.0 • нормативная проверка: 26 сентября 2026 г.</w:t>
      </w:r>
    </w:p>
    <w:p>
      <w:r>
        <w:br w:type="page"/>
      </w:r>
    </w:p>
    <w:p>
      <w:pPr>
        <w:pStyle w:val="Heading1"/>
      </w:pPr>
      <w:r>
        <w:t>1. Нормативные и инженерные профили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Profile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Applicability</w:t>
            </w:r>
          </w:p>
        </w:tc>
        <w:tc>
          <w:tcPr>
            <w:tcW w:type="dxa" w:w="850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Project consequence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RU-PD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При обработке персональных данных</w:t>
            </w:r>
          </w:p>
        </w:tc>
        <w:tc>
          <w:tcPr>
            <w:tcW w:type="dxa" w:w="850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152-ФЗ: цели, основания, локализация, права субъектов, безопасность, инциденты, уведомления.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RU-ISPDN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После определения состава/уровня ИСПДн</w:t>
            </w:r>
          </w:p>
        </w:tc>
        <w:tc>
          <w:tcPr>
            <w:tcW w:type="dxa" w:w="850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ПП РФ №1119 + применимый набор мер ФСТЭК №21.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RU-ESIGN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Для юридически значимых электронных документов</w:t>
            </w:r>
          </w:p>
        </w:tc>
        <w:tc>
          <w:tcPr>
            <w:tcW w:type="dxa" w:w="850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63-ФЗ; тип подписи и полномочия задаются SignatureProfile.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RU-MCHD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Когда представитель подписывает от имени ЮЛ/ИП и нужна доверенность</w:t>
            </w:r>
          </w:p>
        </w:tc>
        <w:tc>
          <w:tcPr>
            <w:tcW w:type="dxa" w:w="850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MChDRef, проверка полномочий, срока и статуса.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RU-KII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УСЛОВНО</w:t>
            </w:r>
          </w:p>
        </w:tc>
        <w:tc>
          <w:tcPr>
            <w:tcW w:type="dxa" w:w="850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187-ФЗ не включается автоматически для АПК; отдельная квалификация субъекта/объекта.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ENG-APPSEC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Проектный baseline</w:t>
            </w:r>
          </w:p>
        </w:tc>
        <w:tc>
          <w:tcPr>
            <w:tcW w:type="dxa" w:w="850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OWASP ASVS 5.0.0 + secure SDLC; не заменяет российскую нормативную оценку.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80"/>
      </w:tblGrid>
      <w:tr>
        <w:trPr>
          <w:cantSplit/>
        </w:trPr>
        <w:tc>
          <w:tcPr>
            <w:tcW w:type="dxa" w:w="14480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Compliance не равен набору чекбоксов</w:t>
              <w:br/>
            </w:r>
            <w:r>
              <w:t>Шифрование, MFA и аудит сами по себе не дают автоматического статуса соответствия 152-ФЗ/ФСТЭК/КИИ. Продукт реализует контролируемые механизмы и evidence; юридико-техническая квалификация конкретного внедрения выполняется ответственными лицами заказчика.</w:t>
            </w:r>
          </w:p>
        </w:tc>
      </w:tr>
    </w:tbl>
    <w:p>
      <w:pPr>
        <w:pStyle w:val="SmallNote"/>
      </w:pPr>
    </w:p>
    <w:p>
      <w:pPr>
        <w:pStyle w:val="Heading1"/>
      </w:pPr>
      <w:r>
        <w:t>2. 152-ФЗ: обязательные архитектурные последствия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8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Area</w:t>
            </w:r>
          </w:p>
        </w:tc>
        <w:tc>
          <w:tcPr>
            <w:tcW w:type="dxa" w:w="1020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PD-01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Inventory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Каждое поле ПДн: субъект, категория, цель, основание, срок, система-источник, получатели.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PD-02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Purpose limitation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API/report/AI получает только данные, нужные для заявленной цели и полномочий.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PD-03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Localization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Для ПДн граждан РФ, собираемых через Интернет, базовый профиль размещает первичную запись/накопление/хранение/уточнение/извлечение в РФ, кроме предусмотренных законом исключений.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PD-04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Operator notice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PrivacyProfile хранит сведения об уведомлении/регистрации оператора и изменениях; подача не происходит автоматически без workflow.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PD-05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Security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Меры защиты отображаются в SecurityControlRegistry и deployment evidence.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PD-06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Subject requests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ACCESS/CORRECT/STOP/DELETE/WITHDRAW_CONSENT как PrivacyRequest с deadline.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PD-07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Correction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Исправления делаются с audit history; нельзя тихо переписать исторический business fact.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PD-08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Deletion/blocking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Физическое удаление отделено от legal/business retention и LegalHold.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PD-09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Cross-border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Иностранный SaaS/AI/telemetry/email provider с ПДн запрещён по умолчанию без CrossBorderTransferProfile.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PD-10</w:t>
            </w:r>
          </w:p>
        </w:tc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Breach</w:t>
            </w:r>
          </w:p>
        </w:tc>
        <w:tc>
          <w:tcPr>
            <w:tcW w:type="dxa" w:w="1020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PD incident workflow создаёт 24h и 72h statutory timers.</w:t>
            </w:r>
          </w:p>
        </w:tc>
      </w:tr>
    </w:tbl>
    <w:p>
      <w:pPr>
        <w:pStyle w:val="SmallNote"/>
      </w:pPr>
    </w:p>
    <w:p>
      <w:pPr>
        <w:pStyle w:val="Heading1"/>
      </w:pPr>
      <w:r>
        <w:t>3. Privacy Data Model</w:t>
      </w:r>
    </w:p>
    <w:p>
      <w:pPr>
        <w:pStyle w:val="CodeBlock"/>
      </w:pPr>
      <w:r>
        <w:t>PersonalDataField</w:t>
        <w:br/>
        <w:t xml:space="preserve">  entityType / fieldPath</w:t>
        <w:br/>
        <w:t xml:space="preserve">  subjectType / dataCategory / sensitivity</w:t>
        <w:br/>
        <w:t xml:space="preserve">  purposes[] / legalBasisProfiles[]</w:t>
        <w:br/>
        <w:t xml:space="preserve">  retentionProfile / maskingProfile</w:t>
        <w:br/>
        <w:t xml:space="preserve">  allowedProcessors[] / crossBorderAllowed</w:t>
        <w:br/>
        <w:br/>
        <w:t>PrivacyProcessingActivity</w:t>
        <w:br/>
        <w:t xml:space="preserve">  code / purpose / subjects / dataCategories</w:t>
        <w:br/>
        <w:t xml:space="preserve">  systems / processors / legalBasis</w:t>
        <w:br/>
        <w:t xml:space="preserve">  retention / crossBorderProfile / regulatorNoticeRef</w:t>
        <w:br/>
        <w:br/>
        <w:t>PrivacyRequest</w:t>
        <w:br/>
        <w:t xml:space="preserve">  subjectIdentityRef</w:t>
        <w:br/>
        <w:t xml:space="preserve">  type: ACCESS | CORRECT | STOP_PROCESSING | DELETE | WITHDRAW_CONSENT</w:t>
        <w:br/>
        <w:t xml:space="preserve">  receivedAt / deadline / status / evidenceRefs[]</w:t>
      </w:r>
    </w:p>
    <w:p>
      <w:pPr>
        <w:pStyle w:val="Heading1"/>
      </w:pPr>
      <w:r>
        <w:t>4. Права субъекта и сроки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Request</w:t>
            </w:r>
          </w:p>
        </w:tc>
        <w:tc>
          <w:tcPr>
            <w:tcW w:type="dxa" w:w="51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Legal/project deadline</w:t>
            </w:r>
          </w:p>
        </w:tc>
        <w:tc>
          <w:tcPr>
            <w:tcW w:type="dxa" w:w="6236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System behavior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ACCESS / information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10 рабочих дней; возможное продление не более 5 рабочих дней с мотивированным уведомлением.</w:t>
            </w:r>
          </w:p>
        </w:tc>
        <w:tc>
          <w:tcPr>
            <w:tcW w:type="dxa" w:w="623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Identity verification -&gt; scoped export -&gt; evidence.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CORRECT inaccurate data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7 рабочих дней после подтверждающих сведений.</w:t>
            </w:r>
          </w:p>
        </w:tc>
        <w:tc>
          <w:tcPr>
            <w:tcW w:type="dxa" w:w="623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Correction + downstream notification where required.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Destroy illegally obtained/unnecessary data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7 рабочих дней в соответствующем запросном контексте.</w:t>
            </w:r>
          </w:p>
        </w:tc>
        <w:tc>
          <w:tcPr>
            <w:tcW w:type="dxa" w:w="623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Block -&gt; review -&gt; destroy -&gt; DestructionEvidence.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STOP_PROCESSING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10 рабочих дней; возможное продление до 5 рабочих дней, с учётом законных исключений.</w:t>
            </w:r>
          </w:p>
        </w:tc>
        <w:tc>
          <w:tcPr>
            <w:tcW w:type="dxa" w:w="623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Privacy officer checks remaining legal bases.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Purpose achieved / consent withdrawn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Как правило, прекращение/уничтожение в 30 дней, если нет другого законного основания.</w:t>
            </w:r>
          </w:p>
        </w:tc>
        <w:tc>
          <w:tcPr>
            <w:tcW w:type="dxa" w:w="623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RetentionConflictReview / LegalHold when applicable.</w:t>
            </w:r>
          </w:p>
        </w:tc>
      </w:tr>
    </w:tbl>
    <w:p>
      <w:pPr>
        <w:pStyle w:val="SmallNote"/>
      </w:pPr>
    </w:p>
    <w:p>
      <w:pPr>
        <w:pStyle w:val="Heading1"/>
      </w:pPr>
      <w:r>
        <w:t>5. Threat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96"/>
        <w:gridCol w:w="2896"/>
        <w:gridCol w:w="2896"/>
        <w:gridCol w:w="2896"/>
        <w:gridCol w:w="2896"/>
      </w:tblGrid>
      <w:tr>
        <w:trPr>
          <w:tblHeader w:val="true"/>
        </w:trPr>
        <w:tc>
          <w:tcPr>
            <w:tcW w:type="dxa" w:w="113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Threat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Scenario</w:t>
            </w:r>
          </w:p>
        </w:tc>
        <w:tc>
          <w:tcPr>
            <w:tcW w:type="dxa" w:w="56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Controls</w:t>
            </w:r>
          </w:p>
        </w:tc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Risk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T01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Cross-tenant IDOR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Подмена UUID другого tenant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TenantContext + scoped repository + isolation tests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CRITICAL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T02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Credential theft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Пароль/token/device украден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Argon2id, MFA, rotation, revoke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T03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Lost field phone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Offline cache извлечён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Encrypted DB/files + OS keystore + wipe profile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T04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Insider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Привилегированный сотрудник злоупотребляет доступом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Least privilege, SoD, approvals, audit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T05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LAN attacker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MITM/spoof Local Server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TLS, trusted CA, mTLS gateways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T06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Ransomware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Local server/data destroyed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Immutable/offsite backups, restore drills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CRITICAL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T07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Connector compromise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Утечка 1С/ФГИС/GPS secret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Per-service identity, rotation, egress limits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T08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Webhook replay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Поддельное внешнее событие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Signature/mTLS, timestamp, inbox dedup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T09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Injection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SQL/OS/XML injection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Parameterized queries, no eval, parser hardening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CRITICAL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T10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XSS/report injection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Stored text executes in UI/Excel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Encoding, CSP, CSV/XLSX injection guard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T11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Supply chain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Зависимость/build compromised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Lockfiles, SBOM, scans, provenance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T12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IoT spoofing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Fake sensor/scale message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Device trust, raw quarantine, translator commands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T13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Audit tampering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Удаление/редактирование следов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Append-only + hash chain + checkpoints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T14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AI leakage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Cross-tenant/PII in AI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Permission-filtered retrieval/tools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T15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Backup leakage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Dump copied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Encryption + separate keys + access inventory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HIGH</w:t>
            </w:r>
          </w:p>
        </w:tc>
      </w:tr>
      <w:tr>
        <w:trPr>
          <w:cantSplit/>
        </w:trPr>
        <w:tc>
          <w:tcPr>
            <w:tcW w:type="dxa" w:w="113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T16</w:t>
            </w:r>
          </w:p>
        </w:tc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Split brain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Local+Cloud accept writes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AuthorityMode hard enforcement</w:t>
            </w:r>
          </w:p>
        </w:tc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CRITICAL</w:t>
            </w:r>
          </w:p>
        </w:tc>
      </w:tr>
    </w:tbl>
    <w:p>
      <w:pPr>
        <w:pStyle w:val="SmallNote"/>
      </w:pPr>
    </w:p>
    <w:p>
      <w:pPr>
        <w:pStyle w:val="Heading1"/>
      </w:pPr>
      <w:r>
        <w:t>6. Identity &amp; Authentication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80"/>
      </w:tblGrid>
      <w:tr>
        <w:trPr>
          <w:cantSplit/>
        </w:trPr>
        <w:tc>
          <w:tcPr>
            <w:tcW w:type="dxa" w:w="1448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V1 IAM decision</w:t>
              <w:br/>
            </w:r>
            <w:r>
              <w:t>V1 использует встроенный NestJS Identity module + PostgreSQL и provider-neutral OIDC federation option. Внешний IdP/Keycloak не является обязательной зависимостью Local Server. Корпоративный SSO подключается adapter-ом.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Area</w:t>
            </w:r>
          </w:p>
        </w:tc>
        <w:tc>
          <w:tcPr>
            <w:tcW w:type="dxa" w:w="113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V1 requirement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Password hashing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Argon2id, unique salt, versioned parameters, rehash-on-login after policy upgrade.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Password policy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Разрешены длинные passphrases; блок common/compromised passwords при доступном профиле; не требовать бессмысленную календарную смену без policy.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MFA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Обязательно для SYSTEM_ADMIN, SECURITY_ADMIN, SIGNATURE_ADMIN и прочих привилегированных ролей по SecurityProfile.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MFA method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TOTP baseline; WebAuthn/passkeys roadmap; SMS не preferred factor.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Login defense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Rate limit, progressive delay, generic errors without account enumeration.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Sessions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Short-lived access token + rotating opaque refresh token, hash at rest.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Replay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Reuse старого refresh token revokes token family/session.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Device list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User/admin sees and can revoke sessions/devices.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Federation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OIDC identity maps to internal user/membership; external groups do not bypass internal scopes.</w:t>
            </w:r>
          </w:p>
        </w:tc>
      </w:tr>
    </w:tbl>
    <w:p>
      <w:pPr>
        <w:pStyle w:val="SmallNote"/>
      </w:pPr>
    </w:p>
    <w:p>
      <w:pPr>
        <w:pStyle w:val="Heading1"/>
      </w:pPr>
      <w:r>
        <w:t>7. Session &amp; Token Model</w:t>
      </w:r>
    </w:p>
    <w:p>
      <w:pPr>
        <w:pStyle w:val="CodeBlock"/>
      </w:pPr>
      <w:r>
        <w:t>AuthSession</w:t>
        <w:br/>
        <w:t xml:space="preserve">  id / userId / tenantId / deviceId</w:t>
        <w:br/>
        <w:t xml:space="preserve">  authStrength / createdAt / lastSeenAt</w:t>
        <w:br/>
        <w:t xml:space="preserve">  refreshTokenFamilyId / revokedAt / revokeReason</w:t>
        <w:br/>
        <w:br/>
        <w:t>RefreshToken</w:t>
        <w:br/>
        <w:t xml:space="preserve">  tokenHash / familyId / generation</w:t>
        <w:br/>
        <w:t xml:space="preserve">  expiresAt / consumedAt / replacedByHash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Token</w:t>
            </w:r>
          </w:p>
        </w:tc>
        <w:tc>
          <w:tcPr>
            <w:tcW w:type="dxa" w:w="113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Baseline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Access token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5-15 min baseline, exact value SecurityProfile. Minimal stable claims, not full permission matrix.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Refresh token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Opaque rotating token, 7-30 day profile by device class; only hash stored.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Offline PermissionSnapshot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Separate signed/verified object; never used as refresh token.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Service credential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Per connector/service identity, no global API key.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Device credential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Per gateway/installation, independently revocable.</w:t>
            </w:r>
          </w:p>
        </w:tc>
      </w:tr>
    </w:tbl>
    <w:p>
      <w:pPr>
        <w:pStyle w:val="SmallNote"/>
      </w:pPr>
    </w:p>
    <w:p>
      <w:pPr>
        <w:pStyle w:val="Heading1"/>
      </w:pPr>
      <w:r>
        <w:t>8. Authorization: RBAC + scope-aware ABAC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Layer</w:t>
            </w:r>
          </w:p>
        </w:tc>
        <w:tc>
          <w:tcPr>
            <w:tcW w:type="dxa" w:w="56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Question</w:t>
            </w:r>
          </w:p>
        </w:tc>
        <w:tc>
          <w:tcPr>
            <w:tcW w:type="dxa" w:w="6803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Example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RBAC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Разрешена ли операция роли?</w:t>
            </w:r>
          </w:p>
        </w:tc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WAREHOUSE_OPERATOR can issue stock.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Scope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Объект входит в org/site/warehouse/field scope?</w:t>
            </w:r>
          </w:p>
        </w:tc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Only Warehouse A.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Relationship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Пользователь assignee/owner/responsible?</w:t>
            </w:r>
          </w:p>
        </w:tc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Mechanizer completes assigned task.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State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State machine допускает command?</w:t>
            </w:r>
          </w:p>
        </w:tc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Cannot complete CANCELLED.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Risk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Требуется authority/MFA/approval?</w:t>
            </w:r>
          </w:p>
        </w:tc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Closed correction elevated workflow.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Classification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Разрешено ли поле/колонка?</w:t>
            </w:r>
          </w:p>
        </w:tc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Employee phone masked for other roles.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80"/>
      </w:tblGrid>
      <w:tr>
        <w:trPr>
          <w:cantSplit/>
        </w:trPr>
        <w:tc>
          <w:tcPr>
            <w:tcW w:type="dxa" w:w="14480"/>
            <w:shd w:fill="FCE4D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Deny by default</w:t>
              <w:br/>
            </w:r>
            <w:r>
              <w:t>Каждый endpoint/command объявляет permission code; репозиторий tenant-scoped; object scope enforced server-side; field masking до serialization. Скрытие кнопки frontend-ом не является контролем доступа.</w:t>
            </w:r>
          </w:p>
        </w:tc>
      </w:tr>
    </w:tbl>
    <w:p>
      <w:pPr>
        <w:pStyle w:val="SmallNote"/>
      </w:pPr>
    </w:p>
    <w:p>
      <w:pPr>
        <w:pStyle w:val="Heading1"/>
      </w:pPr>
      <w:r>
        <w:t>9. Tenant Isolation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Layer</w:t>
            </w:r>
          </w:p>
        </w:tc>
        <w:tc>
          <w:tcPr>
            <w:tcW w:type="dxa" w:w="113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Control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Application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tenant_id только из authenticated context; normal API не доверяет tenantId в body/query.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Database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tenant_id NOT NULL; tenant-aware unique indexes; constraints include tenant where required.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Repository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TenantContext mandatory; unscoped raw query restricted/security-reviewed.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PostgreSQL RLS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Defense-in-depth option for highest-risk shared tables; app guards still mandatory.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Object storage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Tenant prefix/ACL metadata + authorization before signed URL.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Redis/BullMQ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Payload stores refs; worker reloads under tenant context.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AI/vector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Tenant filter enforced before retrieval; no user-selectable cross-tenant namespace.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Export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Job snapshots caller scope; cannot expand after creation.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Break-glass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Reason + approval + MFA + expiry + full audit.</w:t>
            </w:r>
          </w:p>
        </w:tc>
      </w:tr>
    </w:tbl>
    <w:p>
      <w:pPr>
        <w:pStyle w:val="SmallNote"/>
      </w:pPr>
    </w:p>
    <w:p>
      <w:pPr>
        <w:pStyle w:val="Heading1"/>
      </w:pPr>
      <w:r>
        <w:t>10. Data Classification &amp; Masking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28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Class</w:t>
            </w:r>
          </w:p>
        </w:tc>
        <w:tc>
          <w:tcPr>
            <w:tcW w:type="dxa" w:w="51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Examples</w:t>
            </w:r>
          </w:p>
        </w:tc>
        <w:tc>
          <w:tcPr>
            <w:tcW w:type="dxa" w:w="6803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Baseline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PUBLIC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Explicit public reference content</w:t>
            </w:r>
          </w:p>
        </w:tc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Public only when definition says PUBLIC.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INTERNAL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Routine enterprise data</w:t>
            </w:r>
          </w:p>
        </w:tc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Authenticated tenant members by scope.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CONFIDENTIAL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Costs, contracts, operational commercial data</w:t>
            </w:r>
          </w:p>
        </w:tc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Explicit role/scope, audited export.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PERSONAL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Employee/contact personal data</w:t>
            </w:r>
          </w:p>
        </w:tc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Purpose + role + masking.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SENSITIVE_PERSONAL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Special/biometric categories if introduced</w:t>
            </w:r>
          </w:p>
        </w:tc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Disabled baseline; separate legal/security review.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SECRET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Passwords/tokens/private keys/API secrets</w:t>
            </w:r>
          </w:p>
        </w:tc>
        <w:tc>
          <w:tcPr>
            <w:tcW w:type="dxa" w:w="6803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Dedicated secret/signature subsystem; never reports/logs.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Field type</w:t>
            </w:r>
          </w:p>
        </w:tc>
        <w:tc>
          <w:tcPr>
            <w:tcW w:type="dxa" w:w="1077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Rule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Phone/email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Full only permitted roles; otherwise masked.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Passport/SNILS/physical-person INN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Collect only explicit processing activity; export-restricted.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Salary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Separate permission and scope.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GPS linked to employee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Purpose/retention/access profile; may be personal data due linkage.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Photo/voice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Do not automatically classify as biometric; biometric processing needs separate qualification.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Health data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Not baseline domain; adding it requires sensitive-PD design review.</w:t>
            </w:r>
          </w:p>
        </w:tc>
      </w:tr>
    </w:tbl>
    <w:p>
      <w:pPr>
        <w:pStyle w:val="SmallNote"/>
      </w:pPr>
    </w:p>
    <w:p>
      <w:pPr>
        <w:pStyle w:val="Heading1"/>
      </w:pPr>
      <w:r>
        <w:t>11. Cryptography &amp; Key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Area</w:t>
            </w:r>
          </w:p>
        </w:tc>
        <w:tc>
          <w:tcPr>
            <w:tcW w:type="dxa" w:w="113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TLS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TLS 1.2 minimum, prefer 1.3; HSTS after production readiness.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Mobile DB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Encrypted SQLite/Drift; key in OS Keystore/Keychain.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PostgreSQL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Encrypted volume/disk; field encryption only for narrowly selected values.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Attachments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Storage encryption + optional application encryption for high-risk evidence.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Backups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Encrypted with separate backup key.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Secrets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SecretStore/envelope encryption; never plaintext repo/config.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Passwords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Argon2id, never SHA/MD5/reversible encryption.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Certified/GOST profile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If applicable assessment requires certified Russian crypto, use certified CSP/HSM/gateway; ordinary OpenSSL/AES must not be presented as satisfying that requirement.</w:t>
            </w:r>
          </w:p>
        </w:tc>
      </w:tr>
    </w:tbl>
    <w:p>
      <w:pPr>
        <w:pStyle w:val="SmallNote"/>
      </w:pPr>
    </w:p>
    <w:p>
      <w:pPr>
        <w:pStyle w:val="CodeBlock"/>
      </w:pPr>
      <w:r>
        <w:t>SecretReference</w:t>
        <w:br/>
        <w:t xml:space="preserve">  id / tenantId? / purpose</w:t>
        <w:br/>
        <w:t xml:space="preserve">  provider: LOCAL_SECRETSTORE | VAULT | HSM | OS_KEYSTORE | EXTERNAL_CSP</w:t>
        <w:br/>
        <w:t xml:space="preserve">  locator / version / rotatedAt / expiresAt / status</w:t>
        <w:br/>
        <w:br/>
        <w:t>Normal GET API never returns secret value.</w:t>
      </w:r>
    </w:p>
    <w:p>
      <w:pPr>
        <w:pStyle w:val="Heading1"/>
      </w:pPr>
      <w:r>
        <w:t>12. Mobile / Local Server / Device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Area</w:t>
            </w:r>
          </w:p>
        </w:tc>
        <w:tc>
          <w:tcPr>
            <w:tcW w:type="dxa" w:w="113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Device registration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installationId -&gt; registered deviceId; independent revoke.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Shared device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Logout wipes workspace/cache by default.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Personal device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Encrypted cache may remain by tenant policy; re-auth to unlock.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Root/jailbreak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Risk signal; policy can block but not sole security boundary.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Push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Minimal redacted payload + opaque deep link.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Offline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PermissionSnapshot expiry/risk classes from Doc 12.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Local Server zones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Separate user/server/industrial zones where feasible.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Postgres/Redis/MinIO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Not exposed to user/public network directly.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Local TLS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Trusted local CA/profile; no permanent ignore-certificate mode.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Internet outage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Security remains active locally; no fail-open Cloud write.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Gateway/device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Per-device/gateway credential, revocation, message dedup.</w:t>
            </w:r>
          </w:p>
        </w:tc>
      </w:tr>
    </w:tbl>
    <w:p>
      <w:pPr>
        <w:pStyle w:val="SmallNote"/>
      </w:pPr>
    </w:p>
    <w:p>
      <w:pPr>
        <w:pStyle w:val="Heading1"/>
      </w:pPr>
      <w:r>
        <w:t>13. IoT / Edge / OT Security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Area</w:t>
            </w:r>
          </w:p>
        </w:tc>
        <w:tc>
          <w:tcPr>
            <w:tcW w:type="dxa" w:w="113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Raw data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Untrusted until authenticated/validated; append with source/quality.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Domain transition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Measurement never changes stock/task/batch directly; translator emits explicit command.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Control command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Separate permission, actor/rule, acknowledgement and audit.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Legacy PLC/serial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Assume weak/no native security; network segmentation + gateway allowlist.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Firmware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Inventory versions; signed firmware where supported; update audit.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Safety-critical control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Outside V1; separate functional-safety/hazard design.</w:t>
            </w:r>
          </w:p>
        </w:tc>
      </w:tr>
    </w:tbl>
    <w:p>
      <w:pPr>
        <w:pStyle w:val="SmallNote"/>
      </w:pPr>
    </w:p>
    <w:p>
      <w:pPr>
        <w:pStyle w:val="Heading1"/>
      </w:pPr>
      <w:r>
        <w:t>14. Security Logging &amp; Tamper-evident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Category</w:t>
            </w:r>
          </w:p>
        </w:tc>
        <w:tc>
          <w:tcPr>
            <w:tcW w:type="dxa" w:w="113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Log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Authentication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Success/failure, MFA, recovery, revoke, refresh replay.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Authorization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High-risk allow/deny, scope/role changes.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Admin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Security/rule/integration/secret metadata changes.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Export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Actor, scope, definition, file hash.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Signature/MChD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Request, signer ref, verify status, authority evidence.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Privacy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Subject requests, block/delete, PD incidents.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Secrets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Access metadata only; never secret value.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Logs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Prefer IDs over full PII payloads.</w:t>
            </w:r>
          </w:p>
        </w:tc>
      </w:tr>
    </w:tbl>
    <w:p>
      <w:pPr>
        <w:pStyle w:val="SmallNote"/>
      </w:pPr>
    </w:p>
    <w:p>
      <w:pPr>
        <w:pStyle w:val="CodeBlock"/>
      </w:pPr>
      <w:r>
        <w:t>audit_event</w:t>
        <w:br/>
        <w:t xml:space="preserve">  id UUIDv7 / tenant_id / sequence</w:t>
        <w:br/>
        <w:t xml:space="preserve">  recorded_at / actor_type / actor_id</w:t>
        <w:br/>
        <w:t xml:space="preserve">  action / resource_type / resource_id / outcome</w:t>
        <w:br/>
        <w:t xml:space="preserve">  reason / correlation_id</w:t>
        <w:br/>
        <w:t xml:space="preserve">  data_classification</w:t>
        <w:br/>
        <w:t xml:space="preserve">  prev_hash / event_hash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Control</w:t>
            </w:r>
          </w:p>
        </w:tc>
        <w:tc>
          <w:tcPr>
            <w:tcW w:type="dxa" w:w="113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Append-only role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Application can INSERT but not UPDATE/DELETE audit events.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Sequence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Per-tenant/security partition sequence for gap detection.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Hash chain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HMAC/hash profile over canonical fields + prev_hash; key separate from DB.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Checkpoint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Periodic checkpoint outside primary DB/failure domain; optionally signed.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Corrections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New audit event; never edit old event.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Audit reader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Separate role; support/admin cannot erase own traces.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80"/>
      </w:tblGrid>
      <w:tr>
        <w:trPr>
          <w:cantSplit/>
        </w:trPr>
        <w:tc>
          <w:tcPr>
            <w:tcW w:type="dxa" w:w="14480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Не blockchain и не ЭП</w:t>
              <w:br/>
            </w:r>
            <w:r>
              <w:t>Hash chain повышает обнаруживаемость подмены audit log, но не является блокчейном и не заменяет юридическую электронную подпись. Для юридических документов действует отдельный SignatureProfile.</w:t>
            </w:r>
          </w:p>
        </w:tc>
      </w:tr>
    </w:tbl>
    <w:p>
      <w:pPr>
        <w:pStyle w:val="SmallNote"/>
      </w:pPr>
    </w:p>
    <w:p>
      <w:pPr>
        <w:pStyle w:val="Heading1"/>
      </w:pPr>
      <w:r>
        <w:t>15. Electronic Signature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Type</w:t>
            </w:r>
          </w:p>
        </w:tc>
        <w:tc>
          <w:tcPr>
            <w:tcW w:type="dxa" w:w="1077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Handling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Internal approval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Authenticated command + audit; не называется ЭП без соответствующего legal profile.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Simple e-sign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Только explicit SignatureProfile/legal basis/agreement.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Enhanced unqualified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Adapter/profile where legally accepted.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Qualified e-sign (КЭП)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External/certified signing/CSP boundary; exact DocumentVersion hash/bytes signed.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External system signature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FGIS/EDO/marking signs/accepts; store ExternalSignatureRef/status.</w:t>
            </w:r>
          </w:p>
        </w:tc>
      </w:tr>
    </w:tbl>
    <w:p>
      <w:pPr>
        <w:pStyle w:val="SmallNote"/>
      </w:pPr>
    </w:p>
    <w:p>
      <w:pPr>
        <w:pStyle w:val="CodeBlock"/>
      </w:pPr>
      <w:r>
        <w:t>SignatureRequest</w:t>
        <w:br/>
        <w:t xml:space="preserve">  documentVersionId / signatureType / signerUserId</w:t>
        <w:br/>
        <w:t xml:space="preserve">  signerCertificateRef? / authorityRequirement</w:t>
        <w:br/>
        <w:t xml:space="preserve">  mchdRequired / mchdRef? / status / expiresAt</w:t>
        <w:br/>
        <w:br/>
        <w:t>SignatureRef</w:t>
        <w:br/>
        <w:t xml:space="preserve">  signatureContainerRef / signedHash</w:t>
        <w:br/>
        <w:t xml:space="preserve">  algorithmMetadata / certificateMetadata</w:t>
        <w:br/>
        <w:t xml:space="preserve">  verificationStatus / verifiedAt / externalProviderRef</w:t>
      </w:r>
    </w:p>
    <w:p>
      <w:pPr>
        <w:pStyle w:val="Heading1"/>
      </w:pPr>
      <w:r>
        <w:t>16. МЧД / полномочия представителя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Field</w:t>
            </w:r>
          </w:p>
        </w:tc>
        <w:tc>
          <w:tcPr>
            <w:tcW w:type="dxa" w:w="1077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Rule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mchdId / externalId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Stable reference.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formatVersion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Versioned; единый формат и формы отдельных ГИС могут различаться.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principal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ЮЛ/ИП, выдающее полномочие.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representative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Signer identity.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powers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Machine-readable authority codes/text refs.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validFrom/validTo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Must be valid at signing.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revocationStatus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Revalidate by profile.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verificationEvidence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Timestamp/provider/response hash/status.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80"/>
      </w:tblGrid>
      <w:tr>
        <w:trPr>
          <w:cantSplit/>
        </w:trPr>
        <w:tc>
          <w:tcPr>
            <w:tcW w:type="dxa" w:w="1448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ФНС baseline 2026</w:t>
              <w:br/>
            </w:r>
            <w:r>
              <w:t>ФНС продолжает единое хранилище МЧД и указывает единый формат 003/EMCHD_1 для обмена, при этом отдельные государственные системы могут определять собственные формы. Поэтому MChD adapter/profile остаётся versioned.</w:t>
            </w:r>
          </w:p>
        </w:tc>
      </w:tr>
    </w:tbl>
    <w:p>
      <w:pPr>
        <w:pStyle w:val="SmallNote"/>
      </w:pPr>
    </w:p>
    <w:p>
      <w:pPr>
        <w:pStyle w:val="CodeBlock"/>
      </w:pPr>
      <w:r>
        <w:t>DocumentVersion GENERATED</w:t>
        <w:br/>
        <w:t xml:space="preserve">  -&gt; validate legal profile</w:t>
        <w:br/>
        <w:t xml:space="preserve">  -&gt; resolve signer</w:t>
        <w:br/>
        <w:t xml:space="preserve">  -&gt; if representative: verify MChD</w:t>
        <w:br/>
        <w:t xml:space="preserve">  -&gt; SignatureRequest</w:t>
        <w:br/>
        <w:t xml:space="preserve">  -&gt; CSP/signing adapter/external system</w:t>
        <w:br/>
        <w:t xml:space="preserve">  -&gt; verify exact hash</w:t>
        <w:br/>
        <w:t xml:space="preserve">  -&gt; SignatureRef VERIFIED</w:t>
        <w:br/>
        <w:t xml:space="preserve">  -&gt; document.signed</w:t>
        <w:br/>
        <w:t xml:space="preserve">  -&gt; immutable signed version</w:t>
      </w:r>
    </w:p>
    <w:p>
      <w:pPr>
        <w:pStyle w:val="Heading1"/>
      </w:pPr>
      <w:r>
        <w:t>17. ИСПДн / ФСТЭК №21: control mapping scaffold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Group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Meaning</w:t>
            </w:r>
          </w:p>
        </w:tc>
        <w:tc>
          <w:tcPr>
            <w:tcW w:type="dxa" w:w="907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Project mapping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ИАФ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Identification/authentication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IAM, device identity, MFA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УПД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Access management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RBAC/ABAC/scopes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ОПС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Software restrictions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Host/container allowlist profile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ЗНИ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Media protection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Encrypted media/backups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РСБ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Security event logging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Security logs/audit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АВЗ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Antivirus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Host/deployment policy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СОВ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Intrusion detection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Deployment/SOC profile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АНЗ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Security analysis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SAST/DAST/SCA/vulnerability mgmt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ОЦЛ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Integrity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Hashes/DB constraints/signed artifacts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ОДТ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Availability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Backup/restore/offline continuity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ЗСВ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Virtualization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Container/host hardening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ЗТС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Technical means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Physical/server controls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ЗИС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Network/system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TLS/firewall/segmentation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ИНЦ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Incident response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IncidentCase/runbooks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УКФ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Configuration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Versioned config/IaC/inventory</w:t>
            </w:r>
          </w:p>
        </w:tc>
      </w:tr>
    </w:tbl>
    <w:p>
      <w:pPr>
        <w:pStyle w:val="SmallNote"/>
      </w:pPr>
    </w:p>
    <w:p>
      <w:r>
        <w:t>Конкретный обязательный набор мер определяется уровнем защищённости, угрозами и проектом защиты. Таблица — traceability scaffold, а не универсальное заявление о сертификации.</w:t>
      </w:r>
    </w:p>
    <w:p>
      <w:pPr>
        <w:pStyle w:val="Heading1"/>
      </w:pPr>
      <w:r>
        <w:t>18. 187-ФЗ / КИИ applicability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Question</w:t>
            </w:r>
          </w:p>
        </w:tc>
        <w:tc>
          <w:tcPr>
            <w:tcW w:type="dxa" w:w="1077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Rule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АПК автоматически КИИ?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Нет. В действующем перечне сфер сельское хозяйство не указано отдельной сферой.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Заказчик может быть субъектом КИИ?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Да, если конкретное российское ЮЛ и его системы/АСУ отвечают действующему определению в перечисленных законом сферах.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Product behavior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KII_APPLICABILITY_PROFILE = NOT_ASSESSED / NOT_APPLICABLE / SUBJECT / SIGNIFICANT_OBJECT.</w:t>
            </w:r>
          </w:p>
        </w:tc>
      </w:tr>
      <w:tr>
        <w:trPr>
          <w:cantSplit/>
        </w:trPr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Если применимо</w:t>
            </w:r>
          </w:p>
        </w:tc>
        <w:tc>
          <w:tcPr>
            <w:tcW w:type="dxa" w:w="107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Отдельный security project: категорирование, required controls, incident interaction, certified solutions as applicable.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80"/>
      </w:tblGrid>
      <w:tr>
        <w:trPr>
          <w:cantSplit/>
        </w:trPr>
        <w:tc>
          <w:tcPr>
            <w:tcW w:type="dxa" w:w="14480"/>
            <w:shd w:fill="FFF2CC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PLC != KII автоматически</w:t>
              <w:br/>
            </w:r>
            <w:r>
              <w:t>Наличие производственной линии, PLC, MES-lite или промышленного оборудования само по себе не делает объект КИИ. Решение зависит от субъекта, сферы и категорирования.</w:t>
            </w:r>
          </w:p>
        </w:tc>
      </w:tr>
    </w:tbl>
    <w:p>
      <w:pPr>
        <w:pStyle w:val="SmallNote"/>
      </w:pPr>
    </w:p>
    <w:p>
      <w:pPr>
        <w:pStyle w:val="Heading1"/>
      </w:pPr>
      <w:r>
        <w:t>19. Secure SDLC / OWASP ASVS 5.0.0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2835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Stage</w:t>
            </w:r>
          </w:p>
        </w:tc>
        <w:tc>
          <w:tcPr>
            <w:tcW w:type="dxa" w:w="11906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Design</w:t>
            </w:r>
          </w:p>
        </w:tc>
        <w:tc>
          <w:tcPr>
            <w:tcW w:type="dxa" w:w="119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Threat model + data classification/privacy review for high-risk features.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Coding</w:t>
            </w:r>
          </w:p>
        </w:tc>
        <w:tc>
          <w:tcPr>
            <w:tcW w:type="dxa" w:w="119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Type/lint, secure patterns, no secrets, dependency pinning.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PR</w:t>
            </w:r>
          </w:p>
        </w:tc>
        <w:tc>
          <w:tcPr>
            <w:tcW w:type="dxa" w:w="119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Reviewer; security reviewer for IAM/permissions/crypto/signature/parser/import.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CI</w:t>
            </w:r>
          </w:p>
        </w:tc>
        <w:tc>
          <w:tcPr>
            <w:tcW w:type="dxa" w:w="119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SAST + secret scan + SCA/CVE + SBOM.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Container</w:t>
            </w:r>
          </w:p>
        </w:tc>
        <w:tc>
          <w:tcPr>
            <w:tcW w:type="dxa" w:w="119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Image scan, non-root where feasible, pinned release digest.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DAST</w:t>
            </w:r>
          </w:p>
        </w:tc>
        <w:tc>
          <w:tcPr>
            <w:tcW w:type="dxa" w:w="119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Staging dynamic scan for release candidates.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Pen test</w:t>
            </w:r>
          </w:p>
        </w:tc>
        <w:tc>
          <w:tcPr>
            <w:tcW w:type="dxa" w:w="119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Before major rollout and after material security architecture change.</w:t>
            </w:r>
          </w:p>
        </w:tc>
      </w:tr>
      <w:tr>
        <w:trPr>
          <w:cantSplit/>
        </w:trPr>
        <w:tc>
          <w:tcPr>
            <w:tcW w:type="dxa" w:w="2835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Patch</w:t>
            </w:r>
          </w:p>
        </w:tc>
        <w:tc>
          <w:tcPr>
            <w:tcW w:type="dxa" w:w="119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Severity-based remediation SLA.</w:t>
            </w:r>
          </w:p>
        </w:tc>
      </w:tr>
    </w:tbl>
    <w:p>
      <w:pPr>
        <w:pStyle w:val="SmallNote"/>
      </w:pPr>
    </w:p>
    <w:p>
      <w:pPr>
        <w:pStyle w:val="Heading1"/>
      </w:pPr>
      <w:r>
        <w:t>20. Software Supply Chain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Control</w:t>
            </w:r>
          </w:p>
        </w:tc>
        <w:tc>
          <w:tcPr>
            <w:tcW w:type="dxa" w:w="113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Lockfiles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Committed; CI uses frozen installs.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SBOM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CycloneDX/SPDX-compatible release SBOM.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Provenance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Release artifact tied to commit/tag/build run.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Registry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No runtime latest tags; approved registries/digests.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Updates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Automated PRs + tests, not auto-prod deploy.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CI secrets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Short-lived/OIDC credentials where possible.</w:t>
            </w:r>
          </w:p>
        </w:tc>
      </w:tr>
    </w:tbl>
    <w:p>
      <w:pPr>
        <w:pStyle w:val="SmallNote"/>
      </w:pPr>
    </w:p>
    <w:p>
      <w:pPr>
        <w:pStyle w:val="Heading1"/>
      </w:pPr>
      <w:r>
        <w:t>21. Backup / Restore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Area</w:t>
            </w:r>
          </w:p>
        </w:tc>
        <w:tc>
          <w:tcPr>
            <w:tcW w:type="dxa" w:w="113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3-2-1 target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3 copies, 2 failure/media domains, 1 offsite/isolated where deployment permits.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Encryption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Backup encrypted; key separate.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Immutability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At least one immutable/object-lock/offline copy per risk profile.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PostgreSQL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Full + WAL/PITR profile.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Objects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MinIO/S3 versioning/backup.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Secrets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Separate recovery; no plaintext secrets in DB dump.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Restore test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Scheduled restore with evidence and measured RPO/RTO.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Privacy deletion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Backup expiry/cryptographic deletion/legal policy reconciled explicitly.</w:t>
            </w:r>
          </w:p>
        </w:tc>
      </w:tr>
    </w:tbl>
    <w:p>
      <w:pPr>
        <w:pStyle w:val="SmallNote"/>
      </w:pPr>
    </w:p>
    <w:p>
      <w:pPr>
        <w:pStyle w:val="Heading1"/>
      </w:pPr>
      <w:r>
        <w:t>22. Security Incident Management</w:t>
      </w:r>
    </w:p>
    <w:p>
      <w:pPr>
        <w:pStyle w:val="CodeBlock"/>
      </w:pPr>
      <w:r>
        <w:t>SecurityIncident</w:t>
        <w:br/>
        <w:t xml:space="preserve">  id / severity / category</w:t>
        <w:br/>
        <w:t xml:space="preserve">  detectedAt / confirmedAt</w:t>
        <w:br/>
        <w:t xml:space="preserve">  affectedTenants[] / affectedSystems[]</w:t>
        <w:br/>
        <w:t xml:space="preserve">  personalDataIncident / kiiIncident</w:t>
        <w:br/>
        <w:t xml:space="preserve">  owner / containmentActions[] / evidenceRefs[]</w:t>
        <w:br/>
        <w:t xml:space="preserve">  notificationDeadlines[] / rootCause /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226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Severity</w:t>
            </w:r>
          </w:p>
        </w:tc>
        <w:tc>
          <w:tcPr>
            <w:tcW w:type="dxa" w:w="51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Meaning</w:t>
            </w:r>
          </w:p>
        </w:tc>
        <w:tc>
          <w:tcPr>
            <w:tcW w:type="dxa" w:w="7370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Response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SEV0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Event/no confirmed impact</w:t>
            </w:r>
          </w:p>
        </w:tc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Log/triage.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SEV1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Low isolated issue</w:t>
            </w:r>
          </w:p>
        </w:tc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Owner + remediation.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SEV2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Material vulnerability/limited compromise</w:t>
            </w:r>
          </w:p>
        </w:tc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Security lead; containment/customer assessment.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SEV3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Confirmed unauthorized access/data loss/service compromise</w:t>
            </w:r>
          </w:p>
        </w:tc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Incident team + privacy/legal assessment.</w:t>
            </w:r>
          </w:p>
        </w:tc>
      </w:tr>
      <w:tr>
        <w:trPr>
          <w:cantSplit/>
        </w:trPr>
        <w:tc>
          <w:tcPr>
            <w:tcW w:type="dxa" w:w="226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SEV4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Widespread/critical compromise/safety-continuity impact</w:t>
            </w:r>
          </w:p>
        </w:tc>
        <w:tc>
          <w:tcPr>
            <w:tcW w:type="dxa" w:w="7370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Crisis procedure + applicable regulatory workflows.</w:t>
            </w:r>
          </w:p>
        </w:tc>
      </w:tr>
    </w:tbl>
    <w:p>
      <w:pPr>
        <w:pStyle w:val="SmallNote"/>
      </w:pPr>
    </w:p>
    <w:p>
      <w:pPr>
        <w:pStyle w:val="Heading2"/>
      </w:pPr>
      <w:r>
        <w:t>22.1. PD incident statutory timer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Time</w:t>
            </w:r>
          </w:p>
        </w:tc>
        <w:tc>
          <w:tcPr>
            <w:tcW w:type="dxa" w:w="113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System action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T+0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Create incident, preserve evidence, assign privacy/security owner.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Before 24h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Prepare/send required initial regulator notification if statutory criteria met; store evidence.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Before 72h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Record investigation result and second notification evidence.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Post-containment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Root cause, affected data/subjects, corrective controls, post-incident review.</w:t>
            </w:r>
          </w:p>
        </w:tc>
      </w:tr>
    </w:tbl>
    <w:p>
      <w:pPr>
        <w:pStyle w:val="SmallNote"/>
      </w:pPr>
    </w:p>
    <w:p>
      <w:pPr>
        <w:pStyle w:val="Heading1"/>
      </w:pPr>
      <w:r>
        <w:t>23. Vulnerability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56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Severity</w:t>
            </w:r>
          </w:p>
        </w:tc>
        <w:tc>
          <w:tcPr>
            <w:tcW w:type="dxa" w:w="907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Project engineering remediation target</w:t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Critical exploitable / auth bypass / cross-tenant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Immediate mitigation; patch target &lt;=24-72h depending validation.</w:t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High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&lt;=7 calendar days.</w:t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Medium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&lt;=30 days.</w:t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Low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&lt;=90 days/planned release.</w:t>
            </w:r>
          </w:p>
        </w:tc>
      </w:tr>
    </w:tbl>
    <w:p>
      <w:pPr>
        <w:pStyle w:val="SmallNote"/>
      </w:pPr>
    </w:p>
    <w:p>
      <w:r>
        <w:t>Это проектные инженерные SLA, не нормативные сроки; deployment profile может быть строже.</w:t>
      </w:r>
    </w:p>
    <w:p>
      <w:pPr>
        <w:pStyle w:val="Heading1"/>
      </w:pPr>
      <w:r>
        <w:t>24. API / Import / File Security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Surface</w:t>
            </w:r>
          </w:p>
        </w:tc>
        <w:tc>
          <w:tcPr>
            <w:tcW w:type="dxa" w:w="113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Control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DTO/input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Whitelist + limits + reject forbidden mass-assignment fields.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SQL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Parameterized queries only.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Files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Size/MIME sniff/hash/malware profile.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Archives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Zip bomb/path traversal controls.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GIS parsers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Isolated jobs, geometry/CRS/size limits.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CSV/XLSX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Formula injection defense + preview.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XML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XXE disabled; depth/size limits.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Webhook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Verify signature/raw body before business parsing.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Outbound HTTP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SSRF allowlist/private-network restrictions.</w:t>
            </w:r>
          </w:p>
        </w:tc>
      </w:tr>
    </w:tbl>
    <w:p>
      <w:pPr>
        <w:pStyle w:val="SmallNote"/>
      </w:pPr>
    </w:p>
    <w:p>
      <w:pPr>
        <w:pStyle w:val="Heading1"/>
      </w:pPr>
      <w:r>
        <w:t>25. AI Security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Risk</w:t>
            </w:r>
          </w:p>
        </w:tc>
        <w:tc>
          <w:tcPr>
            <w:tcW w:type="dxa" w:w="113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RAG scope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Tenant + permission filters applied before retrieval.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External model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SECRET/PD not sent unless AI DataProfile explicitly permits and legal/data-location profile allows.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Tools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No raw DB; only permission-aware application tools/commands.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Writes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Draft/recommend by default; autonomous action only explicit AutomationPolicy.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Prompt injection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External text untrusted; cannot override system/tool policy.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Training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Tenant data not used for model training absent separate explicit agreement/policy.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Audit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Model/policy version, sources, tool calls and resulting action recorded.</w:t>
            </w:r>
          </w:p>
        </w:tc>
      </w:tr>
    </w:tbl>
    <w:p>
      <w:pPr>
        <w:pStyle w:val="SmallNote"/>
      </w:pPr>
    </w:p>
    <w:p>
      <w:pPr>
        <w:pStyle w:val="Heading1"/>
      </w:pPr>
      <w:r>
        <w:t>26. Security-specific roles and SoD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Role</w:t>
            </w:r>
          </w:p>
        </w:tc>
        <w:tc>
          <w:tcPr>
            <w:tcW w:type="dxa" w:w="113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Boundary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SYSTEM_ADMIN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Infrastructure/app config; no implicit business/PII export access.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SECURITY_ADMIN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IAM security policies, incidents, sessions/devices.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PRIVACY_OFFICER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Processing registry, privacy requests, PD incidents.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AUDITOR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Read-only audit/evidence, no mutation.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SIGNATURE_ADMIN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Signature provider/MChD profiles; cannot sign as user.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INTEGRATION_ADMIN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Connector profiles/status; secret values hidden.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SUPPORT_BREAK_GLASS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Temporary approved scoped access only.</w:t>
            </w:r>
          </w:p>
        </w:tc>
      </w:tr>
    </w:tbl>
    <w:p>
      <w:pPr>
        <w:pStyle w:val="SmallNote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56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Conflict</w:t>
            </w:r>
          </w:p>
        </w:tc>
        <w:tc>
          <w:tcPr>
            <w:tcW w:type="dxa" w:w="907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Rule</w:t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Grant own admin role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Forbidden.</w:t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Approve own high-value stock correction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Forbidden by SoD policy.</w:t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Weigh operator corrects and approves same closed weight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Forbidden.</w:t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Integration admin reads secret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Forbidden.</w:t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Signature admin signs as business signer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Forbidden unless separately authorized signer.</w:t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Auditor deletes audit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Impossible.</w:t>
            </w:r>
          </w:p>
        </w:tc>
      </w:tr>
      <w:tr>
        <w:trPr>
          <w:cantSplit/>
        </w:trPr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Support self-enables break-glass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Forbidden.</w:t>
            </w:r>
          </w:p>
        </w:tc>
      </w:tr>
    </w:tbl>
    <w:p>
      <w:pPr>
        <w:pStyle w:val="SmallNote"/>
      </w:pPr>
    </w:p>
    <w:p>
      <w:pPr>
        <w:pStyle w:val="Heading1"/>
      </w:pPr>
      <w:r>
        <w:t>27. Security / Privacy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rPr>
          <w:tblHeader w:val="true"/>
        </w:trPr>
        <w:tc>
          <w:tcPr>
            <w:tcW w:type="dxa" w:w="1417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Method</w:t>
            </w:r>
          </w:p>
        </w:tc>
        <w:tc>
          <w:tcPr>
            <w:tcW w:type="dxa" w:w="51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Path</w:t>
            </w:r>
          </w:p>
        </w:tc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operationId</w:t>
            </w:r>
          </w:p>
        </w:tc>
        <w:tc>
          <w:tcPr>
            <w:tcW w:type="dxa" w:w="481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Purpose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/v1/auth/login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authLogin</w:t>
            </w:r>
          </w:p>
        </w:tc>
        <w:tc>
          <w:tcPr>
            <w:tcW w:type="dxa" w:w="481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Authentication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/v1/auth/mfa/verify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authMfaVerify</w:t>
            </w:r>
          </w:p>
        </w:tc>
        <w:tc>
          <w:tcPr>
            <w:tcW w:type="dxa" w:w="481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MFA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/v1/auth/refresh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authRefresh</w:t>
            </w:r>
          </w:p>
        </w:tc>
        <w:tc>
          <w:tcPr>
            <w:tcW w:type="dxa" w:w="481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Refresh rotation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/v1/auth/logout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authLogout</w:t>
            </w:r>
          </w:p>
        </w:tc>
        <w:tc>
          <w:tcPr>
            <w:tcW w:type="dxa" w:w="481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Revoke current session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/v1/me/sessions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authSessionList</w:t>
            </w:r>
          </w:p>
        </w:tc>
        <w:tc>
          <w:tcPr>
            <w:tcW w:type="dxa" w:w="481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Sessions/devices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/v1/me/sessions/{id}/commands/revoke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authSessionRevoke</w:t>
            </w:r>
          </w:p>
        </w:tc>
        <w:tc>
          <w:tcPr>
            <w:tcW w:type="dxa" w:w="481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Revoke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/v1/security/audit-events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securityAuditList</w:t>
            </w:r>
          </w:p>
        </w:tc>
        <w:tc>
          <w:tcPr>
            <w:tcW w:type="dxa" w:w="481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Audit query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/v1/privacy/requests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privacyRequestCreate</w:t>
            </w:r>
          </w:p>
        </w:tc>
        <w:tc>
          <w:tcPr>
            <w:tcW w:type="dxa" w:w="481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Subject request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/v1/privacy/requests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privacyRequestList</w:t>
            </w:r>
          </w:p>
        </w:tc>
        <w:tc>
          <w:tcPr>
            <w:tcW w:type="dxa" w:w="481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Privacy officer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/v1/security/incidents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securityIncidentCreate</w:t>
            </w:r>
          </w:p>
        </w:tc>
        <w:tc>
          <w:tcPr>
            <w:tcW w:type="dxa" w:w="481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Incident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/v1/security/incidents/{id}/commands/confirm-pd-incident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securityIncidentConfirmPd</w:t>
            </w:r>
          </w:p>
        </w:tc>
        <w:tc>
          <w:tcPr>
            <w:tcW w:type="dxa" w:w="481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Start PD timer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/v1/signature-requests/{id}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signatureRequestGet</w:t>
            </w:r>
          </w:p>
        </w:tc>
        <w:tc>
          <w:tcPr>
            <w:tcW w:type="dxa" w:w="481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Signature status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/v1/signature-requests/{id}/commands/sign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signatureRequestSign</w:t>
            </w:r>
          </w:p>
        </w:tc>
        <w:tc>
          <w:tcPr>
            <w:tcW w:type="dxa" w:w="481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Signing adapter</w:t>
            </w:r>
          </w:p>
        </w:tc>
      </w:tr>
      <w:tr>
        <w:trPr>
          <w:cantSplit/>
        </w:trPr>
        <w:tc>
          <w:tcPr>
            <w:tcW w:type="dxa" w:w="1417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/v1/mchd/verify</w:t>
            </w:r>
          </w:p>
        </w:tc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mchdVerify</w:t>
            </w:r>
          </w:p>
        </w:tc>
        <w:tc>
          <w:tcPr>
            <w:tcW w:type="dxa" w:w="481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Authority verification</w:t>
            </w:r>
          </w:p>
        </w:tc>
      </w:tr>
    </w:tbl>
    <w:p>
      <w:pPr>
        <w:pStyle w:val="SmallNote"/>
      </w:pPr>
    </w:p>
    <w:p>
      <w:pPr>
        <w:pStyle w:val="Heading1"/>
      </w:pPr>
      <w:r>
        <w:t>28. Events to add/confirm in Event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51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Event</w:t>
            </w:r>
          </w:p>
        </w:tc>
        <w:tc>
          <w:tcPr>
            <w:tcW w:type="dxa" w:w="963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Meaning</w:t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security.session_created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Session created</w:t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security.session_revoked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Session/device revoked</w:t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security.mfa_changed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MFA enrollment changed</w:t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security.privileged_access_granted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Break-glass elevation opened</w:t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security.privileged_access_revoked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Elevation closed</w:t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security.incident_created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Incident opened</w:t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security.pd_incident_confirmed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PD incident confirmed</w:t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privacy.request_created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Subject request opened</w:t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privacy.request_completed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Request closed</w:t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privacy.data_blocked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PD blocked</w:t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privacy.data_destroyed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Destruction completed</w:t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signature.verification_failed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Signature validation failed</w:t>
            </w:r>
          </w:p>
        </w:tc>
      </w:tr>
      <w:tr>
        <w:trPr>
          <w:cantSplit/>
        </w:trPr>
        <w:tc>
          <w:tcPr>
            <w:tcW w:type="dxa" w:w="51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mchd.verification_failed</w:t>
            </w:r>
          </w:p>
        </w:tc>
        <w:tc>
          <w:tcPr>
            <w:tcW w:type="dxa" w:w="963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Authority validation failed</w:t>
            </w:r>
          </w:p>
        </w:tc>
      </w:tr>
    </w:tbl>
    <w:p>
      <w:pPr>
        <w:pStyle w:val="SmallNote"/>
      </w:pPr>
    </w:p>
    <w:p>
      <w:pPr>
        <w:pStyle w:val="Heading1"/>
      </w:pPr>
      <w:r>
        <w:t>29. Machine-readable SecurityProfile</w:t>
      </w:r>
    </w:p>
    <w:p>
      <w:pPr>
        <w:pStyle w:val="CodeBlock"/>
      </w:pPr>
      <w:r>
        <w:t>security_profile:</w:t>
        <w:br/>
        <w:t xml:space="preserve">  version: 1</w:t>
        <w:br/>
        <w:t xml:space="preserve">  auth:</w:t>
        <w:br/>
        <w:t xml:space="preserve">    passwordHash: ARGON2ID</w:t>
        <w:br/>
        <w:t xml:space="preserve">    privilegedMfaRequired: true</w:t>
        <w:br/>
        <w:t xml:space="preserve">    accessTokenMinutes: 10</w:t>
        <w:br/>
        <w:t xml:space="preserve">    refreshRotation: true</w:t>
        <w:br/>
        <w:t xml:space="preserve">  tenantIsolation:</w:t>
        <w:br/>
        <w:t xml:space="preserve">    repositoryScopeRequired: true</w:t>
        <w:br/>
        <w:t xml:space="preserve">    rowLevelSecurity: DEFENSE_IN_DEPTH</w:t>
        <w:br/>
        <w:t xml:space="preserve">  mobile:</w:t>
        <w:br/>
        <w:t xml:space="preserve">    encryptedLocalDb: true</w:t>
        <w:br/>
        <w:t xml:space="preserve">    sharedDeviceWipeOnLogout: true</w:t>
        <w:br/>
        <w:t xml:space="preserve">  api:</w:t>
        <w:br/>
        <w:t xml:space="preserve">    tlsMin: "1.2"</w:t>
        <w:br/>
        <w:t xml:space="preserve">    preferTls13: true</w:t>
        <w:br/>
        <w:t xml:space="preserve">  audit:</w:t>
        <w:br/>
        <w:t xml:space="preserve">    appendOnly: true</w:t>
        <w:br/>
        <w:t xml:space="preserve">    hashChain: true</w:t>
        <w:br/>
        <w:t xml:space="preserve">    externalCheckpoint: DAILY</w:t>
        <w:br/>
        <w:t xml:space="preserve">  privacy:</w:t>
        <w:br/>
        <w:t xml:space="preserve">    localizationProfile: RU_PD_DEFAULT</w:t>
        <w:br/>
        <w:t xml:space="preserve">    crossBorderDefault: DENY</w:t>
        <w:br/>
        <w:t xml:space="preserve">    pdIncidentInitialHours: 24</w:t>
        <w:br/>
        <w:t xml:space="preserve">    pdIncidentInvestigationHours: 72</w:t>
        <w:br/>
        <w:t xml:space="preserve">  backup:</w:t>
        <w:br/>
        <w:t xml:space="preserve">    encryptionRequired: true</w:t>
        <w:br/>
        <w:t xml:space="preserve">    immutableCopyRequired: true</w:t>
        <w:br/>
        <w:t xml:space="preserve">  breakGlass:</w:t>
        <w:br/>
        <w:t xml:space="preserve">    approvalRequired: true</w:t>
        <w:br/>
        <w:t xml:space="preserve">    mfaRequired: true</w:t>
      </w:r>
    </w:p>
    <w:p>
      <w:pPr>
        <w:pStyle w:val="Heading1"/>
      </w:pPr>
      <w:r>
        <w:t>30. Mandatory Security Test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Test</w:t>
            </w:r>
          </w:p>
        </w:tc>
        <w:tc>
          <w:tcPr>
            <w:tcW w:type="dxa" w:w="3118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Area</w:t>
            </w:r>
          </w:p>
        </w:tc>
        <w:tc>
          <w:tcPr>
            <w:tcW w:type="dxa" w:w="992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Expected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SEC-T001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Tenant isolation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Foreign tenant UUID cannot be read/commanded/exported.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SEC-T002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Mass assignment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tenantId/status/role cannot be injected.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SEC-T003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Privilege escalation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Unauthorized grant denied.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SEC-T004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Admin MFA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Privileged action requires configured MFA.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SEC-T005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Refresh replay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Consumed refresh reuse revokes family.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SEC-T006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Session revoke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Revoked session cannot refresh.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SEC-T007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Password hash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Only Argon2id hash stored.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SEC-T008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Enumeration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Auth/recovery does not reveal account existence.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SEC-T009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Offline revoke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Revoked user offline command rejected on sync.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SEC-T010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Mobile DB theft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DB unreadable without key.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SEC-T011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Shared logout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Workspace/cache wiped.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SEC-T012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Secret redaction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No token/key in logs.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SEC-T013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Webhook replay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Replay rejected/deduped.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SEC-T014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Archive traversal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No path escape.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SEC-T015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XML XXE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External entities disabled.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SEC-T016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Spreadsheet injection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Untrusted formula prefix neutralized.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SEC-T017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Audit append-only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App role cannot update/delete.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SEC-T018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Audit chain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Tamper detected.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SEC-T019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Break-glass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Approval+MFA+reason+expiry+audit.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SEC-T020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Cross-border default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Foreign PD processor blocked absent profile.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SEC-T021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Privacy access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Verified subject only; third-party data protected.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SEC-T022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LegalHold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Deletion blocked with explicit reason.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SEC-T023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PD incident 24h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Deadline + overdue alert.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SEC-T024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PD incident 72h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Investigation deadline + evidence.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SEC-T025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Signed immutability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Signed version cannot overwrite.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SEC-T026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MChD validity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Expired/revoked/insufficient authority blocks signing.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SEC-T027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Private key boundary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Qualified key cannot be uploaded to generic secrets.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SEC-T028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Object storage tenant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Foreign tenant signed URL impossible.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SEC-T029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Redis exposure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No public unauthenticated Redis.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SEC-T030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Postgres exposure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DB not reachable from public/mobile network.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SEC-T031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Backup encryption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Backup unreadable without separate key.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SEC-T032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Restore drill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DB+objects+audit restored with measured RPO/RTO.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SEC-T033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Dependency gate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Critical vulnerable dependency blocks release absent exception.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SEC-T034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Container hardening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No privileged/root runtime without documented need.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SEC-T035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Stored XSS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User content cannot execute.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SEC-T036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SQL injection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Fuzzed filters stay parameterized.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SEC-T037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Rate limit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Abuse throttled without whole-tenant outage.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SEC-T038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AI tenant scope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AI cannot retrieve other tenant data.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SEC-T039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AI tool auth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Tool command respects user permission.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SEC-T040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IoT spoof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Unknown/revoked gateway quarantined.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SEC-T041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Local authority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LOCAL_PRIMARY never silently Cloud-writes.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SEC-T042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Sensitive export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Audit event includes scope/hash.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SEC-T043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PII masking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Unauthorized role receives masked fields.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SEC-T044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Support role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No default business-data access.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SEC-T045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Signature verify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Tampered file fails.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SEC-T046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Security headers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HSTS/CSP/frame/no-sniff configured.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SEC-T047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CSRF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Cookie admin flows protected.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SEC-T048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SSRF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Provider/import URLs cannot hit arbitrary private/metadata endpoints.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SEC-T049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Zip bomb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3"/>
              </w:rPr>
              <w:t>Archive limits stop bomb.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SEC-T050</w:t>
            </w:r>
          </w:p>
        </w:tc>
        <w:tc>
          <w:tcPr>
            <w:tcW w:type="dxa" w:w="3118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Replay idempotency</w:t>
            </w:r>
          </w:p>
        </w:tc>
        <w:tc>
          <w:tcPr>
            <w:tcW w:type="dxa" w:w="992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3"/>
              </w:rPr>
              <w:t>Security-sensitive event replay cannot duplicate effect.</w:t>
            </w:r>
          </w:p>
        </w:tc>
      </w:tr>
    </w:tbl>
    <w:p>
      <w:pPr>
        <w:pStyle w:val="SmallNote"/>
      </w:pPr>
    </w:p>
    <w:p>
      <w:pPr>
        <w:pStyle w:val="Heading1"/>
      </w:pPr>
      <w:r>
        <w:t>31. Порядок реализации Codex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7"/>
        <w:gridCol w:w="4827"/>
        <w:gridCol w:w="4827"/>
      </w:tblGrid>
      <w:tr>
        <w:trPr>
          <w:tblHeader w:val="true"/>
        </w:trPr>
        <w:tc>
          <w:tcPr>
            <w:tcW w:type="dxa" w:w="170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Stage</w:t>
            </w:r>
          </w:p>
        </w:tc>
        <w:tc>
          <w:tcPr>
            <w:tcW w:type="dxa" w:w="39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Component</w:t>
            </w:r>
          </w:p>
        </w:tc>
        <w:tc>
          <w:tcPr>
            <w:tcW w:type="dxa" w:w="9071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Deliverable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S19-01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Tenant/security context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TenantContext, scoped repositories, permission metadata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S19-02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Identity/session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Argon2id, access/refresh, device registry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S19-03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MFA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TOTP + privileged policy + recovery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S19-04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Authorization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RBAC+scope+masking+SoD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S19-05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SecretStore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Secrets, rotation, redaction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S19-06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Audit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Append-only + hash chain/checkpoints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S19-07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Privacy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Data map, requests, retention/LegalHold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S19-08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Mobile/local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Encrypted workspace + TLS/local hardening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S19-09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Incidents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IncidentCase + 24/72h timers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S19-10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Signature/MChD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SignatureRequest, CSP/provider boundary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S19-11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Backup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Encrypted/immutable + restore evidence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S19-12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Secure SDLC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SAST/SCA/SBOM/DAST/security tests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S19-13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Device trust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Gateway/device identity/quarantine</w:t>
            </w:r>
          </w:p>
        </w:tc>
      </w:tr>
      <w:tr>
        <w:trPr>
          <w:cantSplit/>
        </w:trPr>
        <w:tc>
          <w:tcPr>
            <w:tcW w:type="dxa" w:w="170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S19-14</w:t>
            </w:r>
          </w:p>
        </w:tc>
        <w:tc>
          <w:tcPr>
            <w:tcW w:type="dxa" w:w="39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Release acceptance</w:t>
            </w:r>
          </w:p>
        </w:tc>
        <w:tc>
          <w:tcPr>
            <w:tcW w:type="dxa" w:w="9071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ASVS/security checklist</w:t>
            </w:r>
          </w:p>
        </w:tc>
      </w:tr>
    </w:tbl>
    <w:p>
      <w:pPr>
        <w:pStyle w:val="SmallNote"/>
      </w:pPr>
    </w:p>
    <w:p>
      <w:pPr>
        <w:pStyle w:val="Heading1"/>
      </w:pPr>
      <w:r>
        <w:t>32. Web/API baseline security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40"/>
        <w:gridCol w:w="7240"/>
      </w:tblGrid>
      <w:tr>
        <w:trPr>
          <w:tblHeader w:val="true"/>
        </w:trPr>
        <w:tc>
          <w:tcPr>
            <w:tcW w:type="dxa" w:w="340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Control</w:t>
            </w:r>
          </w:p>
        </w:tc>
        <w:tc>
          <w:tcPr>
            <w:tcW w:type="dxa" w:w="1133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Baseline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CORS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Explicit origins; no wildcard credentials.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CSP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Strict CSP; minimize unsafe-inline.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HSTS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Production HTTPS after readiness.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Framing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frame-ancestors none/allowlist.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nosniff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X-Content-Type-Options.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Referrer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strict-origin-when-cross-origin or stricter.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Cookies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Secure/HttpOnly/SameSite where cookies used.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Errors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RFC9457 without stack/internal secrets.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Health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4"/>
              </w:rPr>
              <w:t>No config/secret dump.</w:t>
            </w:r>
          </w:p>
        </w:tc>
      </w:tr>
      <w:tr>
        <w:trPr>
          <w:cantSplit/>
        </w:trPr>
        <w:tc>
          <w:tcPr>
            <w:tcW w:type="dxa" w:w="340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Metrics</w:t>
            </w:r>
          </w:p>
        </w:tc>
        <w:tc>
          <w:tcPr>
            <w:tcW w:type="dxa" w:w="1133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4"/>
              </w:rPr>
              <w:t>Restricted; no PII label values.</w:t>
            </w:r>
          </w:p>
        </w:tc>
      </w:tr>
    </w:tbl>
    <w:p>
      <w:pPr>
        <w:pStyle w:val="SmallNote"/>
      </w:pPr>
    </w:p>
    <w:p>
      <w:pPr>
        <w:pStyle w:val="Heading1"/>
      </w:pPr>
      <w:r>
        <w:t>33. Проверенные источники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20"/>
        <w:gridCol w:w="3620"/>
        <w:gridCol w:w="3620"/>
        <w:gridCol w:w="3620"/>
      </w:tblGrid>
      <w:tr>
        <w:trPr>
          <w:tblHeader w:val="true"/>
        </w:trPr>
        <w:tc>
          <w:tcPr>
            <w:tcW w:type="dxa" w:w="794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type="dxa" w:w="3572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Source</w:t>
            </w:r>
          </w:p>
        </w:tc>
        <w:tc>
          <w:tcPr>
            <w:tcW w:type="dxa" w:w="5669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URL</w:t>
            </w:r>
          </w:p>
        </w:tc>
        <w:tc>
          <w:tcPr>
            <w:tcW w:type="dxa" w:w="4706"/>
            <w:shd w:fill="244062"/>
          </w:tcPr>
          <w:p>
            <w:pPr>
              <w:jc w:val="center"/>
            </w:pPr>
            <w:r>
              <w:rPr>
                <w:b/>
                <w:color w:val="FFFFFF"/>
                <w:sz w:val="12"/>
              </w:rPr>
              <w:t>Use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S01</w:t>
            </w:r>
          </w:p>
        </w:tc>
        <w:tc>
          <w:tcPr>
            <w:tcW w:type="dxa" w:w="35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152-ФЗ ст.18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https://www.consultant.ru/document/cons_doc_LAW_61801/cbf4e15b7c330f9372e876cdf2bc928bad7950ef/</w:t>
            </w:r>
          </w:p>
        </w:tc>
        <w:tc>
          <w:tcPr>
            <w:tcW w:type="dxa" w:w="47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Локализация ПДн; ред. 26.07.2026.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S02</w:t>
            </w:r>
          </w:p>
        </w:tc>
        <w:tc>
          <w:tcPr>
            <w:tcW w:type="dxa" w:w="35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152-ФЗ ст.19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https://www.consultant.ru/document/cons_doc_LAW_61801/ca9e5658710519f09ab2fdb8196fcb3eb024a051/</w:t>
            </w:r>
          </w:p>
        </w:tc>
        <w:tc>
          <w:tcPr>
            <w:tcW w:type="dxa" w:w="47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Меры безопасности.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S03</w:t>
            </w:r>
          </w:p>
        </w:tc>
        <w:tc>
          <w:tcPr>
            <w:tcW w:type="dxa" w:w="35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152-ФЗ ст.20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https://www.consultant.ru/document/cons_doc_LAW_61801/7aeb0acd5aa76dbc888a07e52ca06a92568c6e96/</w:t>
            </w:r>
          </w:p>
        </w:tc>
        <w:tc>
          <w:tcPr>
            <w:tcW w:type="dxa" w:w="47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Запросы субъектов.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S04</w:t>
            </w:r>
          </w:p>
        </w:tc>
        <w:tc>
          <w:tcPr>
            <w:tcW w:type="dxa" w:w="35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152-ФЗ ст.21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https://www.consultant.ru/document/cons_doc_LAW_61801/d3fe43a7c415353b17faab255bc0de92bea127da/</w:t>
            </w:r>
          </w:p>
        </w:tc>
        <w:tc>
          <w:tcPr>
            <w:tcW w:type="dxa" w:w="47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24/72h incident; correction/destruction.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S05</w:t>
            </w:r>
          </w:p>
        </w:tc>
        <w:tc>
          <w:tcPr>
            <w:tcW w:type="dxa" w:w="35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152-ФЗ ст.22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https://www.consultant.ru/document/cons_doc_LAW_61801/d996966e22e1320c9de1ab82d9f6be12c3d9d765/</w:t>
            </w:r>
          </w:p>
        </w:tc>
        <w:tc>
          <w:tcPr>
            <w:tcW w:type="dxa" w:w="47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Operator notification.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S06</w:t>
            </w:r>
          </w:p>
        </w:tc>
        <w:tc>
          <w:tcPr>
            <w:tcW w:type="dxa" w:w="35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152-ФЗ ст.12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https://www.consultant.ru/document/cons_doc_LAW_61801/e4ebbe1780de623c7cf32a59ca82a7bb523a25dd/</w:t>
            </w:r>
          </w:p>
        </w:tc>
        <w:tc>
          <w:tcPr>
            <w:tcW w:type="dxa" w:w="47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Cross-border transfer.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S07</w:t>
            </w:r>
          </w:p>
        </w:tc>
        <w:tc>
          <w:tcPr>
            <w:tcW w:type="dxa" w:w="35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ПП РФ №1119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https://www.consultant.ru/document/cons_doc_LAW_137356/</w:t>
            </w:r>
          </w:p>
        </w:tc>
        <w:tc>
          <w:tcPr>
            <w:tcW w:type="dxa" w:w="47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ISPDn security levels.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S08</w:t>
            </w:r>
          </w:p>
        </w:tc>
        <w:tc>
          <w:tcPr>
            <w:tcW w:type="dxa" w:w="35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ФСТЭК №21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https://www.consultant.ru/document/cons_doc_LAW_146520/</w:t>
            </w:r>
          </w:p>
        </w:tc>
        <w:tc>
          <w:tcPr>
            <w:tcW w:type="dxa" w:w="47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Organizational/technical measures.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S09</w:t>
            </w:r>
          </w:p>
        </w:tc>
        <w:tc>
          <w:tcPr>
            <w:tcW w:type="dxa" w:w="35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149-ФЗ ст.16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https://www.consultant.ru/document/cons_doc_LAW_61798/0e9ec16b786dcbdaaa7f44abfc4a15e601d5be22/</w:t>
            </w:r>
          </w:p>
        </w:tc>
        <w:tc>
          <w:tcPr>
            <w:tcW w:type="dxa" w:w="47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Information security measures.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S10</w:t>
            </w:r>
          </w:p>
        </w:tc>
        <w:tc>
          <w:tcPr>
            <w:tcW w:type="dxa" w:w="35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63-ФЗ ст.17.2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https://www.consultant.ru/document/cons_doc_LAW_112701/e051fd84282463756121b8992b8fa4df155f2886/</w:t>
            </w:r>
          </w:p>
        </w:tc>
        <w:tc>
          <w:tcPr>
            <w:tcW w:type="dxa" w:w="47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Representative QES and power of attorney.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S11</w:t>
            </w:r>
          </w:p>
        </w:tc>
        <w:tc>
          <w:tcPr>
            <w:tcW w:type="dxa" w:w="35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ФНС: ЭП и МЧД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https://www.nalog.gov.ru/rn77/related_activities/el_doc/use_electronic_sign/</w:t>
            </w:r>
          </w:p>
        </w:tc>
        <w:tc>
          <w:tcPr>
            <w:tcW w:type="dxa" w:w="47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MChD 003/EMCHD_1 and FNS registry.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S12</w:t>
            </w:r>
          </w:p>
        </w:tc>
        <w:tc>
          <w:tcPr>
            <w:tcW w:type="dxa" w:w="35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ФНС МЧД 16.09.2026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https://www.nalog.gov.ru/rn38/news/activities_fts/16650098/</w:t>
            </w:r>
          </w:p>
        </w:tc>
        <w:tc>
          <w:tcPr>
            <w:tcW w:type="dxa" w:w="47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Create/store/verify MChD.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S13</w:t>
            </w:r>
          </w:p>
        </w:tc>
        <w:tc>
          <w:tcPr>
            <w:tcW w:type="dxa" w:w="35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187-ФЗ ст.2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https://www.consultant.ru/document/cons_doc_LAW_220885/c5051782233acca771e9adb35b47d3fb82c9ff1c/</w:t>
            </w:r>
          </w:p>
        </w:tc>
        <w:tc>
          <w:tcPr>
            <w:tcW w:type="dxa" w:w="47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KII subject/object sectors.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S14</w:t>
            </w:r>
          </w:p>
        </w:tc>
        <w:tc>
          <w:tcPr>
            <w:tcW w:type="dxa" w:w="35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187-ФЗ ст.7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https://www.consultant.ru/document/cons_doc_LAW_220885/507db218cf421e2e2fbcaaf66cb113f59fc164c9/</w:t>
            </w:r>
          </w:p>
        </w:tc>
        <w:tc>
          <w:tcPr>
            <w:tcW w:type="dxa" w:w="47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  <w:shd w:fill="F8FAFC"/>
          </w:tcPr>
          <w:p>
            <w:pPr>
              <w:spacing w:after="0"/>
            </w:pPr>
            <w:r>
              <w:rPr>
                <w:sz w:val="12"/>
              </w:rPr>
              <w:t>Categorization.</w:t>
            </w:r>
          </w:p>
        </w:tc>
      </w:tr>
      <w:tr>
        <w:trPr>
          <w:cantSplit/>
        </w:trPr>
        <w:tc>
          <w:tcPr>
            <w:tcW w:type="dxa" w:w="794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S15</w:t>
            </w:r>
          </w:p>
        </w:tc>
        <w:tc>
          <w:tcPr>
            <w:tcW w:type="dxa" w:w="3572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OWASP ASVS</w:t>
            </w:r>
          </w:p>
        </w:tc>
        <w:tc>
          <w:tcPr>
            <w:tcW w:type="dxa" w:w="5669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https://owasp.org/projects/asvs</w:t>
            </w:r>
          </w:p>
        </w:tc>
        <w:tc>
          <w:tcPr>
            <w:tcW w:type="dxa" w:w="4706"/>
            <w:vAlign w:val="top"/>
            <w:tcMar>
              <w:top w:w="35" w:type="dxa"/>
              <w:start w:w="40" w:type="dxa"/>
              <w:bottom w:w="35" w:type="dxa"/>
              <w:end w:w="40" w:type="dxa"/>
            </w:tcMar>
          </w:tcPr>
          <w:p>
            <w:pPr>
              <w:spacing w:after="0"/>
            </w:pPr>
            <w:r>
              <w:rPr>
                <w:sz w:val="12"/>
              </w:rPr>
              <w:t>ASVS 5.0.0 engineering baseline.</w:t>
            </w:r>
          </w:p>
        </w:tc>
      </w:tr>
    </w:tbl>
    <w:p>
      <w:pPr>
        <w:pStyle w:val="SmallNote"/>
      </w:pPr>
    </w:p>
    <w:p>
      <w:pPr>
        <w:pStyle w:val="Heading1"/>
      </w:pPr>
      <w:r>
        <w:t>34. Решения, считающиеся зафиксированными</w:t>
      </w:r>
    </w:p>
    <w:p>
      <w:pPr>
        <w:pStyle w:val="ListBullet"/>
      </w:pPr>
      <w:r>
        <w:t>V1 uses built-in NestJS Identity module with optional OIDC federation; no mandatory external IdP.</w:t>
      </w:r>
    </w:p>
    <w:p>
      <w:pPr>
        <w:pStyle w:val="ListBullet"/>
      </w:pPr>
      <w:r>
        <w:t>Passwords use Argon2id; privileged roles require MFA.</w:t>
      </w:r>
    </w:p>
    <w:p>
      <w:pPr>
        <w:pStyle w:val="ListBullet"/>
      </w:pPr>
      <w:r>
        <w:t>Refresh tokens rotate, are hashed, and replay revokes token family.</w:t>
      </w:r>
    </w:p>
    <w:p>
      <w:pPr>
        <w:pStyle w:val="ListBullet"/>
      </w:pPr>
      <w:r>
        <w:t>Authorization is RBAC + scope-aware ABAC + state/risk/classification checks; deny by default.</w:t>
      </w:r>
    </w:p>
    <w:p>
      <w:pPr>
        <w:pStyle w:val="ListBullet"/>
      </w:pPr>
      <w:r>
        <w:t>Tenant context comes from authentication and is enforced in repositories/queries.</w:t>
      </w:r>
    </w:p>
    <w:p>
      <w:pPr>
        <w:pStyle w:val="ListBullet"/>
      </w:pPr>
      <w:r>
        <w:t>Mobile/local data encrypted; LOCAL_PRIMARY never fails open to Cloud writes.</w:t>
      </w:r>
    </w:p>
    <w:p>
      <w:pPr>
        <w:pStyle w:val="ListBullet"/>
      </w:pPr>
      <w:r>
        <w:t>Secrets and signing private keys never enter normal business DB/logs.</w:t>
      </w:r>
    </w:p>
    <w:p>
      <w:pPr>
        <w:pStyle w:val="ListBullet"/>
      </w:pPr>
      <w:r>
        <w:t>Audit is append-only and tamper-evident; not called blockchain/e-signature.</w:t>
      </w:r>
    </w:p>
    <w:p>
      <w:pPr>
        <w:pStyle w:val="ListBullet"/>
      </w:pPr>
      <w:r>
        <w:t>152-ФЗ privacy registry/localization/subject requests/24-72h incident timers are first-class workflows.</w:t>
      </w:r>
    </w:p>
    <w:p>
      <w:pPr>
        <w:pStyle w:val="ListBullet"/>
      </w:pPr>
      <w:r>
        <w:t>Cross-border PD processing is DENY by default.</w:t>
      </w:r>
    </w:p>
    <w:p>
      <w:pPr>
        <w:pStyle w:val="ListBullet"/>
      </w:pPr>
      <w:r>
        <w:t>MChD is versioned authority evidence, not a boolean.</w:t>
      </w:r>
    </w:p>
    <w:p>
      <w:pPr>
        <w:pStyle w:val="ListBullet"/>
      </w:pPr>
      <w:r>
        <w:t>187-ФЗ/KII is conditional, not automatic for agricultural/industrial customer.</w:t>
      </w:r>
    </w:p>
    <w:p>
      <w:pPr>
        <w:pStyle w:val="ListBullet"/>
      </w:pPr>
      <w:r>
        <w:t>OWASP ASVS 5.0.0 is engineering baseline, not regulatory certification.</w:t>
      </w:r>
    </w:p>
    <w:p>
      <w:pPr>
        <w:pStyle w:val="ListBullet"/>
      </w:pPr>
      <w:r>
        <w:t>SEC-T001..SEC-T050 are Definition-of-Done gates for affected modules.</w:t>
      </w:r>
    </w:p>
    <w:p>
      <w:pPr>
        <w:pStyle w:val="Heading1"/>
      </w:pPr>
      <w:r>
        <w:t>35. Acceptance Criteria Документа №19</w:t>
      </w:r>
    </w:p>
    <w:p>
      <w:pPr>
        <w:pStyle w:val="ListBullet"/>
      </w:pPr>
      <w:r>
        <w:t>Codex can implement IAM/session/MFA without inventing token/password policy.</w:t>
      </w:r>
    </w:p>
    <w:p>
      <w:pPr>
        <w:pStyle w:val="ListBullet"/>
      </w:pPr>
      <w:r>
        <w:t>Cross-tenant access is technically prevented and tested.</w:t>
      </w:r>
    </w:p>
    <w:p>
      <w:pPr>
        <w:pStyle w:val="ListBullet"/>
      </w:pPr>
      <w:r>
        <w:t>Offline/mobile/local-server security matches Doc 12 and creates no bypass.</w:t>
      </w:r>
    </w:p>
    <w:p>
      <w:pPr>
        <w:pStyle w:val="ListBullet"/>
      </w:pPr>
      <w:r>
        <w:t>Privacy processing registry, subject requests and incident timers are explicit entities/workflows.</w:t>
      </w:r>
    </w:p>
    <w:p>
      <w:pPr>
        <w:pStyle w:val="ListBullet"/>
      </w:pPr>
      <w:r>
        <w:t>FSTEC control groups are mapped without false universal compliance claims.</w:t>
      </w:r>
    </w:p>
    <w:p>
      <w:pPr>
        <w:pStyle w:val="ListBullet"/>
      </w:pPr>
      <w:r>
        <w:t>Internal approval, legal signing and MChD are separate concepts.</w:t>
      </w:r>
    </w:p>
    <w:p>
      <w:pPr>
        <w:pStyle w:val="ListBullet"/>
      </w:pPr>
      <w:r>
        <w:t>Private QES keys cannot enter generic secret/storage path.</w:t>
      </w:r>
    </w:p>
    <w:p>
      <w:pPr>
        <w:pStyle w:val="ListBullet"/>
      </w:pPr>
      <w:r>
        <w:t>Audit cannot be modified/deleted by application role and tampering is detectable.</w:t>
      </w:r>
    </w:p>
    <w:p>
      <w:pPr>
        <w:pStyle w:val="ListBullet"/>
      </w:pPr>
      <w:r>
        <w:t>Backup, AI, integration and future IoT have explicit security boundaries.</w:t>
      </w:r>
    </w:p>
    <w:p>
      <w:pPr>
        <w:pStyle w:val="ListBullet"/>
      </w:pPr>
      <w:r>
        <w:t>KII applicability is conditional and documented.</w:t>
      </w:r>
    </w:p>
    <w:p>
      <w:pPr>
        <w:pStyle w:val="ListBullet"/>
      </w:pPr>
      <w:r>
        <w:t>50 security tests can be mapped to CI/integration/manual evidence.</w:t>
      </w:r>
    </w:p>
    <w:p>
      <w:pPr>
        <w:pStyle w:val="ListBullet"/>
      </w:pPr>
      <w:r>
        <w:t>Document can later become security-controls.yaml, privacy-data-map.yaml and acceptance fixtures.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80"/>
      </w:tblGrid>
      <w:tr>
        <w:trPr>
          <w:cantSplit/>
        </w:trPr>
        <w:tc>
          <w:tcPr>
            <w:tcW w:type="dxa" w:w="14480"/>
            <w:shd w:fill="E2F0D9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17365D"/>
              </w:rPr>
              <w:t>Следующий документ</w:t>
              <w:br/>
            </w:r>
            <w:r>
              <w:t>№20 — Non-Functional Requirements: измеримые performance/SLO, concurrent users, telemetry/GIS volumes, response times, availability, offline duration, RPO/RTO, scaling, observability, accessibility, compatibility and resource limits.</w:t>
            </w:r>
          </w:p>
        </w:tc>
      </w:tr>
    </w:tbl>
    <w:p>
      <w:pPr>
        <w:pStyle w:val="SmallNote"/>
      </w:pPr>
    </w:p>
    <w:sectPr w:rsidR="00FC693F" w:rsidRPr="0006063C" w:rsidSect="00034616">
      <w:footerReference w:type="default" r:id="rId9"/>
      <w:pgSz w:w="15840" w:h="12240" w:orient="landscape"/>
      <w:pgMar w:top="652" w:right="680" w:bottom="652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Документ №19 • Security / Personal Data / Electronic Signature / Audit • 26.09.2026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2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406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65F9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A5A5A"/>
      <w:sz w:val="14"/>
    </w:rPr>
  </w:style>
  <w:style w:type="paragraph" w:customStyle="1" w:styleId="CodeBlock">
    <w:name w:val="Code Block"/>
    <w:pPr>
      <w:ind w:left="170"/>
    </w:pPr>
    <w:rPr>
      <w:rFonts w:ascii="Consolas" w:hAnsi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