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b/>
          <w:color w:val="17365D"/>
          <w:sz w:val="26"/>
        </w:rPr>
        <w:t>ДОКУМЕНТ №28</w:t>
      </w:r>
    </w:p>
    <w:p>
      <w:pPr>
        <w:spacing w:before="280" w:after="200"/>
      </w:pPr>
      <w:r>
        <w:rPr>
          <w:rFonts w:ascii="Aptos Display" w:hAnsi="Aptos Display"/>
          <w:b/>
          <w:color w:val="1F2937"/>
          <w:sz w:val="52"/>
        </w:rPr>
        <w:t>Development Roadmap + Repository / Coding Rules</w:t>
      </w:r>
    </w:p>
    <w:p>
      <w:r>
        <w:rPr>
          <w:color w:val="6B7280"/>
          <w:sz w:val="24"/>
        </w:rPr>
        <w:t>Операционный контракт разработки: структура репозитория, module boundaries, coding conventions, CI/CD, vertical slices и правила реализации через Codex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0F6"/>
            <w:tcBorders>
              <w:top w:val="single" w:sz="2" w:color="EAF0F6"/>
              <w:left w:val="single" w:sz="18" w:color="17365D"/>
              <w:bottom w:val="single" w:sz="2" w:color="EAF0F6"/>
              <w:right w:val="single" w:sz="2" w:color="EAF0F6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Архитектурный профиль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mobile-first · offline-first · local-first · API-first · LOCAL_PRIMARY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803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Статус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Architecture / Development / Testing Specification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Версия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Дата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26.09.2026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Стек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NestJS · Next.js · Flutter · PostgreSQL/PostGIS · Redis/BullMQ · MinIO/S3 · MapLibre · FastAPI · Docker Compose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Назначение</w:t>
      </w:r>
    </w:p>
    <w:p>
      <w:pPr>
        <w:spacing w:after="80" w:line="252" w:lineRule="auto"/>
      </w:pPr>
      <w:r>
        <w:t>Документ определяет, как спецификации №1–27 превращаются в поддерживаемый исходный код. Он задаёт repository topology, module boundaries, правила API/events/database/offline, coding conventions для TypeScript/Dart/Python/SQL, CI/CD и последовательность реализации.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5EC"/>
            <w:tcBorders>
              <w:top w:val="single" w:sz="2" w:color="EAF5EC"/>
              <w:left w:val="single" w:sz="18" w:color="17365D"/>
              <w:bottom w:val="single" w:sz="2" w:color="EAF5EC"/>
              <w:right w:val="single" w:sz="2" w:color="EAF5EC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Главный принцип №28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Codex и разработчики реализуют систему module-by-module и vertical-slice-by-vertical-slice. Ни один агент не получает задачу «реализовать всю платформу». Каждая поставка должна иметь ограниченную доменную границу и проверяемый Definition of Done.</w:t>
            </w:r>
          </w:p>
        </w:tc>
      </w:tr>
    </w:tbl>
    <w:p>
      <w:pPr>
        <w:pStyle w:val="Heading1"/>
      </w:pPr>
      <w:r>
        <w:t>2. Инженерные инварианты</w:t>
      </w:r>
    </w:p>
    <w:p>
      <w:pPr>
        <w:pStyle w:val="ListBullet"/>
        <w:spacing w:after="20"/>
      </w:pPr>
      <w:r>
        <w:t>LOCAL_PRIMARY остаётся архитектурным инвариантом: Local Server — write authority, cloud — async replica/analytics.</w:t>
      </w:r>
    </w:p>
    <w:p>
      <w:pPr>
        <w:pStyle w:val="ListBullet"/>
        <w:spacing w:after="20"/>
      </w:pPr>
      <w:r>
        <w:t>Domain module не читает и не изменяет таблицы другого domain напрямую; взаимодействие через public application contract/events.</w:t>
      </w:r>
    </w:p>
    <w:p>
      <w:pPr>
        <w:pStyle w:val="ListBullet"/>
        <w:spacing w:after="20"/>
      </w:pPr>
      <w:r>
        <w:t>Ни UI, ни integration adapter, ни IoT worker не пишут canonical business tables напрямую.</w:t>
      </w:r>
    </w:p>
    <w:p>
      <w:pPr>
        <w:pStyle w:val="ListBullet"/>
        <w:spacing w:after="20"/>
      </w:pPr>
      <w:r>
        <w:t>API-first: внешний/межмодульный контракт описан до UI wiring; OpenAPI/Event Catalog являются versioned artifacts.</w:t>
      </w:r>
    </w:p>
    <w:p>
      <w:pPr>
        <w:pStyle w:val="ListBullet"/>
        <w:spacing w:after="20"/>
      </w:pPr>
      <w:r>
        <w:t>Offline-first: mobile command должен иметь idempotency, local persistence и sync semantics до того, как workflow считается готовым.</w:t>
      </w:r>
    </w:p>
    <w:p>
      <w:pPr>
        <w:pStyle w:val="ListBullet"/>
        <w:spacing w:after="20"/>
      </w:pPr>
      <w:r>
        <w:t>AI не обладает скрытым write-path в canonical business domain.</w:t>
      </w:r>
    </w:p>
    <w:p>
      <w:pPr>
        <w:pStyle w:val="ListBullet"/>
        <w:spacing w:after="20"/>
      </w:pPr>
      <w:r>
        <w:t>Generated code не редактируется вручную. Изменяется source specification/generator.</w:t>
      </w:r>
    </w:p>
    <w:p>
      <w:pPr>
        <w:pStyle w:val="ListBullet"/>
        <w:spacing w:after="20"/>
      </w:pPr>
      <w:r>
        <w:t>Никакого global mutable shared state между modules; каждый module владеет собственными invariants.</w:t>
      </w:r>
    </w:p>
    <w:p>
      <w:pPr>
        <w:pStyle w:val="Heading1"/>
      </w:pPr>
      <w:r>
        <w:t>3. Repository strategy</w:t>
      </w:r>
    </w:p>
    <w:p>
      <w:pPr>
        <w:spacing w:after="80" w:line="252" w:lineRule="auto"/>
      </w:pPr>
      <w:r>
        <w:t>Reference topology — единый product monorepo. Это упрощает атомарные изменения контрактов, generated clients, migrations и cross-module acceptance. Разделение на отдельные repositories допускается только ADR после появления организационной/безопасностной причины.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Reference choice</w:t>
            </w:r>
          </w:p>
        </w:tc>
        <w:tc>
          <w:tcPr>
            <w:tcW w:type="dxa" w:w="4252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Workspace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pnpm workspaces</w:t>
            </w:r>
          </w:p>
        </w:tc>
        <w:tc>
          <w:tcPr>
            <w:tcW w:type="dxa" w:w="425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единое управление Node dependencies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Task graph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Nx (reference)</w:t>
            </w:r>
          </w:p>
        </w:tc>
        <w:tc>
          <w:tcPr>
            <w:tcW w:type="dxa" w:w="425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build/test/lint graph; замена только ADR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Backend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NestJS / TypeScript</w:t>
            </w:r>
          </w:p>
        </w:tc>
        <w:tc>
          <w:tcPr>
            <w:tcW w:type="dxa" w:w="425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modular monolith first; services split only when justified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Web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Next.js / React</w:t>
            </w:r>
          </w:p>
        </w:tc>
        <w:tc>
          <w:tcPr>
            <w:tcW w:type="dxa" w:w="425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director/admin/analytics/large tables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Mobile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Flutter / Dart</w:t>
            </w:r>
          </w:p>
        </w:tc>
        <w:tc>
          <w:tcPr>
            <w:tcW w:type="dxa" w:w="425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primary operational UI, offline-first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AI/analytics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Python / FastAPI</w:t>
            </w:r>
          </w:p>
        </w:tc>
        <w:tc>
          <w:tcPr>
            <w:tcW w:type="dxa" w:w="425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derived/recommendation plane, no hidden canonical writes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Deployment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Docker Compose</w:t>
            </w:r>
          </w:p>
        </w:tc>
        <w:tc>
          <w:tcPr>
            <w:tcW w:type="dxa" w:w="425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Local Server + cloud reference</w:t>
            </w:r>
          </w:p>
        </w:tc>
      </w:tr>
    </w:tbl>
    <w:p>
      <w:pPr>
        <w:spacing w:after="0"/>
      </w:pPr>
    </w:p>
    <w:p>
      <w:pPr>
        <w:pStyle w:val="Heading1"/>
      </w:pPr>
      <w:r>
        <w:t>4. Canonical repository tree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/apps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/api                 # NestJS HTTP/application host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/web                 # Next.js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/mobile              # Flutter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/ai                   # FastAPI / analytics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/workers              # async workers where separated from api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/packages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/contracts            # generated/shared schemas, no domain logic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/typescript-config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/eslint-config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/testkit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/ui-web               # optional shared web primitives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/modules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/identity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/organization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/master-data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/farm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/gis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/machinery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/warehouse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/weighing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/production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/quality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/maintenance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/iot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/integrations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/database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/migrations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/views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/reference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/spec /openapi /events /permissions /workflows /tests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/security /nfr /iot /gis /deployment /demo /codex /tools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Папки из финальной цели №33 существуют в repository как first-class artifacts; они не прячутся в wiki.</w:t>
      </w:r>
    </w:p>
    <w:p>
      <w:pPr>
        <w:pStyle w:val="Heading1"/>
      </w:pPr>
      <w:r>
        <w:t>5. Module boundary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Module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├── domain/          entities, value objects, invariants, domain events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├── application/     commands, queries, handlers, policies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├── infrastructure/  repositories, adapters, DB mappings, external clients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├── interfaces/      HTTP/controllers, event consumers, DTO mapping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└── tests/            unit + integration + contract fixtures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Другой module импортирует только публичный application/interface contract, а не internal repository/entity implementation.</w:t>
      </w:r>
    </w:p>
    <w:p>
      <w:pPr>
        <w:pStyle w:val="ListBullet"/>
        <w:spacing w:after="20"/>
      </w:pPr>
      <w:r>
        <w:t>Cross-module foreign keys допустимы только если связь принадлежит owning domain и описана архитектурой; бизнес-операции всё равно проходят через application service.</w:t>
      </w:r>
    </w:p>
    <w:p>
      <w:pPr>
        <w:pStyle w:val="ListBullet"/>
        <w:spacing w:after="20"/>
      </w:pPr>
      <w:r>
        <w:t>Read models могут денормализовывать несколько domains, но не становятся write-authority.</w:t>
      </w:r>
    </w:p>
    <w:p>
      <w:pPr>
        <w:pStyle w:val="ListBullet"/>
        <w:spacing w:after="20"/>
      </w:pPr>
      <w:r>
        <w:t>Modular monolith является default: network microservice boundary создаётся только при отдельной эксплуатационной необходимости.</w:t>
      </w:r>
    </w:p>
    <w:p>
      <w:pPr>
        <w:pStyle w:val="Heading1"/>
      </w:pPr>
      <w:r>
        <w:t>6. Backend NestJS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6803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Controller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тонкий: parse/auth/dispatch/map response; без бизнес-логики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Command handler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одна business intention; transaction boundary явна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Query handler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не изменяет canonical state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Entity/Aggregate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инварианты и state transition; без Nest/HTTP dependencies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Repository interface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application/domain-facing port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Repository implementation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PostgreSQL/infrastructure only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DTO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interface contract; не используется как domain entity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Mapper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явное преобразование DTO &lt;-&gt; domain &lt;-&gt; persistence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Exception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typed domain/application errors → central HTTP mapping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DECEC"/>
            <w:tcBorders>
              <w:top w:val="single" w:sz="2" w:color="FDECEC"/>
              <w:left w:val="single" w:sz="18" w:color="17365D"/>
              <w:bottom w:val="single" w:sz="2" w:color="FDECEC"/>
              <w:right w:val="single" w:sz="2" w:color="FDECEC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Запрет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Controller/worker/integration adapter не выполняет SQL UPDATE canonical table в обход owning application service.</w:t>
            </w:r>
          </w:p>
        </w:tc>
      </w:tr>
    </w:tbl>
    <w:p>
      <w:pPr>
        <w:pStyle w:val="Heading1"/>
      </w:pPr>
      <w:r>
        <w:t>7. Commands, Queries и transactions</w:t>
      </w:r>
    </w:p>
    <w:p>
      <w:pPr>
        <w:pStyle w:val="ListBullet"/>
        <w:spacing w:after="20"/>
      </w:pPr>
      <w:r>
        <w:t>Command имеет stable name, schema/version, idempotency key где возможны retries/offline/external delivery.</w:t>
      </w:r>
    </w:p>
    <w:p>
      <w:pPr>
        <w:pStyle w:val="ListBullet"/>
        <w:spacing w:after="20"/>
      </w:pPr>
      <w:r>
        <w:t>Каждый command явно определяет actor, tenant/site context, permission, preconditions и expected events.</w:t>
      </w:r>
    </w:p>
    <w:p>
      <w:pPr>
        <w:pStyle w:val="ListBullet"/>
        <w:spacing w:after="20"/>
      </w:pPr>
      <w:r>
        <w:t>Transaction охватывает canonical state change + transactional outbox insert. Publication в broker/queue происходит после commit.</w:t>
      </w:r>
    </w:p>
    <w:p>
      <w:pPr>
        <w:pStyle w:val="ListBullet"/>
        <w:spacing w:after="20"/>
      </w:pPr>
      <w:r>
        <w:t>Query может читать read model, materialized view или owning repository; command-side decision не опирается на eventual cloud replica.</w:t>
      </w:r>
    </w:p>
    <w:p>
      <w:pPr>
        <w:pStyle w:val="ListBullet"/>
        <w:spacing w:after="20"/>
      </w:pPr>
      <w:r>
        <w:t>Optimistic locking/version field используется для mutable aggregates, подверженных concurrent edits.</w:t>
      </w:r>
    </w:p>
    <w:p>
      <w:pPr>
        <w:pStyle w:val="Heading1"/>
      </w:pPr>
      <w:r>
        <w:t>8. PostgreSQL / PostGIS coding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6803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Identifiers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UUID/UUIDv7-like strategy per platform contract; внешние IDs отдельно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Time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timestamptz; site timezone only for presentation/grouping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Quantities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numeric с domain-defined precision; float не является canonical accounting quantity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Money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numeric + currency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Enums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предпочтительно controlled code tables / check constraints по migration policy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Geometry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PostGIS geometry/geography с explicit SRID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Soft delete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не default; только если domain semantics требует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Audit columns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created_at/created_by + version; updated_* where mutable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JSONB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только для extensible metadata/evidence, не вместо core schema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Migration является append-only artifact. Уже применённая shared migration не переписывается.</w:t>
      </w:r>
    </w:p>
    <w:p>
      <w:pPr>
        <w:pStyle w:val="ListBullet"/>
        <w:spacing w:after="20"/>
      </w:pPr>
      <w:r>
        <w:t>Schema change с data backfill делится на expand → migrate → contract, если требуется zero/low-downtime compatibility.</w:t>
      </w:r>
    </w:p>
    <w:p>
      <w:pPr>
        <w:pStyle w:val="ListBullet"/>
        <w:spacing w:after="20"/>
      </w:pPr>
      <w:r>
        <w:t>Index создаётся под конкретный query/NFR и проверяется EXPLAIN/realistic dataset; «индекс на всё» запрещён.</w:t>
      </w:r>
    </w:p>
    <w:p>
      <w:pPr>
        <w:pStyle w:val="ListBullet"/>
        <w:spacing w:after="20"/>
      </w:pPr>
      <w:r>
        <w:t>DDL должен быть совместим с backup/PITR/restore contract №22.</w:t>
      </w:r>
    </w:p>
    <w:p>
      <w:pPr>
        <w:pStyle w:val="Heading1"/>
      </w:pPr>
      <w:r>
        <w:t>9. Database ownership</w:t>
      </w:r>
    </w:p>
    <w:p>
      <w:pPr>
        <w:spacing w:after="80" w:line="252" w:lineRule="auto"/>
      </w:pPr>
      <w:r>
        <w:t>Каждая canonical table имеет owner module. Другие modules не используют её как удобный shared storage. Допустимы database views/read models для аналитики, но write path остаётся у owner.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Пример</w:t>
            </w:r>
          </w:p>
        </w:tc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969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Запрещённый обход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production_run</w:t>
            </w:r>
          </w:p>
        </w:tc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production</w:t>
            </w:r>
          </w:p>
        </w:tc>
        <w:tc>
          <w:tcPr>
            <w:tcW w:type="dxa" w:w="3969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warehouse worker UPDATE production_run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warehouse_movement</w:t>
            </w:r>
          </w:p>
        </w:tc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warehouse</w:t>
            </w:r>
          </w:p>
        </w:tc>
        <w:tc>
          <w:tcPr>
            <w:tcW w:type="dxa" w:w="3969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MES прямое изменение stock balance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iot_raw_measurement</w:t>
            </w:r>
          </w:p>
        </w:tc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iot</w:t>
            </w:r>
          </w:p>
        </w:tc>
        <w:tc>
          <w:tcPr>
            <w:tcW w:type="dxa" w:w="3969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production treating raw row as output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field_geometry_version</w:t>
            </w:r>
          </w:p>
        </w:tc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gis/farm contract</w:t>
            </w:r>
          </w:p>
        </w:tc>
        <w:tc>
          <w:tcPr>
            <w:tcW w:type="dxa" w:w="3969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web direct mutation bypassing geometry workflow</w:t>
            </w:r>
          </w:p>
        </w:tc>
      </w:tr>
    </w:tbl>
    <w:p>
      <w:pPr>
        <w:spacing w:after="0"/>
      </w:pPr>
    </w:p>
    <w:p>
      <w:pPr>
        <w:pStyle w:val="Heading1"/>
      </w:pPr>
      <w:r>
        <w:t>10. OpenAPI / API contract rules</w:t>
      </w:r>
    </w:p>
    <w:p>
      <w:pPr>
        <w:pStyle w:val="ListBullet"/>
        <w:spacing w:after="20"/>
      </w:pPr>
      <w:r>
        <w:t>OpenAPI versioned в /openapi и проходит lint в CI.</w:t>
      </w:r>
    </w:p>
    <w:p>
      <w:pPr>
        <w:pStyle w:val="ListBullet"/>
        <w:spacing w:after="20"/>
      </w:pPr>
      <w:r>
        <w:t>Breaking change требует explicit API version/deprecation plan; silently changing field meaning запрещено.</w:t>
      </w:r>
    </w:p>
    <w:p>
      <w:pPr>
        <w:pStyle w:val="ListBullet"/>
        <w:spacing w:after="20"/>
      </w:pPr>
      <w:r>
        <w:t>Request/response timestamps ISO-8601 with timezone/UTC contract; IDs never overloaded with display codes.</w:t>
      </w:r>
    </w:p>
    <w:p>
      <w:pPr>
        <w:pStyle w:val="ListBullet"/>
        <w:spacing w:after="20"/>
      </w:pPr>
      <w:r>
        <w:t>Pagination, filtering, sorting, error envelope и idempotency headers унифицированы platform-wide.</w:t>
      </w:r>
    </w:p>
    <w:p>
      <w:pPr>
        <w:pStyle w:val="ListBullet"/>
        <w:spacing w:after="20"/>
      </w:pPr>
      <w:r>
        <w:t>TypeScript/Dart clients генерируются из approved contract; generated code не редактируется вручную.</w:t>
      </w:r>
    </w:p>
    <w:p>
      <w:pPr>
        <w:pStyle w:val="ListBullet"/>
        <w:spacing w:after="20"/>
      </w:pPr>
      <w:r>
        <w:t>Internal APIs всё равно имеют контракт, даже если consumer находится в том же monorepo.</w:t>
      </w:r>
    </w:p>
    <w:p>
      <w:pPr>
        <w:pStyle w:val="Heading1"/>
      </w:pPr>
      <w:r>
        <w:t>11. Event Catalog / Outbox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business transaction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├── canonical DB change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└── outbox event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     ↓ commit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 publisher/worker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     ↓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 consumers / cloud replication / notifications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Event envelope: eventId, eventType, eventVersion, aggregateType/id, occurredAt, recordedAt, actor, siteId, correlationId, causationId, sourceSystem.</w:t>
      </w:r>
    </w:p>
    <w:p>
      <w:pPr>
        <w:pStyle w:val="ListBullet"/>
        <w:spacing w:after="20"/>
      </w:pPr>
      <w:r>
        <w:t>Consumer обязан быть idempotent; event delivery может быть at-least-once.</w:t>
      </w:r>
    </w:p>
    <w:p>
      <w:pPr>
        <w:pStyle w:val="ListBullet"/>
        <w:spacing w:after="20"/>
      </w:pPr>
      <w:r>
        <w:t>Event name отражает свершившийся факт, а не команду: production.run.started, не startProductionRun.</w:t>
      </w:r>
    </w:p>
    <w:p>
      <w:pPr>
        <w:pStyle w:val="ListBullet"/>
        <w:spacing w:after="20"/>
      </w:pPr>
      <w:r>
        <w:t>Event schema evolution backward-compatible либо получает new event version.</w:t>
      </w:r>
    </w:p>
    <w:p>
      <w:pPr>
        <w:pStyle w:val="ListBullet"/>
        <w:spacing w:after="20"/>
      </w:pPr>
      <w:r>
        <w:t>Queue/BullMQ job не считается business source-of-truth; потерянная job восстанавливается из outbox/state.</w:t>
      </w:r>
    </w:p>
    <w:p>
      <w:pPr>
        <w:pStyle w:val="Heading1"/>
      </w:pPr>
      <w:r>
        <w:t>12. Offline / Synchronization implementation rules</w:t>
      </w:r>
    </w:p>
    <w:p>
      <w:pPr>
        <w:pStyle w:val="ListBullet"/>
        <w:spacing w:after="20"/>
      </w:pPr>
      <w:r>
        <w:t>Mobile сохраняет provisional command локально до canonical acceptance Local Server.</w:t>
      </w:r>
    </w:p>
    <w:p>
      <w:pPr>
        <w:pStyle w:val="ListBullet"/>
        <w:spacing w:after="20"/>
      </w:pPr>
      <w:r>
        <w:t>Client-generated stable command/idempotency IDs обязательны для offline actions.</w:t>
      </w:r>
    </w:p>
    <w:p>
      <w:pPr>
        <w:pStyle w:val="ListBullet"/>
        <w:spacing w:after="20"/>
      </w:pPr>
      <w:r>
        <w:t>Sync engine различает command status: LOCAL_PENDING, SENT, ACCEPTED, REJECTED, CONFLICT.</w:t>
      </w:r>
    </w:p>
    <w:p>
      <w:pPr>
        <w:pStyle w:val="ListBullet"/>
        <w:spacing w:after="20"/>
      </w:pPr>
      <w:r>
        <w:t>Server never uses generic last-write-wins для business facts.</w:t>
      </w:r>
    </w:p>
    <w:p>
      <w:pPr>
        <w:pStyle w:val="ListBullet"/>
        <w:spacing w:after="20"/>
      </w:pPr>
      <w:r>
        <w:t>Attachments имеют отдельную upload queue и могут синхронизироваться независимо от command metadata.</w:t>
      </w:r>
    </w:p>
    <w:p>
      <w:pPr>
        <w:pStyle w:val="ListBullet"/>
        <w:spacing w:after="20"/>
      </w:pPr>
      <w:r>
        <w:t>UI обязан показывать pending/conflict state; offline success не маскируется под confirmed server fact.</w:t>
      </w:r>
    </w:p>
    <w:p>
      <w:pPr>
        <w:pStyle w:val="ListBullet"/>
        <w:spacing w:after="20"/>
      </w:pPr>
      <w:r>
        <w:t>Любой новый mobile-critical workflow не готов, пока нет offline acceptance test из №21/27.</w:t>
      </w:r>
    </w:p>
    <w:p>
      <w:pPr>
        <w:pStyle w:val="Heading1"/>
      </w:pPr>
      <w:r>
        <w:t>13. Flutter mobile rules</w:t>
      </w:r>
    </w:p>
    <w:p>
      <w:pPr>
        <w:spacing w:after="80" w:line="252" w:lineRule="auto"/>
      </w:pPr>
      <w:r>
        <w:t>Mobile является primary operational interface. Архитектура должна сохранять domain/UI isolation и поддерживать offline storage/sync независимо от конкретной UI страницы.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6803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presentation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screens/widgets, navigation, view state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application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use cases / commands / orchestration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domain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mobile-side value rules where needed; no server authority duplication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data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API client, local database/cache, repositories, sync queue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platform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camera, GPS, NFC, QR/barcode, files, connectivity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Reference local persistence — SQLite-compatible implementation (например Drift) только через repository/sync abstractions; library может быть заменена ADR без изменения workflow contracts.</w:t>
      </w:r>
    </w:p>
    <w:p>
      <w:pPr>
        <w:pStyle w:val="ListBullet"/>
        <w:spacing w:after="20"/>
      </w:pPr>
      <w:r>
        <w:t>UI не делает ad-hoc HTTP calls из Widget; network/local data проходит через repositories/use cases.</w:t>
      </w:r>
    </w:p>
    <w:p>
      <w:pPr>
        <w:pStyle w:val="ListBullet"/>
        <w:spacing w:after="20"/>
      </w:pPr>
      <w:r>
        <w:t>State management/library фиксируется в bootstrap ADR; внутри продукта запрещено смешивать несколько competing patterns без причины.</w:t>
      </w:r>
    </w:p>
    <w:p>
      <w:pPr>
        <w:pStyle w:val="ListBullet"/>
        <w:spacing w:after="20"/>
      </w:pPr>
      <w:r>
        <w:t>QR/GPS/photo/voice/NFC сокращают keyboard input; ручной ввод остаётся fallback.</w:t>
      </w:r>
    </w:p>
    <w:p>
      <w:pPr>
        <w:pStyle w:val="Heading1"/>
      </w:pPr>
      <w:r>
        <w:t>14. Next.js web rules</w:t>
      </w:r>
    </w:p>
    <w:p>
      <w:pPr>
        <w:pStyle w:val="ListBullet"/>
        <w:spacing w:after="20"/>
      </w:pPr>
      <w:r>
        <w:t>Web предназначен для director/admin/analytics/configuration и больших таблиц; не дублирует mobile-first workflow без причины.</w:t>
      </w:r>
    </w:p>
    <w:p>
      <w:pPr>
        <w:pStyle w:val="ListBullet"/>
        <w:spacing w:after="20"/>
      </w:pPr>
      <w:r>
        <w:t>Server/client component boundary выбирается по data/security requirement, а не случайно.</w:t>
      </w:r>
    </w:p>
    <w:p>
      <w:pPr>
        <w:pStyle w:val="ListBullet"/>
        <w:spacing w:after="20"/>
      </w:pPr>
      <w:r>
        <w:t>Forms используют typed API client и shared validation schemas там, где это безопасно; server remains authority.</w:t>
      </w:r>
    </w:p>
    <w:p>
      <w:pPr>
        <w:pStyle w:val="ListBullet"/>
        <w:spacing w:after="20"/>
      </w:pPr>
      <w:r>
        <w:t>Большие таблицы используют server-side pagination/filtering; не загружается весь enterprise dataset в browser.</w:t>
      </w:r>
    </w:p>
    <w:p>
      <w:pPr>
        <w:pStyle w:val="ListBullet"/>
        <w:spacing w:after="20"/>
      </w:pPr>
      <w:r>
        <w:t>MapLibre layers отделены от domain data adapters; geometry modifications идут через GIS API/workflow.</w:t>
      </w:r>
    </w:p>
    <w:p>
      <w:pPr>
        <w:pStyle w:val="Heading1"/>
      </w:pPr>
      <w:r>
        <w:t>15. Python / FastAPI / AI rules</w:t>
      </w:r>
    </w:p>
    <w:p>
      <w:pPr>
        <w:pStyle w:val="ListBullet"/>
        <w:spacing w:after="20"/>
      </w:pPr>
      <w:r>
        <w:t>Python services получают canonical/read-model inputs через documented API/event/data export, а не через прямой произвольный доступ ко всем production tables.</w:t>
      </w:r>
    </w:p>
    <w:p>
      <w:pPr>
        <w:pStyle w:val="ListBullet"/>
        <w:spacing w:after="20"/>
      </w:pPr>
      <w:r>
        <w:t>AI output хранится как recommendation/derived artifact с provenance, model/version и source references.</w:t>
      </w:r>
    </w:p>
    <w:p>
      <w:pPr>
        <w:pStyle w:val="ListBullet"/>
        <w:spacing w:after="20"/>
      </w:pPr>
      <w:r>
        <w:t>LLM не рассчитывает authoritative KPI, OEE, stock, mass balance или legal status; для этого существуют deterministic engines.</w:t>
      </w:r>
    </w:p>
    <w:p>
      <w:pPr>
        <w:pStyle w:val="ListBullet"/>
        <w:spacing w:after="20"/>
      </w:pPr>
      <w:r>
        <w:t>AI mutation требует explicit domain command + permission + policy; скрытый autonomous write-path запрещён.</w:t>
      </w:r>
    </w:p>
    <w:p>
      <w:pPr>
        <w:pStyle w:val="ListBullet"/>
        <w:spacing w:after="20"/>
      </w:pPr>
      <w:r>
        <w:t>Training/evaluation datasets из production требуют отдельной governance policy; Demo/QA используют synthetic data.</w:t>
      </w:r>
    </w:p>
    <w:p>
      <w:pPr>
        <w:pStyle w:val="Heading1"/>
      </w:pPr>
      <w:r>
        <w:t>16. GIS implementation rules</w:t>
      </w:r>
    </w:p>
    <w:p>
      <w:pPr>
        <w:pStyle w:val="ListBullet"/>
        <w:spacing w:after="20"/>
      </w:pPr>
      <w:r>
        <w:t>LandPlot, Field и FieldSeason остаются отдельными entities во всех layers.</w:t>
      </w:r>
    </w:p>
    <w:p>
      <w:pPr>
        <w:pStyle w:val="ListBullet"/>
        <w:spacing w:after="20"/>
      </w:pPr>
      <w:r>
        <w:t>Geometry history append/versioned; destructive overwrite исторической geometry запрещён.</w:t>
      </w:r>
    </w:p>
    <w:p>
      <w:pPr>
        <w:pStyle w:val="ListBullet"/>
        <w:spacing w:after="20"/>
      </w:pPr>
      <w:r>
        <w:t>Canonical CRS и import CRS handling соответствуют №24; every geometry carries explicit SRID.</w:t>
      </w:r>
    </w:p>
    <w:p>
      <w:pPr>
        <w:pStyle w:val="ListBullet"/>
        <w:spacing w:after="20"/>
      </w:pPr>
      <w:r>
        <w:t>Spatial operations выполняются PostGIS, а не вручную в UI.</w:t>
      </w:r>
    </w:p>
    <w:p>
      <w:pPr>
        <w:pStyle w:val="ListBullet"/>
        <w:spacing w:after="20"/>
      </w:pPr>
      <w:r>
        <w:t>Large raster/satellite assets размещаются в object storage; DB хранит metadata/index/provenance.</w:t>
      </w:r>
    </w:p>
    <w:p>
      <w:pPr>
        <w:pStyle w:val="Heading1"/>
      </w:pPr>
      <w:r>
        <w:t>17. IoT / Retrofit coding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raw measurement → normalized measurement → evidence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derived state/candidate → domain command → business fact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Device protocol adapter никогда не импортирует production/warehouse repositories.</w:t>
      </w:r>
    </w:p>
    <w:p>
      <w:pPr>
        <w:pStyle w:val="ListBullet"/>
        <w:spacing w:after="20"/>
      </w:pPr>
      <w:r>
        <w:t>Raw payload сохраняется/ссылается согласно retention policy; normalized semantic mapping versioned.</w:t>
      </w:r>
    </w:p>
    <w:p>
      <w:pPr>
        <w:pStyle w:val="ListBullet"/>
        <w:spacing w:after="20"/>
      </w:pPr>
      <w:r>
        <w:t>Every signal имеет device timestamp, receivedAt, quality/health и mapping version.</w:t>
      </w:r>
    </w:p>
    <w:p>
      <w:pPr>
        <w:pStyle w:val="ListBullet"/>
        <w:spacing w:after="20"/>
      </w:pPr>
      <w:r>
        <w:t>Control plane/actuator writes disabled/read-only by default; enablement требует отдельного security/safety design.</w:t>
      </w:r>
    </w:p>
    <w:p>
      <w:pPr>
        <w:pStyle w:val="ListBullet"/>
        <w:spacing w:after="20"/>
      </w:pPr>
      <w:r>
        <w:t>Safety PLC/E-stop logic вне scope application control.</w:t>
      </w:r>
    </w:p>
    <w:p>
      <w:pPr>
        <w:pStyle w:val="Heading1"/>
      </w:pPr>
      <w:r>
        <w:t>18. Integration adapter rules</w:t>
      </w:r>
    </w:p>
    <w:p>
      <w:pPr>
        <w:pStyle w:val="ListBullet"/>
        <w:spacing w:after="20"/>
      </w:pPr>
      <w:r>
        <w:t>Каждая внешняя система имеет adapter boundary, mapping и reconciliation state.</w:t>
      </w:r>
    </w:p>
    <w:p>
      <w:pPr>
        <w:pStyle w:val="ListBullet"/>
        <w:spacing w:after="20"/>
      </w:pPr>
      <w:r>
        <w:t>External DTO не просачивается в canonical domain entity.</w:t>
      </w:r>
    </w:p>
    <w:p>
      <w:pPr>
        <w:pStyle w:val="ListBullet"/>
        <w:spacing w:after="20"/>
      </w:pPr>
      <w:r>
        <w:t>Attribute-level Source of Truth из №23 применяется в mapper, а не через blanket overwrite всей сущности.</w:t>
      </w:r>
    </w:p>
    <w:p>
      <w:pPr>
        <w:pStyle w:val="ListBullet"/>
        <w:spacing w:after="20"/>
      </w:pPr>
      <w:r>
        <w:t>Retries используют idempotency/external version; no blind retry for non-idempotent remote action.</w:t>
      </w:r>
    </w:p>
    <w:p>
      <w:pPr>
        <w:pStyle w:val="ListBullet"/>
        <w:spacing w:after="20"/>
      </w:pPr>
      <w:r>
        <w:t>Integration failure не блокирует core local workflow, если business rule прямо не требует внешнего подтверждения.</w:t>
      </w:r>
    </w:p>
    <w:p>
      <w:pPr>
        <w:pStyle w:val="Heading1"/>
      </w:pPr>
      <w:r>
        <w:t>19. Security coding rules</w:t>
      </w:r>
    </w:p>
    <w:p>
      <w:pPr>
        <w:pStyle w:val="ListBullet"/>
        <w:spacing w:after="20"/>
      </w:pPr>
      <w:r>
        <w:t>Permission check выполняется server-side на command/query boundary; UI visibility не является security control.</w:t>
      </w:r>
    </w:p>
    <w:p>
      <w:pPr>
        <w:pStyle w:val="ListBullet"/>
        <w:spacing w:after="20"/>
      </w:pPr>
      <w:r>
        <w:t>Tenant/site/enterprise scope проверяется до repository access.</w:t>
      </w:r>
    </w:p>
    <w:p>
      <w:pPr>
        <w:pStyle w:val="ListBullet"/>
        <w:spacing w:after="20"/>
      </w:pPr>
      <w:r>
        <w:t>Secrets не хранятся в repository, demo fixtures или Docker image layers.</w:t>
      </w:r>
    </w:p>
    <w:p>
      <w:pPr>
        <w:pStyle w:val="ListBullet"/>
        <w:spacing w:after="20"/>
      </w:pPr>
      <w:r>
        <w:t>Sensitive actions audit mandatory; security events имеют correlation ID.</w:t>
      </w:r>
    </w:p>
    <w:p>
      <w:pPr>
        <w:pStyle w:val="ListBullet"/>
        <w:spacing w:after="20"/>
      </w:pPr>
      <w:r>
        <w:t>Input validation + allowlist for file types/size; object upload проходит malware/security policy при внедрении соответствующего scanner.</w:t>
      </w:r>
    </w:p>
    <w:p>
      <w:pPr>
        <w:pStyle w:val="ListBullet"/>
        <w:spacing w:after="20"/>
      </w:pPr>
      <w:r>
        <w:t>SQL interpolation запрещена; только parameterized queries/query builder.</w:t>
      </w:r>
    </w:p>
    <w:p>
      <w:pPr>
        <w:pStyle w:val="ListBullet"/>
        <w:spacing w:after="20"/>
      </w:pPr>
      <w:r>
        <w:t>Dependency supply-chain scan и license policy входят в CI.</w:t>
      </w:r>
    </w:p>
    <w:p>
      <w:pPr>
        <w:pStyle w:val="Heading1"/>
      </w:pPr>
      <w:r>
        <w:t>20. Observability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6803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Minimum fields / rule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Logs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timestamp, level, service/module, correlationId, actor/site where allowed, event/error code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Metrics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API latency, DB pool, queue depth, sync backlog, replication lag, telemetry ingest, DQ counts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Tracing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HTTP → command → DB/outbox → worker/integration where practical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Health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liveness, readiness, dependency status separated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Business observability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workflow stuck counts, unresolved conflicts, failed integrations, unclassified downtime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PII/secrets/raw credentials не должны попадать в logs. Error stack сохраняется для engineering context, но user response получает stable error code.</w:t>
      </w:r>
    </w:p>
    <w:p>
      <w:pPr>
        <w:pStyle w:val="Heading1"/>
      </w:pPr>
      <w:r>
        <w:t>21. Testing rules</w:t>
      </w:r>
    </w:p>
    <w:p>
      <w:pPr>
        <w:spacing w:after="80" w:line="252" w:lineRule="auto"/>
      </w:pPr>
      <w:r>
        <w:t>Модуль считается готовым только после проверки DB state + events + audit + permissions + offline + integrations + negative paths согласно №21.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6803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Unit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domain invariants, formulas, pure policies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Integration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PostgreSQL/PostGIS, repository, outbox, Redis/MinIO adapters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Contract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OpenAPI/events/external adapter mappings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State-machine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valid + invalid transitions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Permission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allow/deny + scope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Offline/sync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queue/idempotency/conflict/reconnect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E2E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cross-module golden scenarios №27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Load/chaos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NFR №20 and deployment №22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Flaky test не переводится в ignored без owner/issue; acceptance suite должен быть deterministic.</w:t>
      </w:r>
    </w:p>
    <w:p>
      <w:pPr>
        <w:pStyle w:val="ListBullet"/>
        <w:spacing w:after="20"/>
      </w:pPr>
      <w:r>
        <w:t>Golden values обновляются только explicit review/version bump, не автоматически после failure.</w:t>
      </w:r>
    </w:p>
    <w:p>
      <w:pPr>
        <w:pStyle w:val="Heading1"/>
      </w:pPr>
      <w:r>
        <w:t>22. CI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PR pipeline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1 lint / format / typecheck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2 unit tests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3 migration/schema validation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4 OpenAPI + Event Catalog lint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5 integration tests (Postgres/PostGIS, Redis, MinIO)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6 MINIMAL demo seed + verify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7 targeted module E2E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8 security/dependency checks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9 build artifacts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Nightly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QA profile + wider E2E + chaos subset + performance smoke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Main branch всегда deployable. Broken main считается incident для команды.</w:t>
      </w:r>
    </w:p>
    <w:p>
      <w:pPr>
        <w:pStyle w:val="ListBullet"/>
        <w:spacing w:after="20"/>
      </w:pPr>
      <w:r>
        <w:t>Generated artifacts сравниваются в CI: contract changed but generated client stale → fail.</w:t>
      </w:r>
    </w:p>
    <w:p>
      <w:pPr>
        <w:pStyle w:val="ListBullet"/>
        <w:spacing w:after="20"/>
      </w:pPr>
      <w:r>
        <w:t>Migration ordering/conflict проверяется до merge.</w:t>
      </w:r>
    </w:p>
    <w:p>
      <w:pPr>
        <w:pStyle w:val="Heading1"/>
      </w:pPr>
      <w:r>
        <w:t>23. Branching and review</w:t>
      </w:r>
    </w:p>
    <w:p>
      <w:pPr>
        <w:spacing w:after="80" w:line="252" w:lineRule="auto"/>
      </w:pPr>
      <w:r>
        <w:t>Reference workflow — trunk-based development с короткоживущими branches и обязательным PR review. Long-lived feature branches не являются default.</w:t>
      </w:r>
    </w:p>
    <w:p>
      <w:pPr>
        <w:pStyle w:val="ListBullet"/>
        <w:spacing w:after="20"/>
      </w:pPr>
      <w:r>
        <w:t>PR соответствует одному bounded slice и имеет связанный requirement/scenario IDs.</w:t>
      </w:r>
    </w:p>
    <w:p>
      <w:pPr>
        <w:pStyle w:val="ListBullet"/>
        <w:spacing w:after="20"/>
      </w:pPr>
      <w:r>
        <w:t>Commit/PR title должен позволять понять module и intention; reference convention — Conventional Commits, если не заменено ADR.</w:t>
      </w:r>
    </w:p>
    <w:p>
      <w:pPr>
        <w:pStyle w:val="ListBullet"/>
        <w:spacing w:after="20"/>
      </w:pPr>
      <w:r>
        <w:t>Generated changes отделяются логически от handwritten logic, чтобы review видел реальное изменение.</w:t>
      </w:r>
    </w:p>
    <w:p>
      <w:pPr>
        <w:pStyle w:val="ListBullet"/>
        <w:spacing w:after="20"/>
      </w:pPr>
      <w:r>
        <w:t>Refactor и behavior change по возможности разделяются.</w:t>
      </w:r>
    </w:p>
    <w:p>
      <w:pPr>
        <w:pStyle w:val="ListBullet"/>
        <w:spacing w:after="20"/>
      </w:pPr>
      <w:r>
        <w:t>Merge запрещён при red CI, unresolved security blocker или отсутствующем migration/contract update.</w:t>
      </w:r>
    </w:p>
    <w:p>
      <w:pPr>
        <w:pStyle w:val="Heading1"/>
      </w:pPr>
      <w:r>
        <w:t>24. Versioning and compatibility</w:t>
      </w:r>
    </w:p>
    <w:p>
      <w:pPr>
        <w:pStyle w:val="ListBullet"/>
        <w:spacing w:after="20"/>
      </w:pPr>
      <w:r>
        <w:t>Product release использует SemVer-like policy для public contracts; internal build version хранится отдельно.</w:t>
      </w:r>
    </w:p>
    <w:p>
      <w:pPr>
        <w:pStyle w:val="ListBullet"/>
        <w:spacing w:after="20"/>
      </w:pPr>
      <w:r>
        <w:t>OpenAPI/event schema/database migration/dataset version связаны с release metadata.</w:t>
      </w:r>
    </w:p>
    <w:p>
      <w:pPr>
        <w:pStyle w:val="ListBullet"/>
        <w:spacing w:after="20"/>
      </w:pPr>
      <w:r>
        <w:t>Mobile backward compatibility учитывает, что устройства могут обновляться позже Local Server.</w:t>
      </w:r>
    </w:p>
    <w:p>
      <w:pPr>
        <w:pStyle w:val="ListBullet"/>
        <w:spacing w:after="20"/>
      </w:pPr>
      <w:r>
        <w:t>Offline queue from previous app version имеет migration/compatibility test.</w:t>
      </w:r>
    </w:p>
    <w:p>
      <w:pPr>
        <w:pStyle w:val="ListBullet"/>
        <w:spacing w:after="20"/>
      </w:pPr>
      <w:r>
        <w:t>Cloud replica допускает version skew только в явно поддерживаемом compatibility window.</w:t>
      </w:r>
    </w:p>
    <w:p>
      <w:pPr>
        <w:pStyle w:val="Heading1"/>
      </w:pPr>
      <w:r>
        <w:t>25. TypeScript coding rules</w:t>
      </w:r>
    </w:p>
    <w:p>
      <w:pPr>
        <w:pStyle w:val="ListBullet"/>
        <w:spacing w:after="20"/>
      </w:pPr>
      <w:r>
        <w:t>strict TypeScript enabled; any требует локального justification и не используется как обычный escape hatch.</w:t>
      </w:r>
    </w:p>
    <w:p>
      <w:pPr>
        <w:pStyle w:val="ListBullet"/>
        <w:spacing w:after="20"/>
      </w:pPr>
      <w:r>
        <w:t>No default export для domain/application code; explicit named exports облегчают refactor/search.</w:t>
      </w:r>
    </w:p>
    <w:p>
      <w:pPr>
        <w:pStyle w:val="ListBullet"/>
        <w:spacing w:after="20"/>
      </w:pPr>
      <w:r>
        <w:t>Business identifiers оформляются typed aliases/value objects там, где смешение IDs опасно.</w:t>
      </w:r>
    </w:p>
    <w:p>
      <w:pPr>
        <w:pStyle w:val="ListBullet"/>
        <w:spacing w:after="20"/>
      </w:pPr>
      <w:r>
        <w:t>Dates внутри domain/application передаются как Date/Instant abstraction, не случайные locale strings.</w:t>
      </w:r>
    </w:p>
    <w:p>
      <w:pPr>
        <w:pStyle w:val="ListBullet"/>
        <w:spacing w:after="20"/>
      </w:pPr>
      <w:r>
        <w:t>Unhandled Promise, floating async и implicit error swallowing запрещены lint rules.</w:t>
      </w:r>
    </w:p>
    <w:p>
      <w:pPr>
        <w:pStyle w:val="ListBullet"/>
        <w:spacing w:after="20"/>
      </w:pPr>
      <w:r>
        <w:t>Domain code не зависит от Nest decorators.</w:t>
      </w:r>
    </w:p>
    <w:p>
      <w:pPr>
        <w:pStyle w:val="Heading1"/>
      </w:pPr>
      <w:r>
        <w:t>26. Dart / Flutter coding rules</w:t>
      </w:r>
    </w:p>
    <w:p>
      <w:pPr>
        <w:pStyle w:val="ListBullet"/>
        <w:spacing w:after="20"/>
      </w:pPr>
      <w:r>
        <w:t>Null safety mandatory; dynamic минимизируется на serialization boundary.</w:t>
      </w:r>
    </w:p>
    <w:p>
      <w:pPr>
        <w:pStyle w:val="ListBullet"/>
        <w:spacing w:after="20"/>
      </w:pPr>
      <w:r>
        <w:t>DTO/generated API models не становятся UI state model автоматически.</w:t>
      </w:r>
    </w:p>
    <w:p>
      <w:pPr>
        <w:pStyle w:val="ListBullet"/>
        <w:spacing w:after="20"/>
      </w:pPr>
      <w:r>
        <w:t>Local database migrations versioned и имеют upgrade test.</w:t>
      </w:r>
    </w:p>
    <w:p>
      <w:pPr>
        <w:pStyle w:val="ListBullet"/>
        <w:spacing w:after="20"/>
      </w:pPr>
      <w:r>
        <w:t>Connectivity status не используется как доказательство server reachability; sync engine опирается на actual requests.</w:t>
      </w:r>
    </w:p>
    <w:p>
      <w:pPr>
        <w:pStyle w:val="ListBullet"/>
        <w:spacing w:after="20"/>
      </w:pPr>
      <w:r>
        <w:t>Background sync не меняет visible confirmed state без reconciliation/audit semantics.</w:t>
      </w:r>
    </w:p>
    <w:p>
      <w:pPr>
        <w:pStyle w:val="Heading1"/>
      </w:pPr>
      <w:r>
        <w:t>27. Python coding rules</w:t>
      </w:r>
    </w:p>
    <w:p>
      <w:pPr>
        <w:pStyle w:val="ListBullet"/>
        <w:spacing w:after="20"/>
      </w:pPr>
      <w:r>
        <w:t>Type hints обязательны для public functions/services; mypy/pyright-equivalent check выбирается bootstrap ADR.</w:t>
      </w:r>
    </w:p>
    <w:p>
      <w:pPr>
        <w:pStyle w:val="ListBullet"/>
        <w:spacing w:after="20"/>
      </w:pPr>
      <w:r>
        <w:t>Pydantic models отделяются от core analytical logic там, где это упрощает testing.</w:t>
      </w:r>
    </w:p>
    <w:p>
      <w:pPr>
        <w:pStyle w:val="ListBullet"/>
        <w:spacing w:after="20"/>
      </w:pPr>
      <w:r>
        <w:t>Notebook не является production implementation; production algorithms живут в packages/modules с tests.</w:t>
      </w:r>
    </w:p>
    <w:p>
      <w:pPr>
        <w:pStyle w:val="ListBullet"/>
        <w:spacing w:after="20"/>
      </w:pPr>
      <w:r>
        <w:t>Random ML/analytics pipelines фиксируют seed, data version и model version для reproducibility.</w:t>
      </w:r>
    </w:p>
    <w:p>
      <w:pPr>
        <w:pStyle w:val="ListBullet"/>
        <w:spacing w:after="20"/>
      </w:pPr>
      <w:r>
        <w:t>Python service не имеет privileged DB credentials шире необходимого.</w:t>
      </w:r>
    </w:p>
    <w:p>
      <w:pPr>
        <w:pStyle w:val="Heading1"/>
      </w:pPr>
      <w:r>
        <w:t>28. SQL / migration rules</w:t>
      </w:r>
    </w:p>
    <w:p>
      <w:pPr>
        <w:pStyle w:val="ListBullet"/>
        <w:spacing w:after="20"/>
      </w:pPr>
      <w:r>
        <w:t>Migration filename/ID monotonically ordered and immutable after shared merge.</w:t>
      </w:r>
    </w:p>
    <w:p>
      <w:pPr>
        <w:pStyle w:val="ListBullet"/>
        <w:spacing w:after="20"/>
      </w:pPr>
      <w:r>
        <w:t>Каждая destructive migration имеет documented backup/rollback/recovery plan; rollback SQL не притворяется безопасным, если потеря данных необратима.</w:t>
      </w:r>
    </w:p>
    <w:p>
      <w:pPr>
        <w:pStyle w:val="ListBullet"/>
        <w:spacing w:after="20"/>
      </w:pPr>
      <w:r>
        <w:t>Data backfill выполняется батчами при больших объёмах и измеряется на PERFORMANCE dataset.</w:t>
      </w:r>
    </w:p>
    <w:p>
      <w:pPr>
        <w:pStyle w:val="ListBullet"/>
        <w:spacing w:after="20"/>
      </w:pPr>
      <w:r>
        <w:t>Migration не зависит от internet/external API.</w:t>
      </w:r>
    </w:p>
    <w:p>
      <w:pPr>
        <w:pStyle w:val="ListBullet"/>
        <w:spacing w:after="20"/>
      </w:pPr>
      <w:r>
        <w:t>PostGIS extension/version prerequisites проверяются deployment health check.</w:t>
      </w:r>
    </w:p>
    <w:p>
      <w:pPr>
        <w:pStyle w:val="Heading1"/>
      </w:pPr>
      <w:r>
        <w:t>29. Documentation / ADR / specs-as-code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/spec         human/system specifications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/openapi      HTTP contracts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/events       event schemas/catalog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/permissions  permission registry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/workflows    state machines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/tests        acceptance registry/mappings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/codex        executable implementation tasks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/adr          architecture decision records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Архитектурное отклонение от №1–28 требует ADR с context, decision, alternatives, consequences и migration impact.</w:t>
      </w:r>
    </w:p>
    <w:p>
      <w:pPr>
        <w:pStyle w:val="ListBullet"/>
        <w:spacing w:after="20"/>
      </w:pPr>
      <w:r>
        <w:t>README модуля описывает owner boundary, public commands/queries/events и local run/test commands.</w:t>
      </w:r>
    </w:p>
    <w:p>
      <w:pPr>
        <w:pStyle w:val="ListBullet"/>
        <w:spacing w:after="20"/>
      </w:pPr>
      <w:r>
        <w:t>Документация, противоречащая executable contract/test, считается defect.</w:t>
      </w:r>
    </w:p>
    <w:p>
      <w:pPr>
        <w:pStyle w:val="Heading1"/>
      </w:pPr>
      <w:r>
        <w:t>30. agroctl development CLI</w:t>
      </w:r>
    </w:p>
    <w:p>
      <w:pPr>
        <w:spacing w:after="80" w:line="252" w:lineRule="auto"/>
      </w:pPr>
      <w:r>
        <w:t>agroctl должен стать стабильным entry point для repeatable operations developer/local-server lifecycle.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agroctl dev bootstrap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agroctl db migrate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agroctl demo seed --profile DEMO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agroctl demo verify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agroctl scenario run DEMO27-MES-005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agroctl backup create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agroctl restore verify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CLI команды должны быть non-interactive-capable для CI и иметь environment guards для destructive actions.</w:t>
      </w:r>
    </w:p>
    <w:p>
      <w:pPr>
        <w:pStyle w:val="Heading1"/>
      </w:pPr>
      <w:r>
        <w:t>31. Development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6803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Scope / exit direction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P0 Foundation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monorepo, toolchain, Docker Compose, CI, base API/web/mobile shells, migrations, observability, agroctl bootstrap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P1 Identity &amp; Governance Core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organization, users, roles/permissions, audit, master data, provenance/source-of-truth primitives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P2 Offline Mobile Foundation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local persistence, command queue, idempotency, sync/conflict UI, attachments, 14-day critical offline tests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P3 GIS / Farm Core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LandPlot/Field/FieldSeason, geometry versions, MapLibre, imports, field tasks, QR/GPS workflows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P4 Machinery / Warehouse / Weighing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assets, task execution, batches, warehouse movements, weighing, initial traceability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P5 Integrations Base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1C adapter/mapping/reconciliation, external statuses, mock services, notification/rules engine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P6 Production MES-lite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ProductionOrder/Run, recipe, consumption/output, downtime, OEE, quality/maintenance links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P7 IoT / Retrofit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IoT evidence contract, gateway adapters, RUN/IDLE/STOP resolver, Modbus/OPC UA read-only, telemetry buffering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P8 Remote Sensing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satellite provider, cloud mask, indices, anomaly zones, scouting loop, prescription maps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P9 Analytics / AI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cross-domain analytics, explainable recommendations, anomaly/root-cause assistants with controlled commands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P10 Enterprise Hardening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performance to NFR, DR/restore drills, security hardening, upgrade compatibility, observability/SRE runbooks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Фазы не означают waterfall. Внутри каждой используется vertical slicing, а dependent slices следующей фазы могут начинаться после stabilisation необходимых contracts. Но foundation/invariants не обходятся ради demo speed.</w:t>
      </w:r>
    </w:p>
    <w:p>
      <w:pPr>
        <w:pStyle w:val="Heading1"/>
      </w:pPr>
      <w:r>
        <w:t>32. Vertical slice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Slice X.Y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INPUT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requirement IDs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workflow/state machine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data dictionary/business rules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API/event/permission contracts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demo scenario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IMPLEMENT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migration/schema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domain/application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API/event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audit/permissions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offline/integration behavior where relevant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tests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DONE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DB + events + audit + permissions + negative paths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demo/golden scenario green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- docs/contracts updated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4E5"/>
            <w:tcBorders>
              <w:top w:val="single" w:sz="2" w:color="FFF4E5"/>
              <w:left w:val="single" w:sz="18" w:color="17365D"/>
              <w:bottom w:val="single" w:sz="2" w:color="FFF4E5"/>
              <w:right w:val="single" w:sz="2" w:color="FFF4E5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Codex scope guard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Одна задача Codex не должна одновременно создавать несколько независимых domains, менять архитектуру, интеграции и UI «по своему усмотрению». Любое обнаруженное противоречие фиксируется как issue/ADR request, а не обходится новой скрытой архитектурой.</w:t>
            </w:r>
          </w:p>
        </w:tc>
      </w:tr>
    </w:tbl>
    <w:p>
      <w:pPr>
        <w:pStyle w:val="Heading1"/>
      </w:pPr>
      <w:r>
        <w:t>33. Codex task contract</w:t>
      </w:r>
    </w:p>
    <w:p>
      <w:pPr>
        <w:pStyle w:val="ListBullet"/>
        <w:spacing w:after="20"/>
      </w:pPr>
      <w:r>
        <w:t>Каждая задача содержит allowed_paths и forbidden_paths либо эквивалентную boundary policy.</w:t>
      </w:r>
    </w:p>
    <w:p>
      <w:pPr>
        <w:pStyle w:val="ListBullet"/>
        <w:spacing w:after="20"/>
      </w:pPr>
      <w:r>
        <w:t>Codex читает relevant specs прежде, чем писать код; минимум: Data Dictionary, Business Rules, workflow, API/event, permissions, tests, NFR для slice.</w:t>
      </w:r>
    </w:p>
    <w:p>
      <w:pPr>
        <w:pStyle w:val="ListBullet"/>
        <w:spacing w:after="20"/>
      </w:pPr>
      <w:r>
        <w:t>Codex не переименовывает canonical concepts без изменения спецификаций.</w:t>
      </w:r>
    </w:p>
    <w:p>
      <w:pPr>
        <w:pStyle w:val="ListBullet"/>
        <w:spacing w:after="20"/>
      </w:pPr>
      <w:r>
        <w:t>Codex не добавляет dependency, migration pattern или shared abstraction глобального уровня без explicit task/ADR.</w:t>
      </w:r>
    </w:p>
    <w:p>
      <w:pPr>
        <w:pStyle w:val="ListBullet"/>
        <w:spacing w:after="20"/>
      </w:pPr>
      <w:r>
        <w:t>Codex обязан запускать targeted tests и report failed/unimplemented acceptance IDs.</w:t>
      </w:r>
    </w:p>
    <w:p>
      <w:pPr>
        <w:pStyle w:val="ListBullet"/>
        <w:spacing w:after="20"/>
      </w:pPr>
      <w:r>
        <w:t>Если slice нельзя закончить, partial implementation маркируется feature flag/disabled path, а не имитируется fake success.</w:t>
      </w:r>
    </w:p>
    <w:p>
      <w:pPr>
        <w:pStyle w:val="Heading1"/>
      </w:pPr>
      <w:r>
        <w:t>34. Module implementation order for Codex</w:t>
      </w:r>
    </w:p>
    <w:p>
      <w:pPr>
        <w:pStyle w:val="ListNumber"/>
        <w:spacing w:after="20"/>
      </w:pPr>
      <w:r>
        <w:t>28.1 Repository/toolchain/bootstrap</w:t>
      </w:r>
    </w:p>
    <w:p>
      <w:pPr>
        <w:pStyle w:val="ListNumber"/>
        <w:spacing w:after="20"/>
      </w:pPr>
      <w:r>
        <w:t>28.2 Organization + identity + permissions + audit</w:t>
      </w:r>
    </w:p>
    <w:p>
      <w:pPr>
        <w:pStyle w:val="ListNumber"/>
        <w:spacing w:after="20"/>
      </w:pPr>
      <w:r>
        <w:t>28.3 Master data/provenance base</w:t>
      </w:r>
    </w:p>
    <w:p>
      <w:pPr>
        <w:pStyle w:val="ListNumber"/>
        <w:spacing w:after="20"/>
      </w:pPr>
      <w:r>
        <w:t>28.4 Offline mobile command/sync kernel</w:t>
      </w:r>
    </w:p>
    <w:p>
      <w:pPr>
        <w:pStyle w:val="ListNumber"/>
        <w:spacing w:after="20"/>
      </w:pPr>
      <w:r>
        <w:t>28.5 GIS LandPlot/Field/FieldSeason</w:t>
      </w:r>
    </w:p>
    <w:p>
      <w:pPr>
        <w:pStyle w:val="ListNumber"/>
        <w:spacing w:after="20"/>
      </w:pPr>
      <w:r>
        <w:t>28.6 Field tasks/mobile execution</w:t>
      </w:r>
    </w:p>
    <w:p>
      <w:pPr>
        <w:pStyle w:val="ListNumber"/>
        <w:spacing w:after="20"/>
      </w:pPr>
      <w:r>
        <w:t>28.7 Machinery/assets</w:t>
      </w:r>
    </w:p>
    <w:p>
      <w:pPr>
        <w:pStyle w:val="ListNumber"/>
        <w:spacing w:after="20"/>
      </w:pPr>
      <w:r>
        <w:t>28.8 Warehouse + batch</w:t>
      </w:r>
    </w:p>
    <w:p>
      <w:pPr>
        <w:pStyle w:val="ListNumber"/>
        <w:spacing w:after="20"/>
      </w:pPr>
      <w:r>
        <w:t>28.9 Weighing</w:t>
      </w:r>
    </w:p>
    <w:p>
      <w:pPr>
        <w:pStyle w:val="ListNumber"/>
        <w:spacing w:after="20"/>
      </w:pPr>
      <w:r>
        <w:t>28.10 Traceability core</w:t>
      </w:r>
    </w:p>
    <w:p>
      <w:pPr>
        <w:pStyle w:val="ListNumber"/>
        <w:spacing w:after="20"/>
      </w:pPr>
      <w:r>
        <w:t>28.11 1C integration skeleton/reconciliation</w:t>
      </w:r>
    </w:p>
    <w:p>
      <w:pPr>
        <w:pStyle w:val="ListNumber"/>
        <w:spacing w:after="20"/>
      </w:pPr>
      <w:r>
        <w:t>28.12 ProductionOrder/ProductionRun</w:t>
      </w:r>
    </w:p>
    <w:p>
      <w:pPr>
        <w:pStyle w:val="ListNumber"/>
        <w:spacing w:after="20"/>
      </w:pPr>
      <w:r>
        <w:t>28.13 Production material/output/genealogy</w:t>
      </w:r>
    </w:p>
    <w:p>
      <w:pPr>
        <w:pStyle w:val="ListNumber"/>
        <w:spacing w:after="20"/>
      </w:pPr>
      <w:r>
        <w:t>28.14 Downtime/OEE</w:t>
      </w:r>
    </w:p>
    <w:p>
      <w:pPr>
        <w:pStyle w:val="ListNumber"/>
        <w:spacing w:after="20"/>
      </w:pPr>
      <w:r>
        <w:t>28.15 Quality/maintenance integration</w:t>
      </w:r>
    </w:p>
    <w:p>
      <w:pPr>
        <w:pStyle w:val="ListNumber"/>
        <w:spacing w:after="20"/>
      </w:pPr>
      <w:r>
        <w:t>28.16 IoT evidence + state resolver</w:t>
      </w:r>
    </w:p>
    <w:p>
      <w:pPr>
        <w:pStyle w:val="ListNumber"/>
        <w:spacing w:after="20"/>
      </w:pPr>
      <w:r>
        <w:t>28.17 Retrofit Modbus/OPC UA read-only</w:t>
      </w:r>
    </w:p>
    <w:p>
      <w:pPr>
        <w:pStyle w:val="ListNumber"/>
        <w:spacing w:after="20"/>
      </w:pPr>
      <w:r>
        <w:t>28.18 Satellite/scouting</w:t>
      </w:r>
    </w:p>
    <w:p>
      <w:pPr>
        <w:pStyle w:val="ListNumber"/>
        <w:spacing w:after="20"/>
      </w:pPr>
      <w:r>
        <w:t>28.19 Analytics/AI controlled recommendations</w:t>
      </w:r>
    </w:p>
    <w:p>
      <w:pPr>
        <w:pStyle w:val="ListNumber"/>
        <w:spacing w:after="20"/>
      </w:pPr>
      <w:r>
        <w:t>28.20 enterprise hardening/performance/DR</w:t>
      </w:r>
    </w:p>
    <w:p>
      <w:pPr>
        <w:pStyle w:val="Heading1"/>
      </w:pPr>
      <w:r>
        <w:t>35. Feature flags and incomplete modules</w:t>
      </w:r>
    </w:p>
    <w:p>
      <w:pPr>
        <w:pStyle w:val="ListBullet"/>
        <w:spacing w:after="20"/>
      </w:pPr>
      <w:r>
        <w:t>Незавершённая capability скрывается explicit feature flag/config, а не dead UI button.</w:t>
      </w:r>
    </w:p>
    <w:p>
      <w:pPr>
        <w:pStyle w:val="ListBullet"/>
        <w:spacing w:after="20"/>
      </w:pPr>
      <w:r>
        <w:t>Feature flag не используется как постоянная замена permission или domain state.</w:t>
      </w:r>
    </w:p>
    <w:p>
      <w:pPr>
        <w:pStyle w:val="ListBullet"/>
        <w:spacing w:after="20"/>
      </w:pPr>
      <w:r>
        <w:t>Disabled feature не должна регистрировать consumers/jobs, которые corrupt state.</w:t>
      </w:r>
    </w:p>
    <w:p>
      <w:pPr>
        <w:pStyle w:val="ListBullet"/>
        <w:spacing w:after="20"/>
      </w:pPr>
      <w:r>
        <w:t>Removal old flag входит в Definition of Done после rollout stabilisation.</w:t>
      </w:r>
    </w:p>
    <w:p>
      <w:pPr>
        <w:pStyle w:val="Heading1"/>
      </w:pPr>
      <w:r>
        <w:t>36. Pull Request Definition</w:t>
      </w:r>
    </w:p>
    <w:p>
      <w:pPr>
        <w:spacing w:after="80" w:line="252" w:lineRule="auto"/>
      </w:pPr>
      <w:r>
        <w:t>Каждый PR должен быть reviewable как один bounded change. Он содержит requirement/scenario IDs, impact summary, migration/API/event notes, test evidence и rollback/compatibility notes при необходимости.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Review question</w:t>
            </w:r>
          </w:p>
        </w:tc>
        <w:tc>
          <w:tcPr>
            <w:tcW w:type="dxa" w:w="6236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Expected answer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Boundary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Каким module владеет change?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State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Какие canonical facts меняются?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Contracts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Какие API/events/permissions изменены?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Offline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Есть ли mobile/offline impact?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Migration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Можно ли обновить существующую установку?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Audit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Кто/что фиксируется?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Tests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Какие acceptance IDs закрыты?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Security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Новые permissions/secrets/input surfaces?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NFR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Есть performance/availability impact?</w:t>
            </w:r>
          </w:p>
        </w:tc>
      </w:tr>
    </w:tbl>
    <w:p>
      <w:pPr>
        <w:spacing w:after="0"/>
      </w:pPr>
    </w:p>
    <w:p>
      <w:pPr>
        <w:pStyle w:val="Heading1"/>
      </w:pPr>
      <w:r>
        <w:t>37. Definition of Done for implementation slice</w:t>
      </w:r>
    </w:p>
    <w:p>
      <w:pPr>
        <w:pStyle w:val="ListBullet"/>
        <w:spacing w:after="20"/>
      </w:pPr>
      <w:r>
        <w:t>Schema/migration versioned and tested on clean + upgrade DB.</w:t>
      </w:r>
    </w:p>
    <w:p>
      <w:pPr>
        <w:pStyle w:val="ListBullet"/>
        <w:spacing w:after="20"/>
      </w:pPr>
      <w:r>
        <w:t>Domain invariants and state transitions implemented without UI-specific logic.</w:t>
      </w:r>
    </w:p>
    <w:p>
      <w:pPr>
        <w:pStyle w:val="ListBullet"/>
        <w:spacing w:after="20"/>
      </w:pPr>
      <w:r>
        <w:t>API/OpenAPI updated; generated clients regenerated.</w:t>
      </w:r>
    </w:p>
    <w:p>
      <w:pPr>
        <w:pStyle w:val="ListBullet"/>
        <w:spacing w:after="20"/>
      </w:pPr>
      <w:r>
        <w:t>Events/outbox and consumers idempotent.</w:t>
      </w:r>
    </w:p>
    <w:p>
      <w:pPr>
        <w:pStyle w:val="ListBullet"/>
        <w:spacing w:after="20"/>
      </w:pPr>
      <w:r>
        <w:t>Permission and scope checks server-side.</w:t>
      </w:r>
    </w:p>
    <w:p>
      <w:pPr>
        <w:pStyle w:val="ListBullet"/>
        <w:spacing w:after="20"/>
      </w:pPr>
      <w:r>
        <w:t>Audit/provenance implemented for required changes.</w:t>
      </w:r>
    </w:p>
    <w:p>
      <w:pPr>
        <w:pStyle w:val="ListBullet"/>
        <w:spacing w:after="20"/>
      </w:pPr>
      <w:r>
        <w:t>Offline/sync implemented and tested when workflow mobile-critical.</w:t>
      </w:r>
    </w:p>
    <w:p>
      <w:pPr>
        <w:pStyle w:val="ListBullet"/>
        <w:spacing w:after="20"/>
      </w:pPr>
      <w:r>
        <w:t>Integration failure/negative path covered where relevant.</w:t>
      </w:r>
    </w:p>
    <w:p>
      <w:pPr>
        <w:pStyle w:val="ListBullet"/>
        <w:spacing w:after="20"/>
      </w:pPr>
      <w:r>
        <w:t>Unit + integration + contract + acceptance tests green.</w:t>
      </w:r>
    </w:p>
    <w:p>
      <w:pPr>
        <w:pStyle w:val="ListBullet"/>
        <w:spacing w:after="20"/>
      </w:pPr>
      <w:r>
        <w:t>Demo/QA fixture/scenario added or updated.</w:t>
      </w:r>
    </w:p>
    <w:p>
      <w:pPr>
        <w:pStyle w:val="ListBullet"/>
        <w:spacing w:after="20"/>
      </w:pPr>
      <w:r>
        <w:t>Observability/error codes sufficient for support.</w:t>
      </w:r>
    </w:p>
    <w:p>
      <w:pPr>
        <w:pStyle w:val="ListBullet"/>
        <w:spacing w:after="20"/>
      </w:pPr>
      <w:r>
        <w:t>Docs/ADR updated; no unexplained TODO on critical path.</w:t>
      </w:r>
    </w:p>
    <w:p>
      <w:pPr>
        <w:pStyle w:val="Heading1"/>
      </w:pPr>
      <w:r>
        <w:t>38. Acceptance registry №28</w:t>
      </w:r>
    </w:p>
    <w:p>
      <w:pPr>
        <w:pStyle w:val="ListBullet"/>
        <w:spacing w:after="20"/>
      </w:pPr>
      <w:r>
        <w:t>AT28-001 Repository bootstrap выполняется одной documented command chain.</w:t>
      </w:r>
    </w:p>
    <w:p>
      <w:pPr>
        <w:pStyle w:val="ListBullet"/>
        <w:spacing w:after="20"/>
      </w:pPr>
      <w:r>
        <w:t>AT28-002 Main branch builds API/web/mobile/AI shells.</w:t>
      </w:r>
    </w:p>
    <w:p>
      <w:pPr>
        <w:pStyle w:val="ListBullet"/>
        <w:spacing w:after="20"/>
      </w:pPr>
      <w:r>
        <w:t>AT28-003 Module boundary lint/test предотвращает forbidden internal imports.</w:t>
      </w:r>
    </w:p>
    <w:p>
      <w:pPr>
        <w:pStyle w:val="ListBullet"/>
        <w:spacing w:after="20"/>
      </w:pPr>
      <w:r>
        <w:t>AT28-004 Controller не содержит domain transaction logic.</w:t>
      </w:r>
    </w:p>
    <w:p>
      <w:pPr>
        <w:pStyle w:val="ListBullet"/>
        <w:spacing w:after="20"/>
      </w:pPr>
      <w:r>
        <w:t>AT28-005 Cross-module direct canonical table write отсутствует.</w:t>
      </w:r>
    </w:p>
    <w:p>
      <w:pPr>
        <w:pStyle w:val="ListBullet"/>
        <w:spacing w:after="20"/>
      </w:pPr>
      <w:r>
        <w:t>AT28-006 Transactional outbox создаётся atomically with business fact.</w:t>
      </w:r>
    </w:p>
    <w:p>
      <w:pPr>
        <w:pStyle w:val="ListBullet"/>
        <w:spacing w:after="20"/>
      </w:pPr>
      <w:r>
        <w:t>AT28-007 Duplicate event delivery idempotent.</w:t>
      </w:r>
    </w:p>
    <w:p>
      <w:pPr>
        <w:pStyle w:val="ListBullet"/>
        <w:spacing w:after="20"/>
      </w:pPr>
      <w:r>
        <w:t>AT28-008 Applied migration не изменяется inplace.</w:t>
      </w:r>
    </w:p>
    <w:p>
      <w:pPr>
        <w:pStyle w:val="ListBullet"/>
        <w:spacing w:after="20"/>
      </w:pPr>
      <w:r>
        <w:t>AT28-009 Clean DB migrates from zero.</w:t>
      </w:r>
    </w:p>
    <w:p>
      <w:pPr>
        <w:pStyle w:val="ListBullet"/>
        <w:spacing w:after="20"/>
      </w:pPr>
      <w:r>
        <w:t>AT28-010 Existing reference DB upgrades successfully.</w:t>
      </w:r>
    </w:p>
    <w:p>
      <w:pPr>
        <w:pStyle w:val="ListBullet"/>
        <w:spacing w:after="20"/>
      </w:pPr>
      <w:r>
        <w:t>AT28-011 timestamptz rule проверяется schema lint/review.</w:t>
      </w:r>
    </w:p>
    <w:p>
      <w:pPr>
        <w:pStyle w:val="ListBullet"/>
        <w:spacing w:after="20"/>
      </w:pPr>
      <w:r>
        <w:t>AT28-012 canonical quantity не хранится float.</w:t>
      </w:r>
    </w:p>
    <w:p>
      <w:pPr>
        <w:pStyle w:val="ListBullet"/>
        <w:spacing w:after="20"/>
      </w:pPr>
      <w:r>
        <w:t>AT28-013 PostGIS geometries имеют SRID.</w:t>
      </w:r>
    </w:p>
    <w:p>
      <w:pPr>
        <w:pStyle w:val="ListBullet"/>
        <w:spacing w:after="20"/>
      </w:pPr>
      <w:r>
        <w:t>AT28-014 OpenAPI lint проходит.</w:t>
      </w:r>
    </w:p>
    <w:p>
      <w:pPr>
        <w:pStyle w:val="ListBullet"/>
        <w:spacing w:after="20"/>
      </w:pPr>
      <w:r>
        <w:t>AT28-015 Breaking API change требует version/deprecation.</w:t>
      </w:r>
    </w:p>
    <w:p>
      <w:pPr>
        <w:pStyle w:val="ListBullet"/>
        <w:spacing w:after="20"/>
      </w:pPr>
      <w:r>
        <w:t>AT28-016 Generated client stale → CI fail.</w:t>
      </w:r>
    </w:p>
    <w:p>
      <w:pPr>
        <w:pStyle w:val="ListBullet"/>
        <w:spacing w:after="20"/>
      </w:pPr>
      <w:r>
        <w:t>AT28-017 Event schema version присутствует.</w:t>
      </w:r>
    </w:p>
    <w:p>
      <w:pPr>
        <w:pStyle w:val="ListBullet"/>
        <w:spacing w:after="20"/>
      </w:pPr>
      <w:r>
        <w:t>AT28-018 Event envelope содержит correlation/causation IDs.</w:t>
      </w:r>
    </w:p>
    <w:p>
      <w:pPr>
        <w:pStyle w:val="ListBullet"/>
        <w:spacing w:after="20"/>
      </w:pPr>
      <w:r>
        <w:t>AT28-019 Command retries не создают duplicate facts.</w:t>
      </w:r>
    </w:p>
    <w:p>
      <w:pPr>
        <w:pStyle w:val="ListBullet"/>
        <w:spacing w:after="20"/>
      </w:pPr>
      <w:r>
        <w:t>AT28-020 Offline queue сохраняется при app restart.</w:t>
      </w:r>
    </w:p>
    <w:p>
      <w:pPr>
        <w:pStyle w:val="ListBullet"/>
        <w:spacing w:after="20"/>
      </w:pPr>
      <w:r>
        <w:t>AT28-021 Offline conflict не разрешается LWW.</w:t>
      </w:r>
    </w:p>
    <w:p>
      <w:pPr>
        <w:pStyle w:val="ListBullet"/>
        <w:spacing w:after="20"/>
      </w:pPr>
      <w:r>
        <w:t>AT28-022 Pending mobile fact визуально отличим от confirmed.</w:t>
      </w:r>
    </w:p>
    <w:p>
      <w:pPr>
        <w:pStyle w:val="ListBullet"/>
        <w:spacing w:after="20"/>
      </w:pPr>
      <w:r>
        <w:t>AT28-023 Attachments sync independently and idempotently.</w:t>
      </w:r>
    </w:p>
    <w:p>
      <w:pPr>
        <w:pStyle w:val="ListBullet"/>
        <w:spacing w:after="20"/>
      </w:pPr>
      <w:r>
        <w:t>AT28-024 Web large table uses server-side pagination.</w:t>
      </w:r>
    </w:p>
    <w:p>
      <w:pPr>
        <w:pStyle w:val="ListBullet"/>
        <w:spacing w:after="20"/>
      </w:pPr>
      <w:r>
        <w:t>AT28-025 UI cannot bypass server permission.</w:t>
      </w:r>
    </w:p>
    <w:p>
      <w:pPr>
        <w:pStyle w:val="ListBullet"/>
        <w:spacing w:after="20"/>
      </w:pPr>
      <w:r>
        <w:t>AT28-026 AI recommendation cannot directly mutate canonical fact.</w:t>
      </w:r>
    </w:p>
    <w:p>
      <w:pPr>
        <w:pStyle w:val="ListBullet"/>
        <w:spacing w:after="20"/>
      </w:pPr>
      <w:r>
        <w:t>AT28-027 GIS history not destructively overwritten.</w:t>
      </w:r>
    </w:p>
    <w:p>
      <w:pPr>
        <w:pStyle w:val="ListBullet"/>
        <w:spacing w:after="20"/>
      </w:pPr>
      <w:r>
        <w:t>AT28-028 IoT adapter cannot import production repository.</w:t>
      </w:r>
    </w:p>
    <w:p>
      <w:pPr>
        <w:pStyle w:val="ListBullet"/>
        <w:spacing w:after="20"/>
      </w:pPr>
      <w:r>
        <w:t>AT28-029 Raw telemetry chain preserves source timestamp.</w:t>
      </w:r>
    </w:p>
    <w:p>
      <w:pPr>
        <w:pStyle w:val="ListBullet"/>
        <w:spacing w:after="20"/>
      </w:pPr>
      <w:r>
        <w:t>AT28-030 Default PLC control path disabled/read-only.</w:t>
      </w:r>
    </w:p>
    <w:p>
      <w:pPr>
        <w:pStyle w:val="ListBullet"/>
        <w:spacing w:after="20"/>
      </w:pPr>
      <w:r>
        <w:t>AT28-031 External adapter maps to canonical model, not vice versa.</w:t>
      </w:r>
    </w:p>
    <w:p>
      <w:pPr>
        <w:pStyle w:val="ListBullet"/>
        <w:spacing w:after="20"/>
      </w:pPr>
      <w:r>
        <w:t>AT28-032 1C conflict creates reconciliation state.</w:t>
      </w:r>
    </w:p>
    <w:p>
      <w:pPr>
        <w:pStyle w:val="ListBullet"/>
        <w:spacing w:after="20"/>
      </w:pPr>
      <w:r>
        <w:t>AT28-033 Secrets absent from repository/demo artifacts.</w:t>
      </w:r>
    </w:p>
    <w:p>
      <w:pPr>
        <w:pStyle w:val="ListBullet"/>
        <w:spacing w:after="20"/>
      </w:pPr>
      <w:r>
        <w:t>AT28-034 SQL parameterization enforced.</w:t>
      </w:r>
    </w:p>
    <w:p>
      <w:pPr>
        <w:pStyle w:val="ListBullet"/>
        <w:spacing w:after="20"/>
      </w:pPr>
      <w:r>
        <w:t>AT28-035 Logs contain correlationId for request/workflow.</w:t>
      </w:r>
    </w:p>
    <w:p>
      <w:pPr>
        <w:pStyle w:val="ListBullet"/>
        <w:spacing w:after="20"/>
      </w:pPr>
      <w:r>
        <w:t>AT28-036 Logs do not include secret fields in security fixture.</w:t>
      </w:r>
    </w:p>
    <w:p>
      <w:pPr>
        <w:pStyle w:val="ListBullet"/>
        <w:spacing w:after="20"/>
      </w:pPr>
      <w:r>
        <w:t>AT28-037 PR pipeline runs lint/typecheck/unit.</w:t>
      </w:r>
    </w:p>
    <w:p>
      <w:pPr>
        <w:pStyle w:val="ListBullet"/>
        <w:spacing w:after="20"/>
      </w:pPr>
      <w:r>
        <w:t>AT28-038 PR pipeline validates migrations.</w:t>
      </w:r>
    </w:p>
    <w:p>
      <w:pPr>
        <w:pStyle w:val="ListBullet"/>
        <w:spacing w:after="20"/>
      </w:pPr>
      <w:r>
        <w:t>AT28-039 PR pipeline validates OpenAPI/events.</w:t>
      </w:r>
    </w:p>
    <w:p>
      <w:pPr>
        <w:pStyle w:val="ListBullet"/>
        <w:spacing w:after="20"/>
      </w:pPr>
      <w:r>
        <w:t>AT28-040 PR pipeline runs MINIMAL seed + verify.</w:t>
      </w:r>
    </w:p>
    <w:p>
      <w:pPr>
        <w:pStyle w:val="ListBullet"/>
        <w:spacing w:after="20"/>
      </w:pPr>
      <w:r>
        <w:t>AT28-041 Nightly runs QA profile.</w:t>
      </w:r>
    </w:p>
    <w:p>
      <w:pPr>
        <w:pStyle w:val="ListBullet"/>
        <w:spacing w:after="20"/>
      </w:pPr>
      <w:r>
        <w:t>AT28-042 Targeted golden scenario required for module slice.</w:t>
      </w:r>
    </w:p>
    <w:p>
      <w:pPr>
        <w:pStyle w:val="ListBullet"/>
        <w:spacing w:after="20"/>
      </w:pPr>
      <w:r>
        <w:t>AT28-043 Flaky acceptance test cannot be silently skipped.</w:t>
      </w:r>
    </w:p>
    <w:p>
      <w:pPr>
        <w:pStyle w:val="ListBullet"/>
        <w:spacing w:after="20"/>
      </w:pPr>
      <w:r>
        <w:t>AT28-044 Main remains deployable after merge.</w:t>
      </w:r>
    </w:p>
    <w:p>
      <w:pPr>
        <w:pStyle w:val="ListBullet"/>
        <w:spacing w:after="20"/>
      </w:pPr>
      <w:r>
        <w:t>AT28-045 Mobile DB migration has upgrade test.</w:t>
      </w:r>
    </w:p>
    <w:p>
      <w:pPr>
        <w:pStyle w:val="ListBullet"/>
        <w:spacing w:after="20"/>
      </w:pPr>
      <w:r>
        <w:t>AT28-046 Old mobile command queue compatibility tested.</w:t>
      </w:r>
    </w:p>
    <w:p>
      <w:pPr>
        <w:pStyle w:val="ListBullet"/>
        <w:spacing w:after="20"/>
      </w:pPr>
      <w:r>
        <w:t>AT28-047 Cloud/local version skew follows compatibility policy.</w:t>
      </w:r>
    </w:p>
    <w:p>
      <w:pPr>
        <w:pStyle w:val="ListBullet"/>
        <w:spacing w:after="20"/>
      </w:pPr>
      <w:r>
        <w:t>AT28-048 TypeScript strict enabled.</w:t>
      </w:r>
    </w:p>
    <w:p>
      <w:pPr>
        <w:pStyle w:val="ListBullet"/>
        <w:spacing w:after="20"/>
      </w:pPr>
      <w:r>
        <w:t>AT28-049 Domain package has no Nest dependency.</w:t>
      </w:r>
    </w:p>
    <w:p>
      <w:pPr>
        <w:pStyle w:val="ListBullet"/>
        <w:spacing w:after="20"/>
      </w:pPr>
      <w:r>
        <w:t>AT28-050 Dart null-safety maintained.</w:t>
      </w:r>
    </w:p>
    <w:p>
      <w:pPr>
        <w:pStyle w:val="ListBullet"/>
        <w:spacing w:after="20"/>
      </w:pPr>
      <w:r>
        <w:t>AT28-051 Python public service layer typed.</w:t>
      </w:r>
    </w:p>
    <w:p>
      <w:pPr>
        <w:pStyle w:val="ListBullet"/>
        <w:spacing w:after="20"/>
      </w:pPr>
      <w:r>
        <w:t>AT28-052 Production notebook dependency prohibited.</w:t>
      </w:r>
    </w:p>
    <w:p>
      <w:pPr>
        <w:pStyle w:val="ListBullet"/>
        <w:spacing w:after="20"/>
      </w:pPr>
      <w:r>
        <w:t>AT28-053 Data generator uses stable seed.</w:t>
      </w:r>
    </w:p>
    <w:p>
      <w:pPr>
        <w:pStyle w:val="ListBullet"/>
        <w:spacing w:after="20"/>
      </w:pPr>
      <w:r>
        <w:t>AT28-054 agroctl destructive commands blocked in production.</w:t>
      </w:r>
    </w:p>
    <w:p>
      <w:pPr>
        <w:pStyle w:val="ListBullet"/>
        <w:spacing w:after="20"/>
      </w:pPr>
      <w:r>
        <w:t>AT28-055 ADR required for repo topology change.</w:t>
      </w:r>
    </w:p>
    <w:p>
      <w:pPr>
        <w:pStyle w:val="ListBullet"/>
        <w:spacing w:after="20"/>
      </w:pPr>
      <w:r>
        <w:t>AT28-056 Feature flag is not used as permission.</w:t>
      </w:r>
    </w:p>
    <w:p>
      <w:pPr>
        <w:pStyle w:val="ListBullet"/>
        <w:spacing w:after="20"/>
      </w:pPr>
      <w:r>
        <w:t>AT28-057 Disabled module does not run mutating background consumers.</w:t>
      </w:r>
    </w:p>
    <w:p>
      <w:pPr>
        <w:pStyle w:val="ListBullet"/>
        <w:spacing w:after="20"/>
      </w:pPr>
      <w:r>
        <w:t>AT28-058 PR identifies requirement/scenario IDs.</w:t>
      </w:r>
    </w:p>
    <w:p>
      <w:pPr>
        <w:pStyle w:val="ListBullet"/>
        <w:spacing w:after="20"/>
      </w:pPr>
      <w:r>
        <w:t>AT28-059 PR documents migration/API/event impact.</w:t>
      </w:r>
    </w:p>
    <w:p>
      <w:pPr>
        <w:pStyle w:val="ListBullet"/>
        <w:spacing w:after="20"/>
      </w:pPr>
      <w:r>
        <w:t>AT28-060 Definition of Done checks DB+events+audit+permissions+negative paths.</w:t>
      </w:r>
    </w:p>
    <w:p>
      <w:pPr>
        <w:pStyle w:val="ListBullet"/>
        <w:spacing w:after="20"/>
      </w:pPr>
      <w:r>
        <w:t>AT28-061 Local Server works without WAN during relevant slice E2E.</w:t>
      </w:r>
    </w:p>
    <w:p>
      <w:pPr>
        <w:pStyle w:val="ListBullet"/>
        <w:spacing w:after="20"/>
      </w:pPr>
      <w:r>
        <w:t>AT28-062 Cloud code cannot overwrite LOCAL_PRIMARY via hidden path.</w:t>
      </w:r>
    </w:p>
    <w:p>
      <w:pPr>
        <w:pStyle w:val="ListBullet"/>
        <w:spacing w:after="20"/>
      </w:pPr>
      <w:r>
        <w:t>AT28-063 Redis/BullMQ unavailable does not redefine canonical source-of-truth.</w:t>
      </w:r>
    </w:p>
    <w:p>
      <w:pPr>
        <w:pStyle w:val="ListBullet"/>
        <w:spacing w:after="20"/>
      </w:pPr>
      <w:r>
        <w:t>AT28-064 Object storage failure produces controlled error/retry, not DB corruption.</w:t>
      </w:r>
    </w:p>
    <w:p>
      <w:pPr>
        <w:pStyle w:val="ListBullet"/>
        <w:spacing w:after="20"/>
      </w:pPr>
      <w:r>
        <w:t>AT28-065 Performance slice uses №27 PERFORMANCE generator.</w:t>
      </w:r>
    </w:p>
    <w:p>
      <w:pPr>
        <w:pStyle w:val="ListBullet"/>
        <w:spacing w:after="20"/>
      </w:pPr>
      <w:r>
        <w:t>AT28-066 NFR regressions fail dedicated pipeline thresholds.</w:t>
      </w:r>
    </w:p>
    <w:p>
      <w:pPr>
        <w:pStyle w:val="ListBullet"/>
        <w:spacing w:after="20"/>
      </w:pPr>
      <w:r>
        <w:t>AT28-067 Restore/upgrade scripts are versioned.</w:t>
      </w:r>
    </w:p>
    <w:p>
      <w:pPr>
        <w:pStyle w:val="ListBullet"/>
        <w:spacing w:after="20"/>
      </w:pPr>
      <w:r>
        <w:t>AT28-068 Module README exposes public contracts and test commands.</w:t>
      </w:r>
    </w:p>
    <w:p>
      <w:pPr>
        <w:pStyle w:val="ListBullet"/>
        <w:spacing w:after="20"/>
      </w:pPr>
      <w:r>
        <w:t>AT28-069 Canonical terminology matches Data Dictionary.</w:t>
      </w:r>
    </w:p>
    <w:p>
      <w:pPr>
        <w:pStyle w:val="ListBullet"/>
        <w:spacing w:after="20"/>
      </w:pPr>
      <w:r>
        <w:t>AT28-070 Codex task cannot modify forbidden paths without explicit scope update.</w:t>
      </w:r>
    </w:p>
    <w:p>
      <w:pPr>
        <w:pStyle w:val="Heading1"/>
      </w:pPr>
      <w:r>
        <w:t>39. Repository readiness gate before Document №33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repo bootstrap green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module boundaries enforced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migrations from zero + upgrade green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OpenAPI/events/permissions versioned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MINIMAL/DEMO seeds green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offline kernel green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CI/security checks green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Codex slice template proven on at least one vertical module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Local Server Docker Compose reproducible</w:t>
            </w:r>
          </w:p>
        </w:tc>
      </w:tr>
    </w:tbl>
    <w:p>
      <w:pPr>
        <w:spacing w:after="0"/>
      </w:pPr>
    </w:p>
    <w:p>
      <w:pPr>
        <w:pStyle w:val="Heading1"/>
      </w:pPr>
      <w:r>
        <w:t>40. Final principle №28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5EC"/>
            <w:tcBorders>
              <w:top w:val="single" w:sz="2" w:color="EAF5EC"/>
              <w:left w:val="single" w:sz="18" w:color="17365D"/>
              <w:bottom w:val="single" w:sz="2" w:color="EAF5EC"/>
              <w:right w:val="single" w:sz="2" w:color="EAF5EC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Engineering contract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Архитектура продукта защищается не только документами, но и repository boundaries, CI checks, migrations, generated contracts, acceptance scenarios и Codex scope guards. Чем важнее инвариант, тем меньше он должен зависеть от памяти конкретного разработчика.</w:t>
            </w:r>
          </w:p>
        </w:tc>
      </w:tr>
    </w:tbl>
    <w:p>
      <w:pPr>
        <w:spacing w:after="80" w:line="252" w:lineRule="auto"/>
      </w:pPr>
      <w:r>
        <w:t>Документ №28 превращает серию спецификаций в повторяемый инженерный процесс. После него следующие research/AI/hardware документы могут расширять capabilities, не разрушая базовые domain boundaries и способ поставки.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64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B7280"/>
        <w:sz w:val="16"/>
      </w:rPr>
      <w:t>Серия спецификаций платформы · Документ №28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