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color w:val="163A5F"/>
          <w:sz w:val="54"/>
        </w:rPr>
        <w:t>Документ №31</w:t>
      </w:r>
    </w:p>
    <w:p>
      <w:r>
        <w:rPr>
          <w:rFonts w:ascii="Arial" w:hAnsi="Arial"/>
          <w:b/>
          <w:color w:val="1F5A94"/>
          <w:sz w:val="28"/>
        </w:rPr>
        <w:t>Hardware-Software Complex</w:t>
      </w:r>
    </w:p>
    <w:p>
      <w:pPr>
        <w:spacing w:before="200"/>
      </w:pPr>
      <w:r>
        <w:rPr>
          <w:rFonts w:ascii="Arial" w:hAnsi="Arial"/>
          <w:b/>
          <w:color w:val="1F2933"/>
          <w:sz w:val="28"/>
        </w:rPr>
        <w:t>Аппаратно-программный комплекс платформы АПК + промышленное производство</w:t>
      </w:r>
    </w:p>
    <w:p/>
    <w:p>
      <w:pPr>
        <w:spacing w:after="40"/>
      </w:pPr>
      <w:r>
        <w:rPr>
          <w:rFonts w:ascii="Arial" w:hAnsi="Arial"/>
          <w:b/>
          <w:color w:val="163A5F"/>
        </w:rPr>
        <w:t xml:space="preserve">Статус: </w:t>
      </w:r>
      <w:r>
        <w:rPr>
          <w:rFonts w:ascii="Arial" w:hAnsi="Arial"/>
        </w:rPr>
        <w:t>Architecture / Hardware / Edge / Deployment Specification</w:t>
      </w:r>
    </w:p>
    <w:p>
      <w:pPr>
        <w:spacing w:after="40"/>
      </w:pPr>
      <w:r>
        <w:rPr>
          <w:rFonts w:ascii="Arial" w:hAnsi="Arial"/>
          <w:b/>
          <w:color w:val="163A5F"/>
        </w:rPr>
        <w:t xml:space="preserve">Версия: </w:t>
      </w:r>
      <w:r>
        <w:rPr>
          <w:rFonts w:ascii="Arial" w:hAnsi="Arial"/>
        </w:rPr>
        <w:t>1.0</w:t>
      </w:r>
    </w:p>
    <w:p>
      <w:pPr>
        <w:spacing w:after="40"/>
      </w:pPr>
      <w:r>
        <w:rPr>
          <w:rFonts w:ascii="Arial" w:hAnsi="Arial"/>
          <w:b/>
          <w:color w:val="163A5F"/>
        </w:rPr>
        <w:t xml:space="preserve">Архитектурный профиль: </w:t>
      </w:r>
      <w:r>
        <w:rPr>
          <w:rFonts w:ascii="Arial" w:hAnsi="Arial"/>
        </w:rPr>
        <w:t>mobile-first / offline-first / local-first / API-first / LOCAL_PRIMARY</w:t>
      </w:r>
    </w:p>
    <w:p>
      <w:pPr>
        <w:spacing w:after="40"/>
      </w:pPr>
      <w:r>
        <w:rPr>
          <w:rFonts w:ascii="Arial" w:hAnsi="Arial"/>
          <w:b/>
          <w:color w:val="163A5F"/>
        </w:rPr>
        <w:t xml:space="preserve">Связанные документы: </w:t>
      </w:r>
      <w:r>
        <w:rPr>
          <w:rFonts w:ascii="Arial" w:hAnsi="Arial"/>
        </w:rPr>
        <w:t>№20 NFR, №22 Deployment, №24 GIS, №25 IoT Contract, №26 MES-lite, №28 Development Rules, №30 AI Architecture</w:t>
      </w:r>
    </w:p>
    <w:p>
      <w:pPr>
        <w:spacing w:before="360"/>
        <w:ind w:left="454" w:right="454"/>
      </w:pPr>
      <w:r>
        <w:rPr>
          <w:rFonts w:ascii="Arial" w:hAnsi="Arial"/>
          <w:b/>
          <w:color w:val="163A5F"/>
          <w:sz w:val="24"/>
        </w:rPr>
        <w:t>Ключевой принцип: hardware не является prerequisite для работы платформы. Аппаратный слой постепенно повышает автоматизацию и качество evidence, но не меняет доменную модель и не получает право напрямую изменять бизнес-факты.</w:t>
      </w:r>
    </w:p>
    <w:p/>
    <w:p>
      <w:pPr>
        <w:pStyle w:val="CodeBlock"/>
        <w:shd w:fill="F1F5F9"/>
      </w:pPr>
      <w:r>
        <w:rPr>
          <w:rFonts w:ascii="Arial" w:hAnsi="Arial"/>
        </w:rPr>
        <w:t>Existing Equipment</w:t>
        <w:br/>
        <w:t xml:space="preserve">  -&gt; external signals / PLC read-only / sensors</w:t>
        <w:br/>
        <w:t xml:space="preserve">  -&gt; RetrofitNode / Industrial Gateway</w:t>
        <w:br/>
        <w:t xml:space="preserve">  -&gt; Local Server</w:t>
        <w:br/>
        <w:t xml:space="preserve">  -&gt; IoT Evidence Layer</w:t>
        <w:br/>
        <w:t xml:space="preserve">  -&gt; Domain Commands</w:t>
        <w:br/>
        <w:t xml:space="preserve">  -&gt; Business Facts</w:t>
      </w:r>
    </w:p>
    <w:p>
      <w:r>
        <w:rPr>
          <w:rFonts w:ascii="Arial" w:hAnsi="Arial"/>
        </w:rPr>
        <w:br w:type="page"/>
      </w:r>
    </w:p>
    <w:p>
      <w:pPr>
        <w:pStyle w:val="Heading1"/>
        <w:keepNext/>
      </w:pPr>
      <w:r>
        <w:rPr>
          <w:rFonts w:ascii="Arial" w:hAnsi="Arial"/>
        </w:rPr>
        <w:t>1. Назначение и область действия</w:t>
      </w:r>
    </w:p>
    <w:p>
      <w:r>
        <w:rPr>
          <w:rFonts w:ascii="Arial" w:hAnsi="Arial"/>
        </w:rPr>
        <w:t>Документ определяет аппаратно-программный контур, необходимый для безопасного и масштабируемого подключения существующей техники, производственных линий, весовых, складского и энергетического оборудования к Local Server платформы. Он не задаёт конкретного единственного производителя оборудования: требования сформулированы как интерфейсные, эксплуатационные и security-контракты.</w:t>
      </w:r>
    </w:p>
    <w:p>
      <w:pPr>
        <w:pStyle w:val="ListBullet"/>
      </w:pPr>
      <w:r>
        <w:rPr>
          <w:rFonts w:ascii="Arial" w:hAnsi="Arial"/>
        </w:rPr>
        <w:t>Local Server и локальная сеть предприятия.</w:t>
      </w:r>
    </w:p>
    <w:p>
      <w:pPr>
        <w:pStyle w:val="ListBullet"/>
      </w:pPr>
      <w:r>
        <w:rPr>
          <w:rFonts w:ascii="Arial" w:hAnsi="Arial"/>
        </w:rPr>
        <w:t>RetrofitNode / Industrial Gateway / protocol adapters.</w:t>
      </w:r>
    </w:p>
    <w:p>
      <w:pPr>
        <w:pStyle w:val="ListBullet"/>
      </w:pPr>
      <w:r>
        <w:rPr>
          <w:rFonts w:ascii="Arial" w:hAnsi="Arial"/>
        </w:rPr>
        <w:t>Подключение RS485, Modbus RTU/TCP, OPC UA, Ethernet, дискретных, импульсных и аналоговых сигналов.</w:t>
      </w:r>
    </w:p>
    <w:p>
      <w:pPr>
        <w:pStyle w:val="ListBullet"/>
      </w:pPr>
      <w:r>
        <w:rPr>
          <w:rFonts w:ascii="Arial" w:hAnsi="Arial"/>
        </w:rPr>
        <w:t>Внешние датчики для старого оборудования без вмешательства в PLC.</w:t>
      </w:r>
    </w:p>
    <w:p>
      <w:pPr>
        <w:pStyle w:val="ListBullet"/>
      </w:pPr>
      <w:r>
        <w:rPr>
          <w:rFonts w:ascii="Arial" w:hAnsi="Arial"/>
        </w:rPr>
        <w:t>Полевые устройства, LoRaWAN и store-and-forward.</w:t>
      </w:r>
    </w:p>
    <w:p>
      <w:pPr>
        <w:pStyle w:val="ListBullet"/>
      </w:pPr>
      <w:r>
        <w:rPr>
          <w:rFonts w:ascii="Arial" w:hAnsi="Arial"/>
        </w:rPr>
        <w:t>Питание, корпуса, монтаж, диагностика, secure provisioning, OTA/rollback, сервис и жизненный цикл.</w:t>
      </w:r>
    </w:p>
    <w:p>
      <w:pPr>
        <w:pStyle w:val="ListBullet"/>
      </w:pPr>
      <w:r>
        <w:rPr>
          <w:rFonts w:ascii="Arial" w:hAnsi="Arial"/>
        </w:rPr>
        <w:t>Hardware acceptance, burn-in, pre-compliance и эксплуатационные испытания.</w:t>
      </w:r>
    </w:p>
    <w:p>
      <w:pPr>
        <w:pStyle w:val="Heading2"/>
        <w:keepNext/>
      </w:pPr>
      <w:r>
        <w:rPr>
          <w:rFonts w:ascii="Arial" w:hAnsi="Arial"/>
        </w:rPr>
        <w:t>1.1 Вне области V1</w:t>
      </w:r>
    </w:p>
    <w:p>
      <w:pPr>
        <w:pStyle w:val="ListBullet"/>
      </w:pPr>
      <w:r>
        <w:rPr>
          <w:rFonts w:ascii="Arial" w:hAnsi="Arial"/>
        </w:rPr>
        <w:t>Замена safety PLC, E-stop, аппаратных interlock и сертифицированных контуров безопасности.</w:t>
      </w:r>
    </w:p>
    <w:p>
      <w:pPr>
        <w:pStyle w:val="ListBullet"/>
      </w:pPr>
      <w:r>
        <w:rPr>
          <w:rFonts w:ascii="Arial" w:hAnsi="Arial"/>
        </w:rPr>
        <w:t>Автоматическая выдача управляющих команд в PLC/приводы по умолчанию.</w:t>
      </w:r>
    </w:p>
    <w:p>
      <w:pPr>
        <w:pStyle w:val="ListBullet"/>
      </w:pPr>
      <w:r>
        <w:rPr>
          <w:rFonts w:ascii="Arial" w:hAnsi="Arial"/>
        </w:rPr>
        <w:t>Обязательная установка датчиков на каждую машину.</w:t>
      </w:r>
    </w:p>
    <w:p>
      <w:pPr>
        <w:pStyle w:val="ListBullet"/>
      </w:pPr>
      <w:r>
        <w:rPr>
          <w:rFonts w:ascii="Arial" w:hAnsi="Arial"/>
        </w:rPr>
        <w:t>Проектирование универсального контроллера, который должен заменить PLC/SCADA/DCS.</w:t>
      </w:r>
    </w:p>
    <w:p>
      <w:pPr>
        <w:pStyle w:val="Heading1"/>
        <w:keepNext/>
      </w:pPr>
      <w:r>
        <w:rPr>
          <w:rFonts w:ascii="Arial" w:hAnsi="Arial"/>
        </w:rPr>
        <w:t>2. Архитектурные инварианты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  <w:cantSplit/>
        </w:trPr>
        <w:tc>
          <w:tcPr>
            <w:tcW w:type="dxa" w:w="1814"/>
            <w:shd w:fill="163A5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381"/>
            <w:shd w:fill="163A5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Принцип</w:t>
            </w:r>
          </w:p>
        </w:tc>
        <w:tc>
          <w:tcPr>
            <w:tcW w:type="dxa" w:w="5669"/>
            <w:shd w:fill="163A5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Контракт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HSC31-ARCH-001</w:t>
            </w:r>
          </w:p>
        </w:tc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Hardware optional</w:t>
            </w:r>
          </w:p>
        </w:tc>
        <w:tc>
          <w:tcPr>
            <w:tcW w:type="dxa" w:w="566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Без RetrofitNode и IoT приложение продолжает manual/offline workflows.</w:t>
            </w:r>
          </w:p>
        </w:tc>
      </w:tr>
      <w:tr>
        <w:trPr>
          <w:cantSplit/>
        </w:trPr>
        <w:tc>
          <w:tcPr>
            <w:tcW w:type="dxa" w:w="1814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HSC31-ARCH-002</w:t>
            </w:r>
          </w:p>
        </w:tc>
        <w:tc>
          <w:tcPr>
            <w:tcW w:type="dxa" w:w="2381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LOCAL_PRIMARY</w:t>
            </w:r>
          </w:p>
        </w:tc>
        <w:tc>
          <w:tcPr>
            <w:tcW w:type="dxa" w:w="5669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Local Server остаётся единственным write-authority для canonical business facts.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HSC31-ARCH-003</w:t>
            </w:r>
          </w:p>
        </w:tc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Evidence boundary</w:t>
            </w:r>
          </w:p>
        </w:tc>
        <w:tc>
          <w:tcPr>
            <w:tcW w:type="dxa" w:w="566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Датчик/PLC/шлюз создаёт measurement/evidence, но не пишет business table.</w:t>
            </w:r>
          </w:p>
        </w:tc>
      </w:tr>
      <w:tr>
        <w:trPr>
          <w:cantSplit/>
        </w:trPr>
        <w:tc>
          <w:tcPr>
            <w:tcW w:type="dxa" w:w="1814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HSC31-ARCH-004</w:t>
            </w:r>
          </w:p>
        </w:tc>
        <w:tc>
          <w:tcPr>
            <w:tcW w:type="dxa" w:w="2381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Read-only OT by default</w:t>
            </w:r>
          </w:p>
        </w:tc>
        <w:tc>
          <w:tcPr>
            <w:tcW w:type="dxa" w:w="5669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PLC/Modbus/OPC UA интеграции V1 работают на чтение, если специально не утверждён отдельный control-plane проект.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HSC31-ARCH-005</w:t>
            </w:r>
          </w:p>
        </w:tc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Safety independence</w:t>
            </w:r>
          </w:p>
        </w:tc>
        <w:tc>
          <w:tcPr>
            <w:tcW w:type="dxa" w:w="566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E-stop, safety relays, safety PLC и локальные interlocks не зависят от платформы.</w:t>
            </w:r>
          </w:p>
        </w:tc>
      </w:tr>
      <w:tr>
        <w:trPr>
          <w:cantSplit/>
        </w:trPr>
        <w:tc>
          <w:tcPr>
            <w:tcW w:type="dxa" w:w="1814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HSC31-ARCH-006</w:t>
            </w:r>
          </w:p>
        </w:tc>
        <w:tc>
          <w:tcPr>
            <w:tcW w:type="dxa" w:w="2381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Graceful degradation</w:t>
            </w:r>
          </w:p>
        </w:tc>
        <w:tc>
          <w:tcPr>
            <w:tcW w:type="dxa" w:w="5669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Отказ edge-оборудования снижает полноту automation evidence, но не останавливает операционный workflow.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HSC31-ARCH-007</w:t>
            </w:r>
          </w:p>
        </w:tc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No vendor lock</w:t>
            </w:r>
          </w:p>
        </w:tc>
        <w:tc>
          <w:tcPr>
            <w:tcW w:type="dxa" w:w="566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Домен не должен зависеть от конкретного регистра Modbus, OPC node id или модели датчика.</w:t>
            </w:r>
          </w:p>
        </w:tc>
      </w:tr>
      <w:tr>
        <w:trPr>
          <w:cantSplit/>
        </w:trPr>
        <w:tc>
          <w:tcPr>
            <w:tcW w:type="dxa" w:w="1814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HSC31-ARCH-008</w:t>
            </w:r>
          </w:p>
        </w:tc>
        <w:tc>
          <w:tcPr>
            <w:tcW w:type="dxa" w:w="2381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Local buffering</w:t>
            </w:r>
          </w:p>
        </w:tc>
        <w:tc>
          <w:tcPr>
            <w:tcW w:type="dxa" w:w="5669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Edge хранит очередь при обрыве LAN/WAN и воспроизводит её идемпотентно.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HSC31-ARCH-009</w:t>
            </w:r>
          </w:p>
        </w:tc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Secure by default</w:t>
            </w:r>
          </w:p>
        </w:tc>
        <w:tc>
          <w:tcPr>
            <w:tcW w:type="dxa" w:w="566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Нет default-password, shared fleet secret и открытых write-интерфейсов.</w:t>
            </w:r>
          </w:p>
        </w:tc>
      </w:tr>
      <w:tr>
        <w:trPr>
          <w:cantSplit/>
        </w:trPr>
        <w:tc>
          <w:tcPr>
            <w:tcW w:type="dxa" w:w="1814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HSC31-ARCH-010</w:t>
            </w:r>
          </w:p>
        </w:tc>
        <w:tc>
          <w:tcPr>
            <w:tcW w:type="dxa" w:w="2381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Field replaceable</w:t>
            </w:r>
          </w:p>
        </w:tc>
        <w:tc>
          <w:tcPr>
            <w:tcW w:type="dxa" w:w="5669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Узел и интерфейсные модули должны заменяться без потери logical identity и истории signal mapping.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/>
        </w:rPr>
        <w:t>3. Целевая аппаратно-программная архитектура</w:t>
      </w:r>
    </w:p>
    <w:p>
      <w:pPr>
        <w:pStyle w:val="CodeBlock"/>
        <w:shd w:fill="F1F5F9"/>
      </w:pPr>
      <w:r>
        <w:rPr>
          <w:rFonts w:ascii="Arial" w:hAnsi="Arial"/>
        </w:rPr>
        <w:t>Mobile / Web / Factory Clients</w:t>
        <w:br/>
        <w:t xml:space="preserve">        | HTTPS LAN</w:t>
        <w:br/>
        <w:t xml:space="preserve">        v</w:t>
        <w:br/>
        <w:t>+---------------- Local Server ----------------+</w:t>
        <w:br/>
        <w:t>| Reverse Proxy | NestJS | PostgreSQL/PostGIS |</w:t>
        <w:br/>
        <w:t>| Redis/BullMQ   | MinIO  | Workers           |</w:t>
        <w:br/>
        <w:t>+--------------------+-------------------------+</w:t>
        <w:br/>
        <w:t xml:space="preserve">                     | OT/Edge VLAN</w:t>
        <w:br/>
        <w:t xml:space="preserve">          +----------+-----------+</w:t>
        <w:br/>
        <w:t xml:space="preserve">          |                      |</w:t>
        <w:br/>
        <w:t xml:space="preserve">  Industrial Gateway       LoRaWAN Gateway</w:t>
        <w:br/>
        <w:t xml:space="preserve">          |                      |</w:t>
        <w:br/>
        <w:t xml:space="preserve">   +------+--------+             +-- field nodes</w:t>
        <w:br/>
        <w:t xml:space="preserve">   |      |        |</w:t>
        <w:br/>
        <w:t xml:space="preserve"> Modbus  OPC UA  RetrofitNode(s)</w:t>
        <w:br/>
        <w:t xml:space="preserve">                 |  |  |  |</w:t>
        <w:br/>
        <w:t xml:space="preserve">              DI/AI/Pulse/RS485</w:t>
        <w:br/>
        <w:t xml:space="preserve">                 |</w:t>
        <w:br/>
        <w:t xml:space="preserve">         Existing equipment</w:t>
      </w:r>
    </w:p>
    <w:p>
      <w:r>
        <w:rPr>
          <w:rFonts w:ascii="Arial" w:hAnsi="Arial"/>
        </w:rPr>
        <w:t>Для небольшого предприятия роли Industrial Gateway и RetrofitNode могут физически выполняться одним промышленным компьютером, но программно остаются раздельными: acquisition/transport, normalization/evidence и business domain имеют разные ответственности.</w:t>
      </w:r>
    </w:p>
    <w:p>
      <w:pPr>
        <w:pStyle w:val="Heading1"/>
        <w:keepNext/>
      </w:pPr>
      <w:r>
        <w:rPr>
          <w:rFonts w:ascii="Arial" w:hAnsi="Arial"/>
        </w:rPr>
        <w:t>4. Аппаратные профили внедрения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  <w:cantSplit/>
        </w:trPr>
        <w:tc>
          <w:tcPr>
            <w:tcW w:type="dxa" w:w="1701"/>
            <w:shd w:fill="163A5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Профиль</w:t>
            </w:r>
          </w:p>
        </w:tc>
        <w:tc>
          <w:tcPr>
            <w:tcW w:type="dxa" w:w="2551"/>
            <w:shd w:fill="163A5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Состав</w:t>
            </w:r>
          </w:p>
        </w:tc>
        <w:tc>
          <w:tcPr>
            <w:tcW w:type="dxa" w:w="3515"/>
            <w:shd w:fill="163A5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Возможности</w:t>
            </w:r>
          </w:p>
        </w:tc>
        <w:tc>
          <w:tcPr>
            <w:tcW w:type="dxa" w:w="2948"/>
            <w:shd w:fill="163A5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Применение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H0 — Software Only</w:t>
            </w:r>
          </w:p>
        </w:tc>
        <w:tc>
          <w:tcPr>
            <w:tcW w:type="dxa" w:w="255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Нет нового hardware</w:t>
            </w:r>
          </w:p>
        </w:tc>
        <w:tc>
          <w:tcPr>
            <w:tcW w:type="dxa" w:w="3515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Mobile + Local Server; ручные/QR/весовые workflows</w:t>
            </w:r>
          </w:p>
        </w:tc>
        <w:tc>
          <w:tcPr>
            <w:tcW w:type="dxa" w:w="294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Пилот, раннее внедрение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H1 — COTS Edge</w:t>
            </w:r>
          </w:p>
        </w:tc>
        <w:tc>
          <w:tcPr>
            <w:tcW w:type="dxa" w:w="2551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Готовый промышленный gateway</w:t>
            </w:r>
          </w:p>
        </w:tc>
        <w:tc>
          <w:tcPr>
            <w:tcW w:type="dxa" w:w="3515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RS485/Modbus/OPC UA, MQTT/HTTPS</w:t>
            </w:r>
          </w:p>
        </w:tc>
        <w:tc>
          <w:tcPr>
            <w:tcW w:type="dxa" w:w="2948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Быстрое подключение существующего оборудования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H2 — RetrofitNode</w:t>
            </w:r>
          </w:p>
        </w:tc>
        <w:tc>
          <w:tcPr>
            <w:tcW w:type="dxa" w:w="255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Собственный/контрактный edge-node</w:t>
            </w:r>
          </w:p>
        </w:tc>
        <w:tc>
          <w:tcPr>
            <w:tcW w:type="dxa" w:w="3515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DI/DO-read, 4-20 mA, 0-10 V, pulse, RS485</w:t>
            </w:r>
          </w:p>
        </w:tc>
        <w:tc>
          <w:tcPr>
            <w:tcW w:type="dxa" w:w="294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Старые машины без доступного PLC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H3 — Distributed Field</w:t>
            </w:r>
          </w:p>
        </w:tc>
        <w:tc>
          <w:tcPr>
            <w:tcW w:type="dxa" w:w="2551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RetrofitNode + LoRaWAN/private radio</w:t>
            </w:r>
          </w:p>
        </w:tc>
        <w:tc>
          <w:tcPr>
            <w:tcW w:type="dxa" w:w="3515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Удалённые датчики, склады, инфраструктура</w:t>
            </w:r>
          </w:p>
        </w:tc>
        <w:tc>
          <w:tcPr>
            <w:tcW w:type="dxa" w:w="2948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Большая территория и слабая связь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H4 — Rich OT</w:t>
            </w:r>
          </w:p>
        </w:tc>
        <w:tc>
          <w:tcPr>
            <w:tcW w:type="dxa" w:w="255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PLC/OPC UA + external sensors</w:t>
            </w:r>
          </w:p>
        </w:tc>
        <w:tc>
          <w:tcPr>
            <w:tcW w:type="dxa" w:w="3515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Семантика, counters, alarms, process values</w:t>
            </w:r>
          </w:p>
        </w:tc>
        <w:tc>
          <w:tcPr>
            <w:tcW w:type="dxa" w:w="294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Автоматизированные линии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H5 — Control Plane</w:t>
            </w:r>
          </w:p>
        </w:tc>
        <w:tc>
          <w:tcPr>
            <w:tcW w:type="dxa" w:w="2551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Отдельно утверждённый проект</w:t>
            </w:r>
          </w:p>
        </w:tc>
        <w:tc>
          <w:tcPr>
            <w:tcW w:type="dxa" w:w="3515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Commands/setpoints</w:t>
            </w:r>
          </w:p>
        </w:tc>
        <w:tc>
          <w:tcPr>
            <w:tcW w:type="dxa" w:w="2948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Не входит в V1; требует safety/cybersecurity review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/>
        </w:rPr>
        <w:t>5. Local Server</w:t>
      </w:r>
    </w:p>
    <w:p>
      <w:r>
        <w:rPr>
          <w:rFonts w:ascii="Arial" w:hAnsi="Arial"/>
        </w:rPr>
        <w:t>Local Server является ключевой частью АПК, но его hardware должен быть заменяемым и не связанным с одной моделью сервера. Поддерживаются rack/tower/industrial PC профили в зависимости от масштаба площадки.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1"/>
        <w:gridCol w:w="1681"/>
        <w:gridCol w:w="1681"/>
        <w:gridCol w:w="1681"/>
        <w:gridCol w:w="1681"/>
        <w:gridCol w:w="1681"/>
      </w:tblGrid>
      <w:tr>
        <w:trPr>
          <w:tblHeader w:val="true"/>
          <w:cantSplit/>
        </w:trPr>
        <w:tc>
          <w:tcPr>
            <w:tcW w:type="dxa" w:w="1531"/>
            <w:shd w:fill="163A5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Профиль</w:t>
            </w:r>
          </w:p>
        </w:tc>
        <w:tc>
          <w:tcPr>
            <w:tcW w:type="dxa" w:w="1757"/>
            <w:shd w:fill="163A5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CPU</w:t>
            </w:r>
          </w:p>
        </w:tc>
        <w:tc>
          <w:tcPr>
            <w:tcW w:type="dxa" w:w="1361"/>
            <w:shd w:fill="163A5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RAM</w:t>
            </w:r>
          </w:p>
        </w:tc>
        <w:tc>
          <w:tcPr>
            <w:tcW w:type="dxa" w:w="3175"/>
            <w:shd w:fill="163A5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DB/Object storage</w:t>
            </w:r>
          </w:p>
        </w:tc>
        <w:tc>
          <w:tcPr>
            <w:tcW w:type="dxa" w:w="2154"/>
            <w:shd w:fill="163A5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Network</w:t>
            </w:r>
          </w:p>
        </w:tc>
        <w:tc>
          <w:tcPr>
            <w:tcW w:type="dxa" w:w="2381"/>
            <w:shd w:fill="163A5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Power</w:t>
            </w:r>
          </w:p>
        </w:tc>
      </w:tr>
      <w:tr>
        <w:trPr>
          <w:cantSplit/>
        </w:trPr>
        <w:tc>
          <w:tcPr>
            <w:tcW w:type="dxa" w:w="153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PILOT</w:t>
            </w:r>
          </w:p>
        </w:tc>
        <w:tc>
          <w:tcPr>
            <w:tcW w:type="dxa" w:w="175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4–8 CPU cores</w:t>
            </w:r>
          </w:p>
        </w:tc>
        <w:tc>
          <w:tcPr>
            <w:tcW w:type="dxa" w:w="136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32 GB</w:t>
            </w:r>
          </w:p>
        </w:tc>
        <w:tc>
          <w:tcPr>
            <w:tcW w:type="dxa" w:w="3175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1 TB NVMe + backup target</w:t>
            </w:r>
          </w:p>
        </w:tc>
        <w:tc>
          <w:tcPr>
            <w:tcW w:type="dxa" w:w="215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1 GbE</w:t>
            </w:r>
          </w:p>
        </w:tc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UPS recommended</w:t>
            </w:r>
          </w:p>
        </w:tc>
      </w:tr>
      <w:tr>
        <w:trPr>
          <w:cantSplit/>
        </w:trPr>
        <w:tc>
          <w:tcPr>
            <w:tcW w:type="dxa" w:w="1531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GROWTH</w:t>
            </w:r>
          </w:p>
        </w:tc>
        <w:tc>
          <w:tcPr>
            <w:tcW w:type="dxa" w:w="175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8–16 cores</w:t>
            </w:r>
          </w:p>
        </w:tc>
        <w:tc>
          <w:tcPr>
            <w:tcW w:type="dxa" w:w="1361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64 GB</w:t>
            </w:r>
          </w:p>
        </w:tc>
        <w:tc>
          <w:tcPr>
            <w:tcW w:type="dxa" w:w="3175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2× NVMe RAID1 + backup</w:t>
            </w:r>
          </w:p>
        </w:tc>
        <w:tc>
          <w:tcPr>
            <w:tcW w:type="dxa" w:w="2154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2×1 GbE / 2.5 GbE</w:t>
            </w:r>
          </w:p>
        </w:tc>
        <w:tc>
          <w:tcPr>
            <w:tcW w:type="dxa" w:w="2381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UPS mandatory</w:t>
            </w:r>
          </w:p>
        </w:tc>
      </w:tr>
      <w:tr>
        <w:trPr>
          <w:cantSplit/>
        </w:trPr>
        <w:tc>
          <w:tcPr>
            <w:tcW w:type="dxa" w:w="153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ENTERPRISE</w:t>
            </w:r>
          </w:p>
        </w:tc>
        <w:tc>
          <w:tcPr>
            <w:tcW w:type="dxa" w:w="175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16–32+ cores</w:t>
            </w:r>
          </w:p>
        </w:tc>
        <w:tc>
          <w:tcPr>
            <w:tcW w:type="dxa" w:w="136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128 GB+</w:t>
            </w:r>
          </w:p>
        </w:tc>
        <w:tc>
          <w:tcPr>
            <w:tcW w:type="dxa" w:w="3175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RAID1/10 enterprise SSD + separate backup</w:t>
            </w:r>
          </w:p>
        </w:tc>
        <w:tc>
          <w:tcPr>
            <w:tcW w:type="dxa" w:w="215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2×10 GbE or equivalent</w:t>
            </w:r>
          </w:p>
        </w:tc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UPS + monitored shutdown</w:t>
            </w:r>
          </w:p>
        </w:tc>
      </w:tr>
    </w:tbl>
    <w:p>
      <w:pPr>
        <w:spacing w:after="20"/>
      </w:pPr>
    </w:p>
    <w:p>
      <w:pPr>
        <w:pStyle w:val="ListBullet"/>
      </w:pPr>
      <w:r>
        <w:rPr>
          <w:rFonts w:ascii="Arial" w:hAnsi="Arial"/>
        </w:rPr>
        <w:t>ECC RAM рекомендуется для GROWTH/ENTERPRISE; для критичных площадок — обязательно по deployment profile.</w:t>
      </w:r>
    </w:p>
    <w:p>
      <w:pPr>
        <w:pStyle w:val="ListBullet"/>
      </w:pPr>
      <w:r>
        <w:rPr>
          <w:rFonts w:ascii="Arial" w:hAnsi="Arial"/>
        </w:rPr>
        <w:t>OS/data volumes разделяются логически; backup не хранится только на тех же физических дисках.</w:t>
      </w:r>
    </w:p>
    <w:p>
      <w:pPr>
        <w:pStyle w:val="ListBullet"/>
      </w:pPr>
      <w:r>
        <w:rPr>
          <w:rFonts w:ascii="Arial" w:hAnsi="Arial"/>
        </w:rPr>
        <w:t>NVMe/SSD health, temperature, SMART, filesystem capacity и UPS state поступают в observability.</w:t>
      </w:r>
    </w:p>
    <w:p>
      <w:pPr>
        <w:pStyle w:val="ListBullet"/>
      </w:pPr>
      <w:r>
        <w:rPr>
          <w:rFonts w:ascii="Arial" w:hAnsi="Arial"/>
        </w:rPr>
        <w:t>BIOS/UEFI auto-power-on after power restoration включается согласно site policy.</w:t>
      </w:r>
    </w:p>
    <w:p>
      <w:pPr>
        <w:pStyle w:val="ListBullet"/>
      </w:pPr>
      <w:r>
        <w:rPr>
          <w:rFonts w:ascii="Arial" w:hAnsi="Arial"/>
        </w:rPr>
        <w:t>Local Server может быть виртуальной машиной на существующем гипервизоре, если выполнены NFR/RPO/RTO и resource reservation.</w:t>
      </w:r>
    </w:p>
    <w:p>
      <w:pPr>
        <w:pStyle w:val="Heading1"/>
        <w:keepNext/>
      </w:pPr>
      <w:r>
        <w:rPr>
          <w:rFonts w:ascii="Arial" w:hAnsi="Arial"/>
        </w:rPr>
        <w:t>6. Сеть предприятия и сегментация</w:t>
      </w:r>
    </w:p>
    <w:p>
      <w:pPr>
        <w:pStyle w:val="CodeBlock"/>
        <w:shd w:fill="F1F5F9"/>
      </w:pPr>
      <w:r>
        <w:rPr>
          <w:rFonts w:ascii="Arial" w:hAnsi="Arial"/>
        </w:rPr>
        <w:t>User LAN  ---- Firewall ---- Platform LAN ---- Edge/OT VLAN ---- PLC/Devices</w:t>
        <w:br/>
        <w:t xml:space="preserve">                         |</w:t>
        <w:br/>
        <w:t xml:space="preserve">                         +---- outbound-only cloud replication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  <w:cantSplit/>
        </w:trPr>
        <w:tc>
          <w:tcPr>
            <w:tcW w:type="dxa" w:w="1871"/>
            <w:shd w:fill="163A5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Zone</w:t>
            </w:r>
          </w:p>
        </w:tc>
        <w:tc>
          <w:tcPr>
            <w:tcW w:type="dxa" w:w="2268"/>
            <w:shd w:fill="163A5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Assets</w:t>
            </w:r>
          </w:p>
        </w:tc>
        <w:tc>
          <w:tcPr>
            <w:tcW w:type="dxa" w:w="3572"/>
            <w:shd w:fill="163A5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Allowed traffic</w:t>
            </w:r>
          </w:p>
        </w:tc>
        <w:tc>
          <w:tcPr>
            <w:tcW w:type="dxa" w:w="2835"/>
            <w:shd w:fill="163A5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Rule</w:t>
            </w:r>
          </w:p>
        </w:tc>
      </w:tr>
      <w:tr>
        <w:trPr>
          <w:cantSplit/>
        </w:trPr>
        <w:tc>
          <w:tcPr>
            <w:tcW w:type="dxa" w:w="187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Platform LAN</w:t>
            </w:r>
          </w:p>
        </w:tc>
        <w:tc>
          <w:tcPr>
            <w:tcW w:type="dxa" w:w="22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Local Server, admin endpoints</w:t>
            </w:r>
          </w:p>
        </w:tc>
        <w:tc>
          <w:tcPr>
            <w:tcW w:type="dxa" w:w="357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HTTPS, DNS, NTP, management</w:t>
            </w:r>
          </w:p>
        </w:tc>
        <w:tc>
          <w:tcPr>
            <w:tcW w:type="dxa" w:w="2835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Business applications</w:t>
            </w:r>
          </w:p>
        </w:tc>
      </w:tr>
      <w:tr>
        <w:trPr>
          <w:cantSplit/>
        </w:trPr>
        <w:tc>
          <w:tcPr>
            <w:tcW w:type="dxa" w:w="1871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Edge/OT VLAN</w:t>
            </w:r>
          </w:p>
        </w:tc>
        <w:tc>
          <w:tcPr>
            <w:tcW w:type="dxa" w:w="2268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Gateways, RetrofitNode</w:t>
            </w:r>
          </w:p>
        </w:tc>
        <w:tc>
          <w:tcPr>
            <w:tcW w:type="dxa" w:w="3572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MQTT/HTTPS/OPC UA/Modbus TCP as allowlisted</w:t>
            </w:r>
          </w:p>
        </w:tc>
        <w:tc>
          <w:tcPr>
            <w:tcW w:type="dxa" w:w="2835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Industrial acquisition</w:t>
            </w:r>
          </w:p>
        </w:tc>
      </w:tr>
      <w:tr>
        <w:trPr>
          <w:cantSplit/>
        </w:trPr>
        <w:tc>
          <w:tcPr>
            <w:tcW w:type="dxa" w:w="187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PLC segment</w:t>
            </w:r>
          </w:p>
        </w:tc>
        <w:tc>
          <w:tcPr>
            <w:tcW w:type="dxa" w:w="22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PLC/industrial devices</w:t>
            </w:r>
          </w:p>
        </w:tc>
        <w:tc>
          <w:tcPr>
            <w:tcW w:type="dxa" w:w="357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Only required read paths</w:t>
            </w:r>
          </w:p>
        </w:tc>
        <w:tc>
          <w:tcPr>
            <w:tcW w:type="dxa" w:w="2835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Do not expose to cloud</w:t>
            </w:r>
          </w:p>
        </w:tc>
      </w:tr>
      <w:tr>
        <w:trPr>
          <w:cantSplit/>
        </w:trPr>
        <w:tc>
          <w:tcPr>
            <w:tcW w:type="dxa" w:w="1871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Guest/Office</w:t>
            </w:r>
          </w:p>
        </w:tc>
        <w:tc>
          <w:tcPr>
            <w:tcW w:type="dxa" w:w="2268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Office users</w:t>
            </w:r>
          </w:p>
        </w:tc>
        <w:tc>
          <w:tcPr>
            <w:tcW w:type="dxa" w:w="3572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 direct OT access</w:t>
            </w:r>
          </w:p>
        </w:tc>
        <w:tc>
          <w:tcPr>
            <w:tcW w:type="dxa" w:w="2835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Via API/UI only</w:t>
            </w:r>
          </w:p>
        </w:tc>
      </w:tr>
    </w:tbl>
    <w:p>
      <w:pPr>
        <w:spacing w:after="20"/>
      </w:pPr>
    </w:p>
    <w:p>
      <w:pPr>
        <w:pStyle w:val="ListBullet"/>
      </w:pPr>
      <w:r>
        <w:rPr>
          <w:rFonts w:ascii="Arial" w:hAnsi="Arial"/>
        </w:rPr>
        <w:t>Cloud connectivity не должна быть условием связи RetrofitNode -&gt; Local Server.</w:t>
      </w:r>
    </w:p>
    <w:p>
      <w:pPr>
        <w:pStyle w:val="ListBullet"/>
      </w:pPr>
      <w:r>
        <w:rPr>
          <w:rFonts w:ascii="Arial" w:hAnsi="Arial"/>
        </w:rPr>
        <w:t>Все OT destinations allowlisted; discovery protocols не должны бесконтрольно распространяться между VLAN.</w:t>
      </w:r>
    </w:p>
    <w:p>
      <w:pPr>
        <w:pStyle w:val="ListBullet"/>
      </w:pPr>
      <w:r>
        <w:rPr>
          <w:rFonts w:ascii="Arial" w:hAnsi="Arial"/>
        </w:rPr>
        <w:t>NTP — локальный приоритетный источник времени; edge должен продолжать timestamping при временной потере NTP.</w:t>
      </w:r>
    </w:p>
    <w:p>
      <w:pPr>
        <w:pStyle w:val="Heading1"/>
        <w:keepNext/>
      </w:pPr>
      <w:r>
        <w:rPr>
          <w:rFonts w:ascii="Arial" w:hAnsi="Arial"/>
        </w:rPr>
        <w:t>7. RetrofitNode: назначение и варианты</w:t>
      </w:r>
    </w:p>
    <w:p>
      <w:r>
        <w:rPr>
          <w:rFonts w:ascii="Arial" w:hAnsi="Arial"/>
        </w:rPr>
        <w:t>RetrofitNode — edge-устройство рядом с оборудованием. Оно принимает электрические/протокольные сигналы, выполняет минимальную нормализацию, временную буферизацию и безопасно передаёт данные Local Server. Оно не содержит бизнес-логики MES/склада/ТОиР.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  <w:cantSplit/>
        </w:trPr>
        <w:tc>
          <w:tcPr>
            <w:tcW w:type="dxa" w:w="1701"/>
            <w:shd w:fill="163A5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Класс</w:t>
            </w:r>
          </w:p>
        </w:tc>
        <w:tc>
          <w:tcPr>
            <w:tcW w:type="dxa" w:w="2381"/>
            <w:shd w:fill="163A5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Исполнение</w:t>
            </w:r>
          </w:p>
        </w:tc>
        <w:tc>
          <w:tcPr>
            <w:tcW w:type="dxa" w:w="3969"/>
            <w:shd w:fill="163A5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Минимальный набор</w:t>
            </w:r>
          </w:p>
        </w:tc>
        <w:tc>
          <w:tcPr>
            <w:tcW w:type="dxa" w:w="2835"/>
            <w:shd w:fill="163A5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Основной кейс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RN-Lite</w:t>
            </w:r>
          </w:p>
        </w:tc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DIN-rail / cabinet</w:t>
            </w:r>
          </w:p>
        </w:tc>
        <w:tc>
          <w:tcPr>
            <w:tcW w:type="dxa" w:w="396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1×Eth, 1×RS485, 4×DI, pulse</w:t>
            </w:r>
          </w:p>
        </w:tc>
        <w:tc>
          <w:tcPr>
            <w:tcW w:type="dxa" w:w="2835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Простой RUN/STOP/counter retrofit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RN-Industrial</w:t>
            </w:r>
          </w:p>
        </w:tc>
        <w:tc>
          <w:tcPr>
            <w:tcW w:type="dxa" w:w="2381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DIN-rail industrial</w:t>
            </w:r>
          </w:p>
        </w:tc>
        <w:tc>
          <w:tcPr>
            <w:tcW w:type="dxa" w:w="3969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2×Eth, 2×isolated RS485, 8–16 DI, 4 AI</w:t>
            </w:r>
          </w:p>
        </w:tc>
        <w:tc>
          <w:tcPr>
            <w:tcW w:type="dxa" w:w="2835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Цех, несколько сигналов/машин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RN-Field</w:t>
            </w:r>
          </w:p>
        </w:tc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IP-rated enclosure</w:t>
            </w:r>
          </w:p>
        </w:tc>
        <w:tc>
          <w:tcPr>
            <w:tcW w:type="dxa" w:w="396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Eth/Cellular/LoRa option, low-power inputs</w:t>
            </w:r>
          </w:p>
        </w:tc>
        <w:tc>
          <w:tcPr>
            <w:tcW w:type="dxa" w:w="2835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Удалённые объекты/склады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Gateway-IPC</w:t>
            </w:r>
          </w:p>
        </w:tc>
        <w:tc>
          <w:tcPr>
            <w:tcW w:type="dxa" w:w="2381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Industrial PC</w:t>
            </w:r>
          </w:p>
        </w:tc>
        <w:tc>
          <w:tcPr>
            <w:tcW w:type="dxa" w:w="3969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OPC UA, many Modbus devices, protocol plugins</w:t>
            </w:r>
          </w:p>
        </w:tc>
        <w:tc>
          <w:tcPr>
            <w:tcW w:type="dxa" w:w="2835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Линия/цех с богатой автоматикой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/>
        </w:rPr>
        <w:t>8. Электрические и промышленные интерфейсы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  <w:cantSplit/>
        </w:trPr>
        <w:tc>
          <w:tcPr>
            <w:tcW w:type="dxa" w:w="1701"/>
            <w:shd w:fill="163A5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Интерфейс</w:t>
            </w:r>
          </w:p>
        </w:tc>
        <w:tc>
          <w:tcPr>
            <w:tcW w:type="dxa" w:w="2381"/>
            <w:shd w:fill="163A5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Назначение</w:t>
            </w:r>
          </w:p>
        </w:tc>
        <w:tc>
          <w:tcPr>
            <w:tcW w:type="dxa" w:w="6860"/>
            <w:shd w:fill="163A5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Hardware/firmware contract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RS485</w:t>
            </w:r>
          </w:p>
        </w:tc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Modbus RTU/vendor protocols</w:t>
            </w:r>
          </w:p>
        </w:tc>
        <w:tc>
          <w:tcPr>
            <w:tcW w:type="dxa" w:w="686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Гальваническая изоляция предпочтительна; configurable termination/bias; surge/ESD protection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Ethernet</w:t>
            </w:r>
          </w:p>
        </w:tc>
        <w:tc>
          <w:tcPr>
            <w:tcW w:type="dxa" w:w="2381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Modbus TCP, OPC UA, HTTPS, MQTT</w:t>
            </w:r>
          </w:p>
        </w:tc>
        <w:tc>
          <w:tcPr>
            <w:tcW w:type="dxa" w:w="6860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Industrial connector/cabinet patching; link health; VLAN support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24 V digital input</w:t>
            </w:r>
          </w:p>
        </w:tc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PNP/NPN/dry contact via proper front-end</w:t>
            </w:r>
          </w:p>
        </w:tc>
        <w:tc>
          <w:tcPr>
            <w:tcW w:type="dxa" w:w="686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Полярность/тип задаются profile; debounce; isolation; protected input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Dry contact</w:t>
            </w:r>
          </w:p>
        </w:tc>
        <w:tc>
          <w:tcPr>
            <w:tcW w:type="dxa" w:w="2381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relay/limit/run contacts</w:t>
            </w:r>
          </w:p>
        </w:tc>
        <w:tc>
          <w:tcPr>
            <w:tcW w:type="dxa" w:w="6860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Низкотоковое sensing; no power injection into unknown circuit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4–20 mA</w:t>
            </w:r>
          </w:p>
        </w:tc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level/pressure/current transducers</w:t>
            </w:r>
          </w:p>
        </w:tc>
        <w:tc>
          <w:tcPr>
            <w:tcW w:type="dxa" w:w="686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Isolated/current shunt front-end; open-loop detection; calibration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0–10 V</w:t>
            </w:r>
          </w:p>
        </w:tc>
        <w:tc>
          <w:tcPr>
            <w:tcW w:type="dxa" w:w="2381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legacy analog</w:t>
            </w:r>
          </w:p>
        </w:tc>
        <w:tc>
          <w:tcPr>
            <w:tcW w:type="dxa" w:w="6860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Protected high impedance input; calibration; common-mode limits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Pulse/counter</w:t>
            </w:r>
          </w:p>
        </w:tc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photoeye/meters</w:t>
            </w:r>
          </w:p>
        </w:tc>
        <w:tc>
          <w:tcPr>
            <w:tcW w:type="dxa" w:w="686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Debounce/min pulse width/max frequency/overflow handling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Frequency/RPM</w:t>
            </w:r>
          </w:p>
        </w:tc>
        <w:tc>
          <w:tcPr>
            <w:tcW w:type="dxa" w:w="2381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shaft/encoder proxy</w:t>
            </w:r>
          </w:p>
        </w:tc>
        <w:tc>
          <w:tcPr>
            <w:tcW w:type="dxa" w:w="6860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Schmitt/isolated conditioning; configured range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USB/serial service</w:t>
            </w:r>
          </w:p>
        </w:tc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commissioning only</w:t>
            </w:r>
          </w:p>
        </w:tc>
        <w:tc>
          <w:tcPr>
            <w:tcW w:type="dxa" w:w="686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Disabled/restricted in normal operation where possible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/>
        </w:rPr>
        <w:t>9. Невмешивающийся retrofit существующего оборудования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  <w:cantSplit/>
        </w:trPr>
        <w:tc>
          <w:tcPr>
            <w:tcW w:type="dxa" w:w="2324"/>
            <w:shd w:fill="163A5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Оборудование</w:t>
            </w:r>
          </w:p>
        </w:tc>
        <w:tc>
          <w:tcPr>
            <w:tcW w:type="dxa" w:w="2608"/>
            <w:shd w:fill="163A5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Способ</w:t>
            </w:r>
          </w:p>
        </w:tc>
        <w:tc>
          <w:tcPr>
            <w:tcW w:type="dxa" w:w="3288"/>
            <w:shd w:fill="163A5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Получаемый факт/evidence</w:t>
            </w:r>
          </w:p>
        </w:tc>
        <w:tc>
          <w:tcPr>
            <w:tcW w:type="dxa" w:w="3969"/>
            <w:shd w:fill="163A5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Ограничение</w:t>
            </w:r>
          </w:p>
        </w:tc>
      </w:tr>
      <w:tr>
        <w:trPr>
          <w:cantSplit/>
        </w:trPr>
        <w:tc>
          <w:tcPr>
            <w:tcW w:type="dxa" w:w="232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Старый электродвигатель</w:t>
            </w:r>
          </w:p>
        </w:tc>
        <w:tc>
          <w:tcPr>
            <w:tcW w:type="dxa" w:w="260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Current transducer</w:t>
            </w:r>
          </w:p>
        </w:tc>
        <w:tc>
          <w:tcPr>
            <w:tcW w:type="dxa" w:w="328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RUN/IDLE proxy</w:t>
            </w:r>
          </w:p>
        </w:tc>
        <w:tc>
          <w:tcPr>
            <w:tcW w:type="dxa" w:w="396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Не вскрывать safety chain; calibration in shadow mode</w:t>
            </w:r>
          </w:p>
        </w:tc>
      </w:tr>
      <w:tr>
        <w:trPr>
          <w:cantSplit/>
        </w:trPr>
        <w:tc>
          <w:tcPr>
            <w:tcW w:type="dxa" w:w="2324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Конвейер</w:t>
            </w:r>
          </w:p>
        </w:tc>
        <w:tc>
          <w:tcPr>
            <w:tcW w:type="dxa" w:w="2608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Photoelectric sensor</w:t>
            </w:r>
          </w:p>
        </w:tc>
        <w:tc>
          <w:tcPr>
            <w:tcW w:type="dxa" w:w="3288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Product pulse / throughput</w:t>
            </w:r>
          </w:p>
        </w:tc>
        <w:tc>
          <w:tcPr>
            <w:tcW w:type="dxa" w:w="3969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Independent mount; reject impossible rate</w:t>
            </w:r>
          </w:p>
        </w:tc>
      </w:tr>
      <w:tr>
        <w:trPr>
          <w:cantSplit/>
        </w:trPr>
        <w:tc>
          <w:tcPr>
            <w:tcW w:type="dxa" w:w="232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Станок с лампой RUN</w:t>
            </w:r>
          </w:p>
        </w:tc>
        <w:tc>
          <w:tcPr>
            <w:tcW w:type="dxa" w:w="260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Isolated sensing / auxiliary relay</w:t>
            </w:r>
          </w:p>
        </w:tc>
        <w:tc>
          <w:tcPr>
            <w:tcW w:type="dxa" w:w="328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RUN/STOP evidence</w:t>
            </w:r>
          </w:p>
        </w:tc>
        <w:tc>
          <w:tcPr>
            <w:tcW w:type="dxa" w:w="396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Не подключаться непосредственно без схемы/электрика</w:t>
            </w:r>
          </w:p>
        </w:tc>
      </w:tr>
      <w:tr>
        <w:trPr>
          <w:cantSplit/>
        </w:trPr>
        <w:tc>
          <w:tcPr>
            <w:tcW w:type="dxa" w:w="2324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Весовой терминал</w:t>
            </w:r>
          </w:p>
        </w:tc>
        <w:tc>
          <w:tcPr>
            <w:tcW w:type="dxa" w:w="2608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RS232/RS485/Ethernet mirror</w:t>
            </w:r>
          </w:p>
        </w:tc>
        <w:tc>
          <w:tcPr>
            <w:tcW w:type="dxa" w:w="3288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Raw WeightReading</w:t>
            </w:r>
          </w:p>
        </w:tc>
        <w:tc>
          <w:tcPr>
            <w:tcW w:type="dxa" w:w="3969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Не считать reading складским движением</w:t>
            </w:r>
          </w:p>
        </w:tc>
      </w:tr>
      <w:tr>
        <w:trPr>
          <w:cantSplit/>
        </w:trPr>
        <w:tc>
          <w:tcPr>
            <w:tcW w:type="dxa" w:w="232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PLC с Modbus</w:t>
            </w:r>
          </w:p>
        </w:tc>
        <w:tc>
          <w:tcPr>
            <w:tcW w:type="dxa" w:w="260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Read-only registers</w:t>
            </w:r>
          </w:p>
        </w:tc>
        <w:tc>
          <w:tcPr>
            <w:tcW w:type="dxa" w:w="328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State/counter/process evidence</w:t>
            </w:r>
          </w:p>
        </w:tc>
        <w:tc>
          <w:tcPr>
            <w:tcW w:type="dxa" w:w="396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Mapping versioned; no register writes</w:t>
            </w:r>
          </w:p>
        </w:tc>
      </w:tr>
      <w:tr>
        <w:trPr>
          <w:cantSplit/>
        </w:trPr>
        <w:tc>
          <w:tcPr>
            <w:tcW w:type="dxa" w:w="2324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PLC/SCADA с OPC UA</w:t>
            </w:r>
          </w:p>
        </w:tc>
        <w:tc>
          <w:tcPr>
            <w:tcW w:type="dxa" w:w="2608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Subscription</w:t>
            </w:r>
          </w:p>
        </w:tc>
        <w:tc>
          <w:tcPr>
            <w:tcW w:type="dxa" w:w="3288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Semantic tags/evidence</w:t>
            </w:r>
          </w:p>
        </w:tc>
        <w:tc>
          <w:tcPr>
            <w:tcW w:type="dxa" w:w="3969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Certificates/allowlist; read-only session role</w:t>
            </w:r>
          </w:p>
        </w:tc>
      </w:tr>
      <w:tr>
        <w:trPr>
          <w:cantSplit/>
        </w:trPr>
        <w:tc>
          <w:tcPr>
            <w:tcW w:type="dxa" w:w="232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Ручная линия</w:t>
            </w:r>
          </w:p>
        </w:tc>
        <w:tc>
          <w:tcPr>
            <w:tcW w:type="dxa" w:w="260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Mobile operator + optional counter</w:t>
            </w:r>
          </w:p>
        </w:tc>
        <w:tc>
          <w:tcPr>
            <w:tcW w:type="dxa" w:w="328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ProductionRun/output</w:t>
            </w:r>
          </w:p>
        </w:tc>
        <w:tc>
          <w:tcPr>
            <w:tcW w:type="dxa" w:w="396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Hardware optional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/>
        </w:rPr>
        <w:t>10. Датчики и входные факты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  <w:cantSplit/>
        </w:trPr>
        <w:tc>
          <w:tcPr>
            <w:tcW w:type="dxa" w:w="1757"/>
            <w:shd w:fill="163A5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Sensor</w:t>
            </w:r>
          </w:p>
        </w:tc>
        <w:tc>
          <w:tcPr>
            <w:tcW w:type="dxa" w:w="2268"/>
            <w:shd w:fill="163A5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Измеряет</w:t>
            </w:r>
          </w:p>
        </w:tc>
        <w:tc>
          <w:tcPr>
            <w:tcW w:type="dxa" w:w="3288"/>
            <w:shd w:fill="163A5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Использование</w:t>
            </w:r>
          </w:p>
        </w:tc>
        <w:tc>
          <w:tcPr>
            <w:tcW w:type="dxa" w:w="3969"/>
            <w:shd w:fill="163A5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Правило</w:t>
            </w:r>
          </w:p>
        </w:tc>
      </w:tr>
      <w:tr>
        <w:trPr>
          <w:cantSplit/>
        </w:trPr>
        <w:tc>
          <w:tcPr>
            <w:tcW w:type="dxa" w:w="175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Current</w:t>
            </w:r>
          </w:p>
        </w:tc>
        <w:tc>
          <w:tcPr>
            <w:tcW w:type="dxa" w:w="22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Двигатель активен</w:t>
            </w:r>
          </w:p>
        </w:tc>
        <w:tc>
          <w:tcPr>
            <w:tcW w:type="dxa" w:w="328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RUN proxy, abnormal load</w:t>
            </w:r>
          </w:p>
        </w:tc>
        <w:tc>
          <w:tcPr>
            <w:tcW w:type="dxa" w:w="396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Не заменяет энергомониторинг без metrology profile</w:t>
            </w:r>
          </w:p>
        </w:tc>
      </w:tr>
      <w:tr>
        <w:trPr>
          <w:cantSplit/>
        </w:trPr>
        <w:tc>
          <w:tcPr>
            <w:tcW w:type="dxa" w:w="175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Photoelectric</w:t>
            </w:r>
          </w:p>
        </w:tc>
        <w:tc>
          <w:tcPr>
            <w:tcW w:type="dxa" w:w="2268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Проход изделия</w:t>
            </w:r>
          </w:p>
        </w:tc>
        <w:tc>
          <w:tcPr>
            <w:tcW w:type="dxa" w:w="3288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Counter/cycle</w:t>
            </w:r>
          </w:p>
        </w:tc>
        <w:tc>
          <w:tcPr>
            <w:tcW w:type="dxa" w:w="3969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Нужна защита от двойных импульсов/пыли</w:t>
            </w:r>
          </w:p>
        </w:tc>
      </w:tr>
      <w:tr>
        <w:trPr>
          <w:cantSplit/>
        </w:trPr>
        <w:tc>
          <w:tcPr>
            <w:tcW w:type="dxa" w:w="175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Inductive proximity</w:t>
            </w:r>
          </w:p>
        </w:tc>
        <w:tc>
          <w:tcPr>
            <w:tcW w:type="dxa" w:w="22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Положение/оборот</w:t>
            </w:r>
          </w:p>
        </w:tc>
        <w:tc>
          <w:tcPr>
            <w:tcW w:type="dxa" w:w="328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Cycle/frequency</w:t>
            </w:r>
          </w:p>
        </w:tc>
        <w:tc>
          <w:tcPr>
            <w:tcW w:type="dxa" w:w="396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Монтажный зазор и вибрация</w:t>
            </w:r>
          </w:p>
        </w:tc>
      </w:tr>
      <w:tr>
        <w:trPr>
          <w:cantSplit/>
        </w:trPr>
        <w:tc>
          <w:tcPr>
            <w:tcW w:type="dxa" w:w="175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Dry contact</w:t>
            </w:r>
          </w:p>
        </w:tc>
        <w:tc>
          <w:tcPr>
            <w:tcW w:type="dxa" w:w="2268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Run/fault/limit</w:t>
            </w:r>
          </w:p>
        </w:tc>
        <w:tc>
          <w:tcPr>
            <w:tcW w:type="dxa" w:w="3288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Discrete evidence</w:t>
            </w:r>
          </w:p>
        </w:tc>
        <w:tc>
          <w:tcPr>
            <w:tcW w:type="dxa" w:w="3969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NO/NC semantics configured</w:t>
            </w:r>
          </w:p>
        </w:tc>
      </w:tr>
      <w:tr>
        <w:trPr>
          <w:cantSplit/>
        </w:trPr>
        <w:tc>
          <w:tcPr>
            <w:tcW w:type="dxa" w:w="175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Level 4–20 mA</w:t>
            </w:r>
          </w:p>
        </w:tc>
        <w:tc>
          <w:tcPr>
            <w:tcW w:type="dxa" w:w="22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Уровень ёмкости</w:t>
            </w:r>
          </w:p>
        </w:tc>
        <w:tc>
          <w:tcPr>
            <w:tcW w:type="dxa" w:w="328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Process evidence</w:t>
            </w:r>
          </w:p>
        </w:tc>
        <w:tc>
          <w:tcPr>
            <w:tcW w:type="dxa" w:w="396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Calibration + plausibility</w:t>
            </w:r>
          </w:p>
        </w:tc>
      </w:tr>
      <w:tr>
        <w:trPr>
          <w:cantSplit/>
        </w:trPr>
        <w:tc>
          <w:tcPr>
            <w:tcW w:type="dxa" w:w="175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Temperature</w:t>
            </w:r>
          </w:p>
        </w:tc>
        <w:tc>
          <w:tcPr>
            <w:tcW w:type="dxa" w:w="2268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Температура узла/процесса</w:t>
            </w:r>
          </w:p>
        </w:tc>
        <w:tc>
          <w:tcPr>
            <w:tcW w:type="dxa" w:w="3288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Condition/process evidence</w:t>
            </w:r>
          </w:p>
        </w:tc>
        <w:tc>
          <w:tcPr>
            <w:tcW w:type="dxa" w:w="3969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Тип probe and placement matter</w:t>
            </w:r>
          </w:p>
        </w:tc>
      </w:tr>
      <w:tr>
        <w:trPr>
          <w:cantSplit/>
        </w:trPr>
        <w:tc>
          <w:tcPr>
            <w:tcW w:type="dxa" w:w="175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Vibration</w:t>
            </w:r>
          </w:p>
        </w:tc>
        <w:tc>
          <w:tcPr>
            <w:tcW w:type="dxa" w:w="22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Condition monitoring</w:t>
            </w:r>
          </w:p>
        </w:tc>
        <w:tc>
          <w:tcPr>
            <w:tcW w:type="dxa" w:w="328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Anomaly features</w:t>
            </w:r>
          </w:p>
        </w:tc>
        <w:tc>
          <w:tcPr>
            <w:tcW w:type="dxa" w:w="396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Не объявлять failure без model/threshold validation</w:t>
            </w:r>
          </w:p>
        </w:tc>
      </w:tr>
      <w:tr>
        <w:trPr>
          <w:cantSplit/>
        </w:trPr>
        <w:tc>
          <w:tcPr>
            <w:tcW w:type="dxa" w:w="175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GPS</w:t>
            </w:r>
          </w:p>
        </w:tc>
        <w:tc>
          <w:tcPr>
            <w:tcW w:type="dxa" w:w="2268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Положение техники</w:t>
            </w:r>
          </w:p>
        </w:tc>
        <w:tc>
          <w:tcPr>
            <w:tcW w:type="dxa" w:w="3288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Track/evidence</w:t>
            </w:r>
          </w:p>
        </w:tc>
        <w:tc>
          <w:tcPr>
            <w:tcW w:type="dxa" w:w="3969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Не закрывает business task автоматически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/>
        </w:rPr>
        <w:t>11. Питание, электробезопасность и отказоустойчивость edge</w:t>
      </w:r>
    </w:p>
    <w:p>
      <w:pPr>
        <w:pStyle w:val="ListBullet"/>
      </w:pPr>
      <w:r>
        <w:rPr>
          <w:rFonts w:ascii="Arial" w:hAnsi="Arial"/>
        </w:rPr>
        <w:t>Предпочтительное питание edge в шкафу автоматики: промышленное 24 VDC через отдельную защиту; конкретный входной диапазон задаётся hardware profile.</w:t>
      </w:r>
    </w:p>
    <w:p>
      <w:pPr>
        <w:pStyle w:val="ListBullet"/>
      </w:pPr>
      <w:r>
        <w:rPr>
          <w:rFonts w:ascii="Arial" w:hAnsi="Arial"/>
        </w:rPr>
        <w:t>Reverse polarity, over-voltage/transient protection и brownout handling обязательны для custom RetrofitNode.</w:t>
      </w:r>
    </w:p>
    <w:p>
      <w:pPr>
        <w:pStyle w:val="ListBullet"/>
      </w:pPr>
      <w:r>
        <w:rPr>
          <w:rFonts w:ascii="Arial" w:hAnsi="Arial"/>
        </w:rPr>
        <w:t>Watchdog должен восстанавливать зависший acquisition process/device без повреждения буфера.</w:t>
      </w:r>
    </w:p>
    <w:p>
      <w:pPr>
        <w:pStyle w:val="ListBullet"/>
      </w:pPr>
      <w:r>
        <w:rPr>
          <w:rFonts w:ascii="Arial" w:hAnsi="Arial"/>
        </w:rPr>
        <w:t>RTC/monotonic time используется для локальной очереди; качество времени сохраняется как metadata.</w:t>
      </w:r>
    </w:p>
    <w:p>
      <w:pPr>
        <w:pStyle w:val="ListBullet"/>
      </w:pPr>
      <w:r>
        <w:rPr>
          <w:rFonts w:ascii="Arial" w:hAnsi="Arial"/>
        </w:rPr>
        <w:t>При исчезновении питания файловая система/queue должны оставаться recoverable; при необходимости используется read-only rootfs/transactional update.</w:t>
      </w:r>
    </w:p>
    <w:p>
      <w:pPr>
        <w:pStyle w:val="ListBullet"/>
      </w:pPr>
      <w:r>
        <w:rPr>
          <w:rFonts w:ascii="Arial" w:hAnsi="Arial"/>
        </w:rPr>
        <w:t>UPS Local Server завершает работу контролируемо и сообщает remaining runtime/low battery.</w:t>
      </w:r>
    </w:p>
    <w:p>
      <w:pPr>
        <w:pStyle w:val="Heading1"/>
        <w:keepNext/>
      </w:pPr>
      <w:r>
        <w:rPr>
          <w:rFonts w:ascii="Arial" w:hAnsi="Arial"/>
        </w:rPr>
        <w:t>12. Корпуса, климат и монтаж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  <w:cantSplit/>
        </w:trPr>
        <w:tc>
          <w:tcPr>
            <w:tcW w:type="dxa" w:w="2381"/>
            <w:shd w:fill="163A5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Среда</w:t>
            </w:r>
          </w:p>
        </w:tc>
        <w:tc>
          <w:tcPr>
            <w:tcW w:type="dxa" w:w="3628"/>
            <w:shd w:fill="163A5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Рекомендуемое исполнение</w:t>
            </w:r>
          </w:p>
        </w:tc>
        <w:tc>
          <w:tcPr>
            <w:tcW w:type="dxa" w:w="5783"/>
            <w:shd w:fill="163A5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Особенности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Серверная/офис</w:t>
            </w:r>
          </w:p>
        </w:tc>
        <w:tc>
          <w:tcPr>
            <w:tcW w:type="dxa" w:w="362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Rack/tower, controlled environment</w:t>
            </w:r>
          </w:p>
        </w:tc>
        <w:tc>
          <w:tcPr>
            <w:tcW w:type="dxa" w:w="578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Dust/temperature monitored</w:t>
            </w:r>
          </w:p>
        </w:tc>
      </w:tr>
      <w:tr>
        <w:trPr>
          <w:cantSplit/>
        </w:trPr>
        <w:tc>
          <w:tcPr>
            <w:tcW w:type="dxa" w:w="2381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Шкаф автоматики</w:t>
            </w:r>
          </w:p>
        </w:tc>
        <w:tc>
          <w:tcPr>
            <w:tcW w:type="dxa" w:w="3628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DIN-rail, IP20 inside protected cabinet</w:t>
            </w:r>
          </w:p>
        </w:tc>
        <w:tc>
          <w:tcPr>
            <w:tcW w:type="dxa" w:w="5783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24 VDC, isolated I/O, terminal blocks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Цех вне шкафа</w:t>
            </w:r>
          </w:p>
        </w:tc>
        <w:tc>
          <w:tcPr>
            <w:tcW w:type="dxa" w:w="362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Industrial enclosure</w:t>
            </w:r>
          </w:p>
        </w:tc>
        <w:tc>
          <w:tcPr>
            <w:tcW w:type="dxa" w:w="578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IP rating selected after site survey, protected connectors</w:t>
            </w:r>
          </w:p>
        </w:tc>
      </w:tr>
      <w:tr>
        <w:trPr>
          <w:cantSplit/>
        </w:trPr>
        <w:tc>
          <w:tcPr>
            <w:tcW w:type="dxa" w:w="2381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Улица/поле</w:t>
            </w:r>
          </w:p>
        </w:tc>
        <w:tc>
          <w:tcPr>
            <w:tcW w:type="dxa" w:w="3628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Weather-resistant enclosure</w:t>
            </w:r>
          </w:p>
        </w:tc>
        <w:tc>
          <w:tcPr>
            <w:tcW w:type="dxa" w:w="5783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Temperature, UV, condensation, lightning/surge strategy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Пыль/мойка</w:t>
            </w:r>
          </w:p>
        </w:tc>
        <w:tc>
          <w:tcPr>
            <w:tcW w:type="dxa" w:w="362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Higher IP enclosure</w:t>
            </w:r>
          </w:p>
        </w:tc>
        <w:tc>
          <w:tcPr>
            <w:tcW w:type="dxa" w:w="578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Cable glands, breathable membrane if required, corrosion resistance</w:t>
            </w:r>
          </w:p>
        </w:tc>
      </w:tr>
    </w:tbl>
    <w:p>
      <w:pPr>
        <w:spacing w:after="20"/>
      </w:pPr>
    </w:p>
    <w:p>
      <w:r>
        <w:rPr>
          <w:rFonts w:ascii="Arial" w:hAnsi="Arial"/>
        </w:rPr>
        <w:t>IP/temperature values выбираются не «по умолчанию», а по site survey и применимой редакции стандартов. Необходимо учитывать реальную установку: корпус IP65 не делает негерметичный кабельный ввод IP65.</w:t>
      </w:r>
    </w:p>
    <w:p>
      <w:pPr>
        <w:pStyle w:val="Heading1"/>
        <w:keepNext/>
      </w:pPr>
      <w:r>
        <w:rPr>
          <w:rFonts w:ascii="Arial" w:hAnsi="Arial"/>
        </w:rPr>
        <w:t>13. Протокольный стек и программный edge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  <w:cantSplit/>
        </w:trPr>
        <w:tc>
          <w:tcPr>
            <w:tcW w:type="dxa" w:w="1814"/>
            <w:shd w:fill="163A5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Protocol</w:t>
            </w:r>
          </w:p>
        </w:tc>
        <w:tc>
          <w:tcPr>
            <w:tcW w:type="dxa" w:w="2835"/>
            <w:shd w:fill="163A5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Role</w:t>
            </w:r>
          </w:p>
        </w:tc>
        <w:tc>
          <w:tcPr>
            <w:tcW w:type="dxa" w:w="7200"/>
            <w:shd w:fill="163A5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Required behavior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MQTT 5.0</w:t>
            </w:r>
          </w:p>
        </w:tc>
        <w:tc>
          <w:tcPr>
            <w:tcW w:type="dxa" w:w="2835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Edge -&gt; Local Server events/telemetry</w:t>
            </w:r>
          </w:p>
        </w:tc>
        <w:tc>
          <w:tcPr>
            <w:tcW w:type="dxa" w:w="720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QoS/configurable session, retained only where semantically safe, TLS when profile requires</w:t>
            </w:r>
          </w:p>
        </w:tc>
      </w:tr>
      <w:tr>
        <w:trPr>
          <w:cantSplit/>
        </w:trPr>
        <w:tc>
          <w:tcPr>
            <w:tcW w:type="dxa" w:w="1814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HTTPS batch</w:t>
            </w:r>
          </w:p>
        </w:tc>
        <w:tc>
          <w:tcPr>
            <w:tcW w:type="dxa" w:w="2835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Store-and-forward batch</w:t>
            </w:r>
          </w:p>
        </w:tc>
        <w:tc>
          <w:tcPr>
            <w:tcW w:type="dxa" w:w="7200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Idempotency keys, compression, backpressure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Modbus TCP/RTU</w:t>
            </w:r>
          </w:p>
        </w:tc>
        <w:tc>
          <w:tcPr>
            <w:tcW w:type="dxa" w:w="2835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Legacy/industrial read</w:t>
            </w:r>
          </w:p>
        </w:tc>
        <w:tc>
          <w:tcPr>
            <w:tcW w:type="dxa" w:w="720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Read-only allowlist of function/registers; rate limiting</w:t>
            </w:r>
          </w:p>
        </w:tc>
      </w:tr>
      <w:tr>
        <w:trPr>
          <w:cantSplit/>
        </w:trPr>
        <w:tc>
          <w:tcPr>
            <w:tcW w:type="dxa" w:w="1814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OPC UA</w:t>
            </w:r>
          </w:p>
        </w:tc>
        <w:tc>
          <w:tcPr>
            <w:tcW w:type="dxa" w:w="2835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Rich PLC/SCADA semantics</w:t>
            </w:r>
          </w:p>
        </w:tc>
        <w:tc>
          <w:tcPr>
            <w:tcW w:type="dxa" w:w="7200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Client subscription; certificate trust; read-only role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LoRaWAN</w:t>
            </w:r>
          </w:p>
        </w:tc>
        <w:tc>
          <w:tcPr>
            <w:tcW w:type="dxa" w:w="2835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Low-power remote sensors</w:t>
            </w:r>
          </w:p>
        </w:tc>
        <w:tc>
          <w:tcPr>
            <w:tcW w:type="dxa" w:w="720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Private/local network preferred where offline autonomy required; regional profile configured</w:t>
            </w:r>
          </w:p>
        </w:tc>
      </w:tr>
    </w:tbl>
    <w:p>
      <w:pPr>
        <w:spacing w:after="20"/>
      </w:pPr>
    </w:p>
    <w:p>
      <w:r>
        <w:rPr>
          <w:rFonts w:ascii="Arial" w:hAnsi="Arial"/>
        </w:rPr>
        <w:t>Reference basis: MQTT 5.0 is an OASIS Standard for lightweight publish/subscribe messaging; OPC UA defines secure interoperable information exchange from sensors/control systems to MES/ERP; Modbus Organization publishes V1.1b3 and serial/TCP implementation guides. LoRaWAN regional parameters must be configured for the deployment jurisdiction and radio plan.</w:t>
      </w:r>
    </w:p>
    <w:p>
      <w:pPr>
        <w:pStyle w:val="Heading1"/>
        <w:keepNext/>
      </w:pPr>
      <w:r>
        <w:rPr>
          <w:rFonts w:ascii="Arial" w:hAnsi="Arial"/>
        </w:rPr>
        <w:t>14. Edge Runtime</w:t>
      </w:r>
    </w:p>
    <w:p>
      <w:pPr>
        <w:pStyle w:val="CodeBlock"/>
        <w:shd w:fill="F1F5F9"/>
      </w:pPr>
      <w:r>
        <w:rPr>
          <w:rFonts w:ascii="Arial" w:hAnsi="Arial"/>
        </w:rPr>
        <w:t>Edge Agent</w:t>
        <w:br/>
        <w:t xml:space="preserve">  +- Device Drivers</w:t>
        <w:br/>
        <w:t xml:space="preserve">  |   +- Modbus RTU/TCP</w:t>
        <w:br/>
        <w:t xml:space="preserve">  |   +- OPC UA Client</w:t>
        <w:br/>
        <w:t xml:space="preserve">  |   +- GPIO / ADC / Counter</w:t>
        <w:br/>
        <w:t xml:space="preserve">  +- Signal Normalizer</w:t>
        <w:br/>
        <w:t xml:space="preserve">  +- Local Buffer</w:t>
        <w:br/>
        <w:t xml:space="preserve">  +- Health Agent</w:t>
        <w:br/>
        <w:t xml:space="preserve">  +- Secure Config</w:t>
        <w:br/>
        <w:t xml:space="preserve">  +- Update Agent</w:t>
        <w:br/>
        <w:t xml:space="preserve">  +- Transport (MQTT/HTTPS)</w:t>
      </w:r>
    </w:p>
    <w:p>
      <w:pPr>
        <w:pStyle w:val="ListBullet"/>
      </w:pPr>
      <w:r>
        <w:rPr>
          <w:rFonts w:ascii="Arial" w:hAnsi="Arial"/>
        </w:rPr>
        <w:t>Edge Agent не содержит NestJS business services и не имеет SQL-доступа к domain tables.</w:t>
      </w:r>
    </w:p>
    <w:p>
      <w:pPr>
        <w:pStyle w:val="ListBullet"/>
      </w:pPr>
      <w:r>
        <w:rPr>
          <w:rFonts w:ascii="Arial" w:hAnsi="Arial"/>
        </w:rPr>
        <w:t>Device drivers запускаются с минимальными privileges; plugin crash не должен падать весь gateway.</w:t>
      </w:r>
    </w:p>
    <w:p>
      <w:pPr>
        <w:pStyle w:val="ListBullet"/>
      </w:pPr>
      <w:r>
        <w:rPr>
          <w:rFonts w:ascii="Arial" w:hAnsi="Arial"/>
        </w:rPr>
        <w:t>Configuration имеет schema version, signature/hash, deployment revision и rollback copy.</w:t>
      </w:r>
    </w:p>
    <w:p>
      <w:pPr>
        <w:pStyle w:val="ListBullet"/>
      </w:pPr>
      <w:r>
        <w:rPr>
          <w:rFonts w:ascii="Arial" w:hAnsi="Arial"/>
        </w:rPr>
        <w:t>Buffer хранит original timestamps, sequence numbers и message identity.</w:t>
      </w:r>
    </w:p>
    <w:p>
      <w:pPr>
        <w:pStyle w:val="Heading1"/>
        <w:keepNext/>
      </w:pPr>
      <w:r>
        <w:rPr>
          <w:rFonts w:ascii="Arial" w:hAnsi="Arial"/>
        </w:rPr>
        <w:t>15. Identity, provisioning и управление устройствами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  <w:cantSplit/>
        </w:trPr>
        <w:tc>
          <w:tcPr>
            <w:tcW w:type="dxa" w:w="2381"/>
            <w:shd w:fill="163A5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Объект</w:t>
            </w:r>
          </w:p>
        </w:tc>
        <w:tc>
          <w:tcPr>
            <w:tcW w:type="dxa" w:w="3742"/>
            <w:shd w:fill="163A5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Identity</w:t>
            </w:r>
          </w:p>
        </w:tc>
        <w:tc>
          <w:tcPr>
            <w:tcW w:type="dxa" w:w="5669"/>
            <w:shd w:fill="163A5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Правило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RetrofitNode</w:t>
            </w:r>
          </w:p>
        </w:tc>
        <w:tc>
          <w:tcPr>
            <w:tcW w:type="dxa" w:w="374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deviceId + certificate/key</w:t>
            </w:r>
          </w:p>
        </w:tc>
        <w:tc>
          <w:tcPr>
            <w:tcW w:type="dxa" w:w="566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Unique per device; no fleet-shared secret</w:t>
            </w:r>
          </w:p>
        </w:tc>
      </w:tr>
      <w:tr>
        <w:trPr>
          <w:cantSplit/>
        </w:trPr>
        <w:tc>
          <w:tcPr>
            <w:tcW w:type="dxa" w:w="2381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Signal</w:t>
            </w:r>
          </w:p>
        </w:tc>
        <w:tc>
          <w:tcPr>
            <w:tcW w:type="dxa" w:w="3742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stable SignalDefinition</w:t>
            </w:r>
          </w:p>
        </w:tc>
        <w:tc>
          <w:tcPr>
            <w:tcW w:type="dxa" w:w="5669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DeviceBinding может меняться без потери history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Gateway</w:t>
            </w:r>
          </w:p>
        </w:tc>
        <w:tc>
          <w:tcPr>
            <w:tcW w:type="dxa" w:w="374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gatewayId + certificate</w:t>
            </w:r>
          </w:p>
        </w:tc>
        <w:tc>
          <w:tcPr>
            <w:tcW w:type="dxa" w:w="566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Separate from site/user account</w:t>
            </w:r>
          </w:p>
        </w:tc>
      </w:tr>
      <w:tr>
        <w:trPr>
          <w:cantSplit/>
        </w:trPr>
        <w:tc>
          <w:tcPr>
            <w:tcW w:type="dxa" w:w="2381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Firmware</w:t>
            </w:r>
          </w:p>
        </w:tc>
        <w:tc>
          <w:tcPr>
            <w:tcW w:type="dxa" w:w="3742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signed artifact + version</w:t>
            </w:r>
          </w:p>
        </w:tc>
        <w:tc>
          <w:tcPr>
            <w:tcW w:type="dxa" w:w="5669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Only trusted signing keys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Configuration</w:t>
            </w:r>
          </w:p>
        </w:tc>
        <w:tc>
          <w:tcPr>
            <w:tcW w:type="dxa" w:w="374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revision + hash/signature</w:t>
            </w:r>
          </w:p>
        </w:tc>
        <w:tc>
          <w:tcPr>
            <w:tcW w:type="dxa" w:w="566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Auditable and rollback-capable</w:t>
            </w:r>
          </w:p>
        </w:tc>
      </w:tr>
    </w:tbl>
    <w:p>
      <w:pPr>
        <w:spacing w:after="20"/>
      </w:pPr>
    </w:p>
    <w:p>
      <w:pPr>
        <w:pStyle w:val="ListBullet"/>
      </w:pPr>
      <w:r>
        <w:rPr>
          <w:rFonts w:ascii="Arial" w:hAnsi="Arial"/>
        </w:rPr>
        <w:t>Factory provisioning и site commissioning разделяются.</w:t>
      </w:r>
    </w:p>
    <w:p>
      <w:pPr>
        <w:pStyle w:val="ListBullet"/>
      </w:pPr>
      <w:r>
        <w:rPr>
          <w:rFonts w:ascii="Arial" w:hAnsi="Arial"/>
        </w:rPr>
        <w:t>Device replacement workflow должен rebind logical signals, а не создавать новую бизнес-сущность Equipment.</w:t>
      </w:r>
    </w:p>
    <w:p>
      <w:pPr>
        <w:pStyle w:val="ListBullet"/>
      </w:pPr>
      <w:r>
        <w:rPr>
          <w:rFonts w:ascii="Arial" w:hAnsi="Arial"/>
        </w:rPr>
        <w:t>Lost/stolen node certificate можно revoke без перевыпуска всего парка.</w:t>
      </w:r>
    </w:p>
    <w:p>
      <w:pPr>
        <w:pStyle w:val="Heading1"/>
        <w:keepNext/>
      </w:pPr>
      <w:r>
        <w:rPr>
          <w:rFonts w:ascii="Arial" w:hAnsi="Arial"/>
        </w:rPr>
        <w:t>16. Кибербезопасность OT/Edge</w:t>
      </w:r>
    </w:p>
    <w:p>
      <w:r>
        <w:rPr>
          <w:rFonts w:ascii="Arial" w:hAnsi="Arial"/>
        </w:rPr>
        <w:t>Security-профиль ориентируется на принципы IEC 62443: zones/conduits, least privilege, управление идентичностями, hardening, patch/update и контролируемые соединения. Конкретная сертификация определяется deployment scope; документ не утверждает автоматическое соответствие IEC 62443.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  <w:cantSplit/>
        </w:trPr>
        <w:tc>
          <w:tcPr>
            <w:tcW w:type="dxa" w:w="3402"/>
            <w:shd w:fill="163A5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Control</w:t>
            </w:r>
          </w:p>
        </w:tc>
        <w:tc>
          <w:tcPr>
            <w:tcW w:type="dxa" w:w="8391"/>
            <w:shd w:fill="163A5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Policy</w:t>
            </w:r>
          </w:p>
        </w:tc>
      </w:tr>
      <w:tr>
        <w:trPr>
          <w:cantSplit/>
        </w:trPr>
        <w:tc>
          <w:tcPr>
            <w:tcW w:type="dxa" w:w="340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Secure boot</w:t>
            </w:r>
          </w:p>
        </w:tc>
        <w:tc>
          <w:tcPr>
            <w:tcW w:type="dxa" w:w="839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Recommended/required for custom production hardware profile</w:t>
            </w:r>
          </w:p>
        </w:tc>
      </w:tr>
      <w:tr>
        <w:trPr>
          <w:cantSplit/>
        </w:trPr>
        <w:tc>
          <w:tcPr>
            <w:tcW w:type="dxa" w:w="3402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Signed firmware</w:t>
            </w:r>
          </w:p>
        </w:tc>
        <w:tc>
          <w:tcPr>
            <w:tcW w:type="dxa" w:w="8391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Mandatory for managed custom RetrofitNode</w:t>
            </w:r>
          </w:p>
        </w:tc>
      </w:tr>
      <w:tr>
        <w:trPr>
          <w:cantSplit/>
        </w:trPr>
        <w:tc>
          <w:tcPr>
            <w:tcW w:type="dxa" w:w="340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Device certificates</w:t>
            </w:r>
          </w:p>
        </w:tc>
        <w:tc>
          <w:tcPr>
            <w:tcW w:type="dxa" w:w="839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Unique, renewable, revocable</w:t>
            </w:r>
          </w:p>
        </w:tc>
      </w:tr>
      <w:tr>
        <w:trPr>
          <w:cantSplit/>
        </w:trPr>
        <w:tc>
          <w:tcPr>
            <w:tcW w:type="dxa" w:w="3402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Default passwords</w:t>
            </w:r>
          </w:p>
        </w:tc>
        <w:tc>
          <w:tcPr>
            <w:tcW w:type="dxa" w:w="8391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Forbidden</w:t>
            </w:r>
          </w:p>
        </w:tc>
      </w:tr>
      <w:tr>
        <w:trPr>
          <w:cantSplit/>
        </w:trPr>
        <w:tc>
          <w:tcPr>
            <w:tcW w:type="dxa" w:w="340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Inbound Internet</w:t>
            </w:r>
          </w:p>
        </w:tc>
        <w:tc>
          <w:tcPr>
            <w:tcW w:type="dxa" w:w="839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Forbidden by default</w:t>
            </w:r>
          </w:p>
        </w:tc>
      </w:tr>
      <w:tr>
        <w:trPr>
          <w:cantSplit/>
        </w:trPr>
        <w:tc>
          <w:tcPr>
            <w:tcW w:type="dxa" w:w="3402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Remote support</w:t>
            </w:r>
          </w:p>
        </w:tc>
        <w:tc>
          <w:tcPr>
            <w:tcW w:type="dxa" w:w="8391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Time-bound, audited, explicitly enabled</w:t>
            </w:r>
          </w:p>
        </w:tc>
      </w:tr>
      <w:tr>
        <w:trPr>
          <w:cantSplit/>
        </w:trPr>
        <w:tc>
          <w:tcPr>
            <w:tcW w:type="dxa" w:w="340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SSH/service access</w:t>
            </w:r>
          </w:p>
        </w:tc>
        <w:tc>
          <w:tcPr>
            <w:tcW w:type="dxa" w:w="839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Keys/certificates; disabled where unnecessary</w:t>
            </w:r>
          </w:p>
        </w:tc>
      </w:tr>
      <w:tr>
        <w:trPr>
          <w:cantSplit/>
        </w:trPr>
        <w:tc>
          <w:tcPr>
            <w:tcW w:type="dxa" w:w="3402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Secrets at rest</w:t>
            </w:r>
          </w:p>
        </w:tc>
        <w:tc>
          <w:tcPr>
            <w:tcW w:type="dxa" w:w="8391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Protected storage/secure element/TPM where available</w:t>
            </w:r>
          </w:p>
        </w:tc>
      </w:tr>
      <w:tr>
        <w:trPr>
          <w:cantSplit/>
        </w:trPr>
        <w:tc>
          <w:tcPr>
            <w:tcW w:type="dxa" w:w="340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SBOM</w:t>
            </w:r>
          </w:p>
        </w:tc>
        <w:tc>
          <w:tcPr>
            <w:tcW w:type="dxa" w:w="839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Generated for edge firmware/runtime release</w:t>
            </w:r>
          </w:p>
        </w:tc>
      </w:tr>
      <w:tr>
        <w:trPr>
          <w:cantSplit/>
        </w:trPr>
        <w:tc>
          <w:tcPr>
            <w:tcW w:type="dxa" w:w="3402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Vulnerability process</w:t>
            </w:r>
          </w:p>
        </w:tc>
        <w:tc>
          <w:tcPr>
            <w:tcW w:type="dxa" w:w="8391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CVE intake, triage, patch/mitigation SLA by severity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/>
        </w:rPr>
        <w:t>17. Обновление, rollback и fleet management</w:t>
      </w:r>
    </w:p>
    <w:p>
      <w:pPr>
        <w:pStyle w:val="ListBullet"/>
      </w:pPr>
      <w:r>
        <w:rPr>
          <w:rFonts w:ascii="Arial" w:hAnsi="Arial"/>
        </w:rPr>
        <w:t>Обновление никогда не должно выполняться одновременно на всём парке без staged rollout.</w:t>
      </w:r>
    </w:p>
    <w:p>
      <w:pPr>
        <w:pStyle w:val="ListBullet"/>
      </w:pPr>
      <w:r>
        <w:rPr>
          <w:rFonts w:ascii="Arial" w:hAnsi="Arial"/>
        </w:rPr>
        <w:t>Canary group -&gt; small site group -&gt; broad rollout.</w:t>
      </w:r>
    </w:p>
    <w:p>
      <w:pPr>
        <w:pStyle w:val="ListBullet"/>
      </w:pPr>
      <w:r>
        <w:rPr>
          <w:rFonts w:ascii="Arial" w:hAnsi="Arial"/>
        </w:rPr>
        <w:t>A/B partition или эквивалентный atomic rollback рекомендуется для custom Linux edge.</w:t>
      </w:r>
    </w:p>
    <w:p>
      <w:pPr>
        <w:pStyle w:val="ListBullet"/>
      </w:pPr>
      <w:r>
        <w:rPr>
          <w:rFonts w:ascii="Arial" w:hAnsi="Arial"/>
        </w:rPr>
        <w:t>После update выполняются health checks; при failure устройство откатывается или остаётся в service mode.</w:t>
      </w:r>
    </w:p>
    <w:p>
      <w:pPr>
        <w:pStyle w:val="ListBullet"/>
      </w:pPr>
      <w:r>
        <w:rPr>
          <w:rFonts w:ascii="Arial" w:hAnsi="Arial"/>
        </w:rPr>
        <w:t>Firmware/runtime version и config revision видны на Local Server.</w:t>
      </w:r>
    </w:p>
    <w:p>
      <w:pPr>
        <w:pStyle w:val="ListBullet"/>
      </w:pPr>
      <w:r>
        <w:rPr>
          <w:rFonts w:ascii="Arial" w:hAnsi="Arial"/>
        </w:rPr>
        <w:t>Update package может распространяться локально с Local Server без доступа edge в Интернет.</w:t>
      </w:r>
    </w:p>
    <w:p>
      <w:pPr>
        <w:pStyle w:val="Heading1"/>
        <w:keepNext/>
      </w:pPr>
      <w:r>
        <w:rPr>
          <w:rFonts w:ascii="Arial" w:hAnsi="Arial"/>
        </w:rPr>
        <w:t>18. Health, диагностика и observability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  <w:cantSplit/>
        </w:trPr>
        <w:tc>
          <w:tcPr>
            <w:tcW w:type="dxa" w:w="2268"/>
            <w:shd w:fill="163A5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Layer</w:t>
            </w:r>
          </w:p>
        </w:tc>
        <w:tc>
          <w:tcPr>
            <w:tcW w:type="dxa" w:w="9468"/>
            <w:shd w:fill="163A5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Health metrics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Node</w:t>
            </w:r>
          </w:p>
        </w:tc>
        <w:tc>
          <w:tcPr>
            <w:tcW w:type="dxa" w:w="94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online, uptime, reboot reason, CPU/RAM/temp, storage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Network</w:t>
            </w:r>
          </w:p>
        </w:tc>
        <w:tc>
          <w:tcPr>
            <w:tcW w:type="dxa" w:w="9468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link, packet loss, reconnects, latency to Local Server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Buffer</w:t>
            </w:r>
          </w:p>
        </w:tc>
        <w:tc>
          <w:tcPr>
            <w:tcW w:type="dxa" w:w="94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queue depth, oldest age, drops, replay rate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Time</w:t>
            </w:r>
          </w:p>
        </w:tc>
        <w:tc>
          <w:tcPr>
            <w:tcW w:type="dxa" w:w="9468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NTP offset, clock quality, RTC state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Driver</w:t>
            </w:r>
          </w:p>
        </w:tc>
        <w:tc>
          <w:tcPr>
            <w:tcW w:type="dxa" w:w="94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poll success/error, timeout, last good sample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Signal</w:t>
            </w:r>
          </w:p>
        </w:tc>
        <w:tc>
          <w:tcPr>
            <w:tcW w:type="dxa" w:w="9468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ONLINE/DEGRADED/STALE/OFFLINE/MISCONFIGURED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Power</w:t>
            </w:r>
          </w:p>
        </w:tc>
        <w:tc>
          <w:tcPr>
            <w:tcW w:type="dxa" w:w="94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input voltage, brownout count where hardware supports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Update</w:t>
            </w:r>
          </w:p>
        </w:tc>
        <w:tc>
          <w:tcPr>
            <w:tcW w:type="dxa" w:w="9468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current/target version, update state, rollback reason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/>
        </w:rPr>
        <w:t>19. Монтаж и commissioning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  <w:cantSplit/>
        </w:trPr>
        <w:tc>
          <w:tcPr>
            <w:tcW w:type="dxa" w:w="1134"/>
            <w:shd w:fill="163A5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Шаг</w:t>
            </w:r>
          </w:p>
        </w:tc>
        <w:tc>
          <w:tcPr>
            <w:tcW w:type="dxa" w:w="2381"/>
            <w:shd w:fill="163A5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Действие</w:t>
            </w:r>
          </w:p>
        </w:tc>
        <w:tc>
          <w:tcPr>
            <w:tcW w:type="dxa" w:w="8164"/>
            <w:shd w:fill="163A5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113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Site survey</w:t>
            </w:r>
          </w:p>
        </w:tc>
        <w:tc>
          <w:tcPr>
            <w:tcW w:type="dxa" w:w="816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Схемы, питание, шкаф, network, signal availability, safety boundaries</w:t>
            </w:r>
          </w:p>
        </w:tc>
      </w:tr>
      <w:tr>
        <w:trPr>
          <w:cantSplit/>
        </w:trPr>
        <w:tc>
          <w:tcPr>
            <w:tcW w:type="dxa" w:w="1134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2381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Create Equipment/Node</w:t>
            </w:r>
          </w:p>
        </w:tc>
        <w:tc>
          <w:tcPr>
            <w:tcW w:type="dxa" w:w="8164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Canonical equipment already exists; node gets separate identity</w:t>
            </w:r>
          </w:p>
        </w:tc>
      </w:tr>
      <w:tr>
        <w:trPr>
          <w:cantSplit/>
        </w:trPr>
        <w:tc>
          <w:tcPr>
            <w:tcW w:type="dxa" w:w="113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Physical install</w:t>
            </w:r>
          </w:p>
        </w:tc>
        <w:tc>
          <w:tcPr>
            <w:tcW w:type="dxa" w:w="816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Qualified personnel, labeling, cable routing, protection</w:t>
            </w:r>
          </w:p>
        </w:tc>
      </w:tr>
      <w:tr>
        <w:trPr>
          <w:cantSplit/>
        </w:trPr>
        <w:tc>
          <w:tcPr>
            <w:tcW w:type="dxa" w:w="1134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type="dxa" w:w="2381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Electrical verification</w:t>
            </w:r>
          </w:p>
        </w:tc>
        <w:tc>
          <w:tcPr>
            <w:tcW w:type="dxa" w:w="8164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Polarity, voltage/current ranges, isolation, grounding</w:t>
            </w:r>
          </w:p>
        </w:tc>
      </w:tr>
      <w:tr>
        <w:trPr>
          <w:cantSplit/>
        </w:trPr>
        <w:tc>
          <w:tcPr>
            <w:tcW w:type="dxa" w:w="113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Driver mapping</w:t>
            </w:r>
          </w:p>
        </w:tc>
        <w:tc>
          <w:tcPr>
            <w:tcW w:type="dxa" w:w="816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Modbus/OPC/signal mapping with version</w:t>
            </w:r>
          </w:p>
        </w:tc>
      </w:tr>
      <w:tr>
        <w:trPr>
          <w:cantSplit/>
        </w:trPr>
        <w:tc>
          <w:tcPr>
            <w:tcW w:type="dxa" w:w="1134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6</w:t>
            </w:r>
          </w:p>
        </w:tc>
        <w:tc>
          <w:tcPr>
            <w:tcW w:type="dxa" w:w="2381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Shadow mode</w:t>
            </w:r>
          </w:p>
        </w:tc>
        <w:tc>
          <w:tcPr>
            <w:tcW w:type="dxa" w:w="8164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Collect without influencing authoritative derived state</w:t>
            </w:r>
          </w:p>
        </w:tc>
      </w:tr>
      <w:tr>
        <w:trPr>
          <w:cantSplit/>
        </w:trPr>
        <w:tc>
          <w:tcPr>
            <w:tcW w:type="dxa" w:w="113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7</w:t>
            </w:r>
          </w:p>
        </w:tc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Calibration</w:t>
            </w:r>
          </w:p>
        </w:tc>
        <w:tc>
          <w:tcPr>
            <w:tcW w:type="dxa" w:w="816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Compare with operator/reference measurement</w:t>
            </w:r>
          </w:p>
        </w:tc>
      </w:tr>
      <w:tr>
        <w:trPr>
          <w:cantSplit/>
        </w:trPr>
        <w:tc>
          <w:tcPr>
            <w:tcW w:type="dxa" w:w="1134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8</w:t>
            </w:r>
          </w:p>
        </w:tc>
        <w:tc>
          <w:tcPr>
            <w:tcW w:type="dxa" w:w="2381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Acceptance</w:t>
            </w:r>
          </w:p>
        </w:tc>
        <w:tc>
          <w:tcPr>
            <w:tcW w:type="dxa" w:w="8164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Run tests and sign commissioning record</w:t>
            </w:r>
          </w:p>
        </w:tc>
      </w:tr>
      <w:tr>
        <w:trPr>
          <w:cantSplit/>
        </w:trPr>
        <w:tc>
          <w:tcPr>
            <w:tcW w:type="dxa" w:w="113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9</w:t>
            </w:r>
          </w:p>
        </w:tc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Activate</w:t>
            </w:r>
          </w:p>
        </w:tc>
        <w:tc>
          <w:tcPr>
            <w:tcW w:type="dxa" w:w="816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Evidence source becomes ACTIVE</w:t>
            </w:r>
          </w:p>
        </w:tc>
      </w:tr>
      <w:tr>
        <w:trPr>
          <w:cantSplit/>
        </w:trPr>
        <w:tc>
          <w:tcPr>
            <w:tcW w:type="dxa" w:w="1134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10</w:t>
            </w:r>
          </w:p>
        </w:tc>
        <w:tc>
          <w:tcPr>
            <w:tcW w:type="dxa" w:w="2381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Monitor</w:t>
            </w:r>
          </w:p>
        </w:tc>
        <w:tc>
          <w:tcPr>
            <w:tcW w:type="dxa" w:w="8164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Early-life health and drift review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/>
        </w:rPr>
        <w:t>20. Сервис, ремонтопригодность и запасные части</w:t>
      </w:r>
    </w:p>
    <w:p>
      <w:pPr>
        <w:pStyle w:val="ListBullet"/>
      </w:pPr>
      <w:r>
        <w:rPr>
          <w:rFonts w:ascii="Arial" w:hAnsi="Arial"/>
        </w:rPr>
        <w:t>Клеммы, кабели, блок питания, interface module и node должны иметь asset/serial identification.</w:t>
      </w:r>
    </w:p>
    <w:p>
      <w:pPr>
        <w:pStyle w:val="ListBullet"/>
      </w:pPr>
      <w:r>
        <w:rPr>
          <w:rFonts w:ascii="Arial" w:hAnsi="Arial"/>
        </w:rPr>
        <w:t>Для критичных площадок определяется minimum spare stock по классу устройства.</w:t>
      </w:r>
    </w:p>
    <w:p>
      <w:pPr>
        <w:pStyle w:val="ListBullet"/>
      </w:pPr>
      <w:r>
        <w:rPr>
          <w:rFonts w:ascii="Arial" w:hAnsi="Arial"/>
        </w:rPr>
        <w:t>Field replacement не требует ручной правки БД; используется guided rebind workflow.</w:t>
      </w:r>
    </w:p>
    <w:p>
      <w:pPr>
        <w:pStyle w:val="ListBullet"/>
      </w:pPr>
      <w:r>
        <w:rPr>
          <w:rFonts w:ascii="Arial" w:hAnsi="Arial"/>
        </w:rPr>
        <w:t>Service log хранит replacement, firmware, calibration, diagnostic result и исполнителя.</w:t>
      </w:r>
    </w:p>
    <w:p>
      <w:pPr>
        <w:pStyle w:val="ListBullet"/>
      </w:pPr>
      <w:r>
        <w:rPr>
          <w:rFonts w:ascii="Arial" w:hAnsi="Arial"/>
        </w:rPr>
        <w:t>Для custom hardware обязателен lifecycle status компонентов: ACTIVE / NRND / EOL / SUBSTITUTE_REQUIRED.</w:t>
      </w:r>
    </w:p>
    <w:p>
      <w:pPr>
        <w:pStyle w:val="Heading1"/>
        <w:keepNext/>
      </w:pPr>
      <w:r>
        <w:rPr>
          <w:rFonts w:ascii="Arial" w:hAnsi="Arial"/>
        </w:rPr>
        <w:t>21. Build vs Buy стратегия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  <w:cantSplit/>
        </w:trPr>
        <w:tc>
          <w:tcPr>
            <w:tcW w:type="dxa" w:w="1814"/>
            <w:shd w:fill="163A5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Этап</w:t>
            </w:r>
          </w:p>
        </w:tc>
        <w:tc>
          <w:tcPr>
            <w:tcW w:type="dxa" w:w="4535"/>
            <w:shd w:fill="163A5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Рекомендация</w:t>
            </w:r>
          </w:p>
        </w:tc>
        <w:tc>
          <w:tcPr>
            <w:tcW w:type="dxa" w:w="5669"/>
            <w:shd w:fill="163A5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Причина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Pilot</w:t>
            </w:r>
          </w:p>
        </w:tc>
        <w:tc>
          <w:tcPr>
            <w:tcW w:type="dxa" w:w="4535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COTS industrial PC/gateway + standard I/O</w:t>
            </w:r>
          </w:p>
        </w:tc>
        <w:tc>
          <w:tcPr>
            <w:tcW w:type="dxa" w:w="566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Минимизировать hardware R&amp;D до подтверждения use cases</w:t>
            </w:r>
          </w:p>
        </w:tc>
      </w:tr>
      <w:tr>
        <w:trPr>
          <w:cantSplit/>
        </w:trPr>
        <w:tc>
          <w:tcPr>
            <w:tcW w:type="dxa" w:w="1814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Early rollout</w:t>
            </w:r>
          </w:p>
        </w:tc>
        <w:tc>
          <w:tcPr>
            <w:tcW w:type="dxa" w:w="4535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Стандартизировать 2–3 approved COTS profiles</w:t>
            </w:r>
          </w:p>
        </w:tc>
        <w:tc>
          <w:tcPr>
            <w:tcW w:type="dxa" w:w="5669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Упростить поддержку и монтаж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Scale</w:t>
            </w:r>
          </w:p>
        </w:tc>
        <w:tc>
          <w:tcPr>
            <w:tcW w:type="dxa" w:w="4535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Собственный RetrofitNode только при доказанной экономике/объёме</w:t>
            </w:r>
          </w:p>
        </w:tc>
        <w:tc>
          <w:tcPr>
            <w:tcW w:type="dxa" w:w="566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Контроль BOM, form factor, provisioning, cost</w:t>
            </w:r>
          </w:p>
        </w:tc>
      </w:tr>
      <w:tr>
        <w:trPr>
          <w:cantSplit/>
        </w:trPr>
        <w:tc>
          <w:tcPr>
            <w:tcW w:type="dxa" w:w="1814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Specialized field</w:t>
            </w:r>
          </w:p>
        </w:tc>
        <w:tc>
          <w:tcPr>
            <w:tcW w:type="dxa" w:w="4535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Custom low-power node if COTS не покрывает</w:t>
            </w:r>
          </w:p>
        </w:tc>
        <w:tc>
          <w:tcPr>
            <w:tcW w:type="dxa" w:w="5669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Battery/radio/environment requirements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Control plane</w:t>
            </w:r>
          </w:p>
        </w:tc>
        <w:tc>
          <w:tcPr>
            <w:tcW w:type="dxa" w:w="4535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Separate certified/engineered project</w:t>
            </w:r>
          </w:p>
        </w:tc>
        <w:tc>
          <w:tcPr>
            <w:tcW w:type="dxa" w:w="566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Не смешивать telemetry и machine control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/>
        </w:rPr>
        <w:t>22. Техническое регулирование и стандарты</w:t>
      </w:r>
    </w:p>
    <w:p>
      <w:r>
        <w:rPr>
          <w:rFonts w:ascii="Arial" w:hAnsi="Arial"/>
        </w:rPr>
        <w:t>Конкретная процедура оценки соответствия зависит от классификации, напряжения, назначения, радио-модуля и способа выпуска устройства в обращение. Перед серийным выпуском применяется отдельный compliance plan и работа с аккредитованной лабораторией/органом оценки соответствия.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  <w:cantSplit/>
        </w:trPr>
        <w:tc>
          <w:tcPr>
            <w:tcW w:type="dxa" w:w="2835"/>
            <w:shd w:fill="163A5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Reference</w:t>
            </w:r>
          </w:p>
        </w:tc>
        <w:tc>
          <w:tcPr>
            <w:tcW w:type="dxa" w:w="3175"/>
            <w:shd w:fill="163A5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Область</w:t>
            </w:r>
          </w:p>
        </w:tc>
        <w:tc>
          <w:tcPr>
            <w:tcW w:type="dxa" w:w="6236"/>
            <w:shd w:fill="163A5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Правило проекта</w:t>
            </w:r>
          </w:p>
        </w:tc>
      </w:tr>
      <w:tr>
        <w:trPr>
          <w:cantSplit/>
        </w:trPr>
        <w:tc>
          <w:tcPr>
            <w:tcW w:type="dxa" w:w="2835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ТР ТС 004/2011</w:t>
            </w:r>
          </w:p>
        </w:tc>
        <w:tc>
          <w:tcPr>
            <w:tcW w:type="dxa" w:w="3175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Безопасность низковольтного оборудования</w:t>
            </w:r>
          </w:p>
        </w:tc>
        <w:tc>
          <w:tcPr>
            <w:tcW w:type="dxa" w:w="6236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Проверять применимость к конкретному изделию и диапазону питания; учитывать действующую редакцию/перечни стандартов.</w:t>
            </w:r>
          </w:p>
        </w:tc>
      </w:tr>
      <w:tr>
        <w:trPr>
          <w:cantSplit/>
        </w:trPr>
        <w:tc>
          <w:tcPr>
            <w:tcW w:type="dxa" w:w="2835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ТР ТС 020/2011</w:t>
            </w:r>
          </w:p>
        </w:tc>
        <w:tc>
          <w:tcPr>
            <w:tcW w:type="dxa" w:w="3175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Электромагнитная совместимость</w:t>
            </w:r>
          </w:p>
        </w:tc>
        <w:tc>
          <w:tcPr>
            <w:tcW w:type="dxa" w:w="6236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Росстандарт указывает статус «действует»; обязательность/форма подтверждения зависит от типа изделия.</w:t>
            </w:r>
          </w:p>
        </w:tc>
      </w:tr>
      <w:tr>
        <w:trPr>
          <w:cantSplit/>
        </w:trPr>
        <w:tc>
          <w:tcPr>
            <w:tcW w:type="dxa" w:w="2835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IEC 62443 series</w:t>
            </w:r>
          </w:p>
        </w:tc>
        <w:tc>
          <w:tcPr>
            <w:tcW w:type="dxa" w:w="3175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Cybersecurity IACS</w:t>
            </w:r>
          </w:p>
        </w:tc>
        <w:tc>
          <w:tcPr>
            <w:tcW w:type="dxa" w:w="6236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Reference framework; не заявлять compliance без formal assessment.</w:t>
            </w:r>
          </w:p>
        </w:tc>
      </w:tr>
      <w:tr>
        <w:trPr>
          <w:cantSplit/>
        </w:trPr>
        <w:tc>
          <w:tcPr>
            <w:tcW w:type="dxa" w:w="2835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IEC 60529</w:t>
            </w:r>
          </w:p>
        </w:tc>
        <w:tc>
          <w:tcPr>
            <w:tcW w:type="dxa" w:w="3175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IP degree</w:t>
            </w:r>
          </w:p>
        </w:tc>
        <w:tc>
          <w:tcPr>
            <w:tcW w:type="dxa" w:w="6236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Выбор enclosure/site profile.</w:t>
            </w:r>
          </w:p>
        </w:tc>
      </w:tr>
      <w:tr>
        <w:trPr>
          <w:cantSplit/>
        </w:trPr>
        <w:tc>
          <w:tcPr>
            <w:tcW w:type="dxa" w:w="2835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IEC 61000-4-x / industrial EMC family</w:t>
            </w:r>
          </w:p>
        </w:tc>
        <w:tc>
          <w:tcPr>
            <w:tcW w:type="dxa" w:w="3175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ESD/EFT/surge/immunity tests</w:t>
            </w:r>
          </w:p>
        </w:tc>
        <w:tc>
          <w:tcPr>
            <w:tcW w:type="dxa" w:w="6236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Подбирать применимые испытания и уровни с лабораторией.</w:t>
            </w:r>
          </w:p>
        </w:tc>
      </w:tr>
      <w:tr>
        <w:trPr>
          <w:cantSplit/>
        </w:trPr>
        <w:tc>
          <w:tcPr>
            <w:tcW w:type="dxa" w:w="2835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OPC UA / IEC 62541 family</w:t>
            </w:r>
          </w:p>
        </w:tc>
        <w:tc>
          <w:tcPr>
            <w:tcW w:type="dxa" w:w="3175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Industrial interoperability</w:t>
            </w:r>
          </w:p>
        </w:tc>
        <w:tc>
          <w:tcPr>
            <w:tcW w:type="dxa" w:w="6236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Read-only secure integration.</w:t>
            </w:r>
          </w:p>
        </w:tc>
      </w:tr>
      <w:tr>
        <w:trPr>
          <w:cantSplit/>
        </w:trPr>
        <w:tc>
          <w:tcPr>
            <w:tcW w:type="dxa" w:w="2835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MQTT 5.0 OASIS</w:t>
            </w:r>
          </w:p>
        </w:tc>
        <w:tc>
          <w:tcPr>
            <w:tcW w:type="dxa" w:w="3175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Edge messaging</w:t>
            </w:r>
          </w:p>
        </w:tc>
        <w:tc>
          <w:tcPr>
            <w:tcW w:type="dxa" w:w="6236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Local broker/transport profile.</w:t>
            </w:r>
          </w:p>
        </w:tc>
      </w:tr>
      <w:tr>
        <w:trPr>
          <w:cantSplit/>
        </w:trPr>
        <w:tc>
          <w:tcPr>
            <w:tcW w:type="dxa" w:w="2835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Modbus specifications</w:t>
            </w:r>
          </w:p>
        </w:tc>
        <w:tc>
          <w:tcPr>
            <w:tcW w:type="dxa" w:w="3175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Legacy/industrial protocol</w:t>
            </w:r>
          </w:p>
        </w:tc>
        <w:tc>
          <w:tcPr>
            <w:tcW w:type="dxa" w:w="6236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Function/register allowlist and mapping.</w:t>
            </w:r>
          </w:p>
        </w:tc>
      </w:tr>
      <w:tr>
        <w:trPr>
          <w:cantSplit/>
        </w:trPr>
        <w:tc>
          <w:tcPr>
            <w:tcW w:type="dxa" w:w="2835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LoRaWAN specifications</w:t>
            </w:r>
          </w:p>
        </w:tc>
        <w:tc>
          <w:tcPr>
            <w:tcW w:type="dxa" w:w="3175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Low-power radio network</w:t>
            </w:r>
          </w:p>
        </w:tc>
        <w:tc>
          <w:tcPr>
            <w:tcW w:type="dxa" w:w="6236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Regional parameters and local spectrum rules.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/>
        </w:rPr>
        <w:t>23. Hardware-to-software data contracts</w:t>
      </w:r>
    </w:p>
    <w:p>
      <w:pPr>
        <w:pStyle w:val="CodeBlock"/>
        <w:shd w:fill="F1F5F9"/>
      </w:pPr>
      <w:r>
        <w:rPr>
          <w:rFonts w:ascii="Arial" w:hAnsi="Arial"/>
        </w:rPr>
        <w:t>Raw Electrical/Protocol Value</w:t>
        <w:br/>
        <w:t xml:space="preserve">  -&gt; RawMeasurement</w:t>
        <w:br/>
        <w:t xml:space="preserve">  -&gt; NormalizedMeasurement</w:t>
        <w:br/>
        <w:t xml:space="preserve">  -&gt; Evidence</w:t>
        <w:br/>
        <w:t xml:space="preserve">  -&gt; Derived State / Candidate</w:t>
        <w:br/>
        <w:t xml:space="preserve">  -&gt; Domain Command</w:t>
        <w:br/>
        <w:t xml:space="preserve">  -&gt; Canonical Business Fact</w:t>
      </w:r>
    </w:p>
    <w:p>
      <w:pPr>
        <w:pStyle w:val="ListBullet"/>
      </w:pPr>
      <w:r>
        <w:rPr>
          <w:rFonts w:ascii="Arial" w:hAnsi="Arial"/>
        </w:rPr>
        <w:t>Любая measurement содержит source device, signal id, occurredAt, receivedAt, quality, raw reference и normalization version.</w:t>
      </w:r>
    </w:p>
    <w:p>
      <w:pPr>
        <w:pStyle w:val="ListBullet"/>
      </w:pPr>
      <w:r>
        <w:rPr>
          <w:rFonts w:ascii="Arial" w:hAnsi="Arial"/>
        </w:rPr>
        <w:t>Signal mapping не кодируется в имени MQTT topic или register address как бизнес-смысл; semantics хранятся в configuration/master data.</w:t>
      </w:r>
    </w:p>
    <w:p>
      <w:pPr>
        <w:pStyle w:val="ListBullet"/>
      </w:pPr>
      <w:r>
        <w:rPr>
          <w:rFonts w:ascii="Arial" w:hAnsi="Arial"/>
        </w:rPr>
        <w:t>При смене датчика SignalDefinition остаётся стабильным; DeviceBinding version меняется.</w:t>
      </w:r>
    </w:p>
    <w:p>
      <w:pPr>
        <w:pStyle w:val="Heading1"/>
        <w:keepNext/>
      </w:pPr>
      <w:r>
        <w:rPr>
          <w:rFonts w:ascii="Arial" w:hAnsi="Arial"/>
        </w:rPr>
        <w:t>24. Обязательные hardware workflows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  <w:cantSplit/>
        </w:trPr>
        <w:tc>
          <w:tcPr>
            <w:tcW w:type="dxa" w:w="1531"/>
            <w:shd w:fill="163A5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3515"/>
            <w:shd w:fill="163A5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Workflow</w:t>
            </w:r>
          </w:p>
        </w:tc>
        <w:tc>
          <w:tcPr>
            <w:tcW w:type="dxa" w:w="7143"/>
            <w:shd w:fill="163A5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Цель</w:t>
            </w:r>
          </w:p>
        </w:tc>
      </w:tr>
      <w:tr>
        <w:trPr>
          <w:cantSplit/>
        </w:trPr>
        <w:tc>
          <w:tcPr>
            <w:tcW w:type="dxa" w:w="153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WF31-01</w:t>
            </w:r>
          </w:p>
        </w:tc>
        <w:tc>
          <w:tcPr>
            <w:tcW w:type="dxa" w:w="3515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Manual-only operation</w:t>
            </w:r>
          </w:p>
        </w:tc>
        <w:tc>
          <w:tcPr>
            <w:tcW w:type="dxa" w:w="714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Работа без hardware</w:t>
            </w:r>
          </w:p>
        </w:tc>
      </w:tr>
      <w:tr>
        <w:trPr>
          <w:cantSplit/>
        </w:trPr>
        <w:tc>
          <w:tcPr>
            <w:tcW w:type="dxa" w:w="1531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WF31-02</w:t>
            </w:r>
          </w:p>
        </w:tc>
        <w:tc>
          <w:tcPr>
            <w:tcW w:type="dxa" w:w="3515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RetrofitNode onboarding</w:t>
            </w:r>
          </w:p>
        </w:tc>
        <w:tc>
          <w:tcPr>
            <w:tcW w:type="dxa" w:w="7143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Provision -&gt; install -&gt; shadow -&gt; activate</w:t>
            </w:r>
          </w:p>
        </w:tc>
      </w:tr>
      <w:tr>
        <w:trPr>
          <w:cantSplit/>
        </w:trPr>
        <w:tc>
          <w:tcPr>
            <w:tcW w:type="dxa" w:w="153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WF31-03</w:t>
            </w:r>
          </w:p>
        </w:tc>
        <w:tc>
          <w:tcPr>
            <w:tcW w:type="dxa" w:w="3515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Current sensor retrofit</w:t>
            </w:r>
          </w:p>
        </w:tc>
        <w:tc>
          <w:tcPr>
            <w:tcW w:type="dxa" w:w="714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Current -&gt; evidence -&gt; machine state</w:t>
            </w:r>
          </w:p>
        </w:tc>
      </w:tr>
      <w:tr>
        <w:trPr>
          <w:cantSplit/>
        </w:trPr>
        <w:tc>
          <w:tcPr>
            <w:tcW w:type="dxa" w:w="1531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WF31-04</w:t>
            </w:r>
          </w:p>
        </w:tc>
        <w:tc>
          <w:tcPr>
            <w:tcW w:type="dxa" w:w="3515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Photoeye counter</w:t>
            </w:r>
          </w:p>
        </w:tc>
        <w:tc>
          <w:tcPr>
            <w:tcW w:type="dxa" w:w="7143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Pulse -&gt; normalized counter -&gt; rate</w:t>
            </w:r>
          </w:p>
        </w:tc>
      </w:tr>
      <w:tr>
        <w:trPr>
          <w:cantSplit/>
        </w:trPr>
        <w:tc>
          <w:tcPr>
            <w:tcW w:type="dxa" w:w="153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WF31-05</w:t>
            </w:r>
          </w:p>
        </w:tc>
        <w:tc>
          <w:tcPr>
            <w:tcW w:type="dxa" w:w="3515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Modbus RTU</w:t>
            </w:r>
          </w:p>
        </w:tc>
        <w:tc>
          <w:tcPr>
            <w:tcW w:type="dxa" w:w="714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RS485 -&gt; gateway -&gt; evidence</w:t>
            </w:r>
          </w:p>
        </w:tc>
      </w:tr>
      <w:tr>
        <w:trPr>
          <w:cantSplit/>
        </w:trPr>
        <w:tc>
          <w:tcPr>
            <w:tcW w:type="dxa" w:w="1531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WF31-06</w:t>
            </w:r>
          </w:p>
        </w:tc>
        <w:tc>
          <w:tcPr>
            <w:tcW w:type="dxa" w:w="3515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Modbus TCP</w:t>
            </w:r>
          </w:p>
        </w:tc>
        <w:tc>
          <w:tcPr>
            <w:tcW w:type="dxa" w:w="7143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Ethernet -&gt; allowlisted registers</w:t>
            </w:r>
          </w:p>
        </w:tc>
      </w:tr>
      <w:tr>
        <w:trPr>
          <w:cantSplit/>
        </w:trPr>
        <w:tc>
          <w:tcPr>
            <w:tcW w:type="dxa" w:w="153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WF31-07</w:t>
            </w:r>
          </w:p>
        </w:tc>
        <w:tc>
          <w:tcPr>
            <w:tcW w:type="dxa" w:w="3515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OPC UA</w:t>
            </w:r>
          </w:p>
        </w:tc>
        <w:tc>
          <w:tcPr>
            <w:tcW w:type="dxa" w:w="714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Secure subscription -&gt; evidence</w:t>
            </w:r>
          </w:p>
        </w:tc>
      </w:tr>
      <w:tr>
        <w:trPr>
          <w:cantSplit/>
        </w:trPr>
        <w:tc>
          <w:tcPr>
            <w:tcW w:type="dxa" w:w="1531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WF31-08</w:t>
            </w:r>
          </w:p>
        </w:tc>
        <w:tc>
          <w:tcPr>
            <w:tcW w:type="dxa" w:w="3515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Gateway offline</w:t>
            </w:r>
          </w:p>
        </w:tc>
        <w:tc>
          <w:tcPr>
            <w:tcW w:type="dxa" w:w="7143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Buffer -&gt; reconnect -&gt; replay</w:t>
            </w:r>
          </w:p>
        </w:tc>
      </w:tr>
      <w:tr>
        <w:trPr>
          <w:cantSplit/>
        </w:trPr>
        <w:tc>
          <w:tcPr>
            <w:tcW w:type="dxa" w:w="153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WF31-09</w:t>
            </w:r>
          </w:p>
        </w:tc>
        <w:tc>
          <w:tcPr>
            <w:tcW w:type="dxa" w:w="3515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Power loss</w:t>
            </w:r>
          </w:p>
        </w:tc>
        <w:tc>
          <w:tcPr>
            <w:tcW w:type="dxa" w:w="714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Safe shutdown/recovery</w:t>
            </w:r>
          </w:p>
        </w:tc>
      </w:tr>
      <w:tr>
        <w:trPr>
          <w:cantSplit/>
        </w:trPr>
        <w:tc>
          <w:tcPr>
            <w:tcW w:type="dxa" w:w="1531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WF31-10</w:t>
            </w:r>
          </w:p>
        </w:tc>
        <w:tc>
          <w:tcPr>
            <w:tcW w:type="dxa" w:w="3515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Device replacement</w:t>
            </w:r>
          </w:p>
        </w:tc>
        <w:tc>
          <w:tcPr>
            <w:tcW w:type="dxa" w:w="7143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Rebind signal identity</w:t>
            </w:r>
          </w:p>
        </w:tc>
      </w:tr>
      <w:tr>
        <w:trPr>
          <w:cantSplit/>
        </w:trPr>
        <w:tc>
          <w:tcPr>
            <w:tcW w:type="dxa" w:w="153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WF31-11</w:t>
            </w:r>
          </w:p>
        </w:tc>
        <w:tc>
          <w:tcPr>
            <w:tcW w:type="dxa" w:w="3515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Firmware update</w:t>
            </w:r>
          </w:p>
        </w:tc>
        <w:tc>
          <w:tcPr>
            <w:tcW w:type="dxa" w:w="714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Staged update -&gt; health -&gt; rollback if needed</w:t>
            </w:r>
          </w:p>
        </w:tc>
      </w:tr>
      <w:tr>
        <w:trPr>
          <w:cantSplit/>
        </w:trPr>
        <w:tc>
          <w:tcPr>
            <w:tcW w:type="dxa" w:w="1531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WF31-12</w:t>
            </w:r>
          </w:p>
        </w:tc>
        <w:tc>
          <w:tcPr>
            <w:tcW w:type="dxa" w:w="3515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Certificate rotation</w:t>
            </w:r>
          </w:p>
        </w:tc>
        <w:tc>
          <w:tcPr>
            <w:tcW w:type="dxa" w:w="7143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Renew/revoke without fleet outage</w:t>
            </w:r>
          </w:p>
        </w:tc>
      </w:tr>
      <w:tr>
        <w:trPr>
          <w:cantSplit/>
        </w:trPr>
        <w:tc>
          <w:tcPr>
            <w:tcW w:type="dxa" w:w="153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WF31-13</w:t>
            </w:r>
          </w:p>
        </w:tc>
        <w:tc>
          <w:tcPr>
            <w:tcW w:type="dxa" w:w="3515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Signal fault</w:t>
            </w:r>
          </w:p>
        </w:tc>
        <w:tc>
          <w:tcPr>
            <w:tcW w:type="dxa" w:w="714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STALE/MISCONFIGURED -&gt; manual fallback</w:t>
            </w:r>
          </w:p>
        </w:tc>
      </w:tr>
      <w:tr>
        <w:trPr>
          <w:cantSplit/>
        </w:trPr>
        <w:tc>
          <w:tcPr>
            <w:tcW w:type="dxa" w:w="1531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WF31-14</w:t>
            </w:r>
          </w:p>
        </w:tc>
        <w:tc>
          <w:tcPr>
            <w:tcW w:type="dxa" w:w="3515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LoRaWAN field node</w:t>
            </w:r>
          </w:p>
        </w:tc>
        <w:tc>
          <w:tcPr>
            <w:tcW w:type="dxa" w:w="7143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Local/private radio -&gt; Local Server</w:t>
            </w:r>
          </w:p>
        </w:tc>
      </w:tr>
      <w:tr>
        <w:trPr>
          <w:cantSplit/>
        </w:trPr>
        <w:tc>
          <w:tcPr>
            <w:tcW w:type="dxa" w:w="153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WF31-15</w:t>
            </w:r>
          </w:p>
        </w:tc>
        <w:tc>
          <w:tcPr>
            <w:tcW w:type="dxa" w:w="3515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Weight terminal</w:t>
            </w:r>
          </w:p>
        </w:tc>
        <w:tc>
          <w:tcPr>
            <w:tcW w:type="dxa" w:w="714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Reading -&gt; weighing workflow</w:t>
            </w:r>
          </w:p>
        </w:tc>
      </w:tr>
      <w:tr>
        <w:trPr>
          <w:cantSplit/>
        </w:trPr>
        <w:tc>
          <w:tcPr>
            <w:tcW w:type="dxa" w:w="1531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WF31-16</w:t>
            </w:r>
          </w:p>
        </w:tc>
        <w:tc>
          <w:tcPr>
            <w:tcW w:type="dxa" w:w="3515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Production retrofit</w:t>
            </w:r>
          </w:p>
        </w:tc>
        <w:tc>
          <w:tcPr>
            <w:tcW w:type="dxa" w:w="7143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Old machine -&gt; evidence -&gt; OEE</w:t>
            </w:r>
          </w:p>
        </w:tc>
      </w:tr>
      <w:tr>
        <w:trPr>
          <w:cantSplit/>
        </w:trPr>
        <w:tc>
          <w:tcPr>
            <w:tcW w:type="dxa" w:w="153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WF31-17</w:t>
            </w:r>
          </w:p>
        </w:tc>
        <w:tc>
          <w:tcPr>
            <w:tcW w:type="dxa" w:w="3515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Remote support</w:t>
            </w:r>
          </w:p>
        </w:tc>
        <w:tc>
          <w:tcPr>
            <w:tcW w:type="dxa" w:w="714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Time-bound audited access</w:t>
            </w:r>
          </w:p>
        </w:tc>
      </w:tr>
      <w:tr>
        <w:trPr>
          <w:cantSplit/>
        </w:trPr>
        <w:tc>
          <w:tcPr>
            <w:tcW w:type="dxa" w:w="1531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WF31-18</w:t>
            </w:r>
          </w:p>
        </w:tc>
        <w:tc>
          <w:tcPr>
            <w:tcW w:type="dxa" w:w="3515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Decommission</w:t>
            </w:r>
          </w:p>
        </w:tc>
        <w:tc>
          <w:tcPr>
            <w:tcW w:type="dxa" w:w="7143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Revoke identity -&gt; archive config -&gt; remove asset binding</w:t>
            </w:r>
          </w:p>
        </w:tc>
      </w:tr>
    </w:tbl>
    <w:p>
      <w:pPr>
        <w:spacing w:after="20"/>
      </w:pPr>
    </w:p>
    <w:p>
      <w:pPr>
        <w:sectPr>
          <w:headerReference w:type="default" r:id="rId9"/>
          <w:footerReference w:type="default" r:id="rId10"/>
          <w:pgSz w:w="12240" w:h="15840"/>
          <w:pgMar w:top="1020" w:right="1020" w:bottom="907" w:left="1134" w:header="720" w:footer="720" w:gutter="0"/>
          <w:cols w:space="720"/>
          <w:docGrid w:linePitch="360"/>
        </w:sectPr>
      </w:pPr>
    </w:p>
    <w:p>
      <w:pPr>
        <w:pStyle w:val="Heading1"/>
        <w:keepNext/>
      </w:pPr>
      <w:r>
        <w:rPr>
          <w:rFonts w:ascii="Arial" w:hAnsi="Arial"/>
        </w:rPr>
        <w:t>25. Реестр Hardware-Software требований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rPr>
          <w:tblHeader w:val="true"/>
          <w:cantSplit/>
        </w:trPr>
        <w:tc>
          <w:tcPr>
            <w:tcW w:type="dxa" w:w="1417"/>
            <w:shd w:fill="163A5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3"/>
              </w:rPr>
              <w:t>ID</w:t>
            </w:r>
          </w:p>
        </w:tc>
        <w:tc>
          <w:tcPr>
            <w:tcW w:type="dxa" w:w="907"/>
            <w:shd w:fill="163A5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3"/>
              </w:rPr>
              <w:t>Кат.</w:t>
            </w:r>
          </w:p>
        </w:tc>
        <w:tc>
          <w:tcPr>
            <w:tcW w:type="dxa" w:w="11339"/>
            <w:shd w:fill="163A5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3"/>
              </w:rPr>
              <w:t>Требование</w:t>
            </w:r>
          </w:p>
        </w:tc>
        <w:tc>
          <w:tcPr>
            <w:tcW w:type="dxa" w:w="1247"/>
            <w:shd w:fill="163A5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3"/>
              </w:rPr>
              <w:t>Уровень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HSC31-001</w:t>
            </w:r>
          </w:p>
        </w:tc>
        <w:tc>
          <w:tcPr>
            <w:tcW w:type="dxa" w:w="90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GEN</w:t>
            </w:r>
          </w:p>
        </w:tc>
        <w:tc>
          <w:tcPr>
            <w:tcW w:type="dxa" w:w="113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Платформа должна сохранять полный manual workflow при отсутствии нового hardware.</w:t>
            </w:r>
          </w:p>
        </w:tc>
        <w:tc>
          <w:tcPr>
            <w:tcW w:type="dxa" w:w="124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HSC31-002</w:t>
            </w:r>
          </w:p>
        </w:tc>
        <w:tc>
          <w:tcPr>
            <w:tcW w:type="dxa" w:w="90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GEN</w:t>
            </w:r>
          </w:p>
        </w:tc>
        <w:tc>
          <w:tcPr>
            <w:tcW w:type="dxa" w:w="11339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Hardware installation не должна изменять canonical domain model.</w:t>
            </w:r>
          </w:p>
        </w:tc>
        <w:tc>
          <w:tcPr>
            <w:tcW w:type="dxa" w:w="124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HSC31-003</w:t>
            </w:r>
          </w:p>
        </w:tc>
        <w:tc>
          <w:tcPr>
            <w:tcW w:type="dxa" w:w="90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GEN</w:t>
            </w:r>
          </w:p>
        </w:tc>
        <w:tc>
          <w:tcPr>
            <w:tcW w:type="dxa" w:w="113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Каждое физическое устройство получает отдельную device identity.</w:t>
            </w:r>
          </w:p>
        </w:tc>
        <w:tc>
          <w:tcPr>
            <w:tcW w:type="dxa" w:w="124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HSC31-004</w:t>
            </w:r>
          </w:p>
        </w:tc>
        <w:tc>
          <w:tcPr>
            <w:tcW w:type="dxa" w:w="90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GEN</w:t>
            </w:r>
          </w:p>
        </w:tc>
        <w:tc>
          <w:tcPr>
            <w:tcW w:type="dxa" w:w="11339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Equipment business identity не должна совпадать с hardware gateway identity.</w:t>
            </w:r>
          </w:p>
        </w:tc>
        <w:tc>
          <w:tcPr>
            <w:tcW w:type="dxa" w:w="124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HSC31-005</w:t>
            </w:r>
          </w:p>
        </w:tc>
        <w:tc>
          <w:tcPr>
            <w:tcW w:type="dxa" w:w="90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GEN</w:t>
            </w:r>
          </w:p>
        </w:tc>
        <w:tc>
          <w:tcPr>
            <w:tcW w:type="dxa" w:w="113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Все hardware capabilities описываются profile/capability manifest.</w:t>
            </w:r>
          </w:p>
        </w:tc>
        <w:tc>
          <w:tcPr>
            <w:tcW w:type="dxa" w:w="124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HSC31-006</w:t>
            </w:r>
          </w:p>
        </w:tc>
        <w:tc>
          <w:tcPr>
            <w:tcW w:type="dxa" w:w="90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GEN</w:t>
            </w:r>
          </w:p>
        </w:tc>
        <w:tc>
          <w:tcPr>
            <w:tcW w:type="dxa" w:w="11339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Неизвестная capability не должна интерпретироваться как false/zero.</w:t>
            </w:r>
          </w:p>
        </w:tc>
        <w:tc>
          <w:tcPr>
            <w:tcW w:type="dxa" w:w="124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HSC31-007</w:t>
            </w:r>
          </w:p>
        </w:tc>
        <w:tc>
          <w:tcPr>
            <w:tcW w:type="dxa" w:w="90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GEN</w:t>
            </w:r>
          </w:p>
        </w:tc>
        <w:tc>
          <w:tcPr>
            <w:tcW w:type="dxa" w:w="113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Hardware profile должен быть versioned.</w:t>
            </w:r>
          </w:p>
        </w:tc>
        <w:tc>
          <w:tcPr>
            <w:tcW w:type="dxa" w:w="124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SHOULD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HSC31-008</w:t>
            </w:r>
          </w:p>
        </w:tc>
        <w:tc>
          <w:tcPr>
            <w:tcW w:type="dxa" w:w="90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GEN</w:t>
            </w:r>
          </w:p>
        </w:tc>
        <w:tc>
          <w:tcPr>
            <w:tcW w:type="dxa" w:w="11339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Любая автоматизация должна иметь documented manual fallback.</w:t>
            </w:r>
          </w:p>
        </w:tc>
        <w:tc>
          <w:tcPr>
            <w:tcW w:type="dxa" w:w="124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HSC31-009</w:t>
            </w:r>
          </w:p>
        </w:tc>
        <w:tc>
          <w:tcPr>
            <w:tcW w:type="dxa" w:w="90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GEN</w:t>
            </w:r>
          </w:p>
        </w:tc>
        <w:tc>
          <w:tcPr>
            <w:tcW w:type="dxa" w:w="113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Новый edge source вводится через shadow/validation stage.</w:t>
            </w:r>
          </w:p>
        </w:tc>
        <w:tc>
          <w:tcPr>
            <w:tcW w:type="dxa" w:w="124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HSC31-010</w:t>
            </w:r>
          </w:p>
        </w:tc>
        <w:tc>
          <w:tcPr>
            <w:tcW w:type="dxa" w:w="90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GEN</w:t>
            </w:r>
          </w:p>
        </w:tc>
        <w:tc>
          <w:tcPr>
            <w:tcW w:type="dxa" w:w="11339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Decommission устройства не должен удалять исторические measurements/evidence.</w:t>
            </w:r>
          </w:p>
        </w:tc>
        <w:tc>
          <w:tcPr>
            <w:tcW w:type="dxa" w:w="124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HSC31-011</w:t>
            </w:r>
          </w:p>
        </w:tc>
        <w:tc>
          <w:tcPr>
            <w:tcW w:type="dxa" w:w="90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SRV</w:t>
            </w:r>
          </w:p>
        </w:tc>
        <w:tc>
          <w:tcPr>
            <w:tcW w:type="dxa" w:w="113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Local Server sizing должен задаваться deployment profile, а не фиксированной моделью.</w:t>
            </w:r>
          </w:p>
        </w:tc>
        <w:tc>
          <w:tcPr>
            <w:tcW w:type="dxa" w:w="124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HSC31-012</w:t>
            </w:r>
          </w:p>
        </w:tc>
        <w:tc>
          <w:tcPr>
            <w:tcW w:type="dxa" w:w="90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SRV</w:t>
            </w:r>
          </w:p>
        </w:tc>
        <w:tc>
          <w:tcPr>
            <w:tcW w:type="dxa" w:w="11339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ENTERPRISE профиль должен поддерживать резервирование дисков для canonical DB.</w:t>
            </w:r>
          </w:p>
        </w:tc>
        <w:tc>
          <w:tcPr>
            <w:tcW w:type="dxa" w:w="124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HSC31-013</w:t>
            </w:r>
          </w:p>
        </w:tc>
        <w:tc>
          <w:tcPr>
            <w:tcW w:type="dxa" w:w="90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SRV</w:t>
            </w:r>
          </w:p>
        </w:tc>
        <w:tc>
          <w:tcPr>
            <w:tcW w:type="dxa" w:w="113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Backup target должен быть физически/логически отделён от primary data volume.</w:t>
            </w:r>
          </w:p>
        </w:tc>
        <w:tc>
          <w:tcPr>
            <w:tcW w:type="dxa" w:w="124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HSC31-014</w:t>
            </w:r>
          </w:p>
        </w:tc>
        <w:tc>
          <w:tcPr>
            <w:tcW w:type="dxa" w:w="90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SRV</w:t>
            </w:r>
          </w:p>
        </w:tc>
        <w:tc>
          <w:tcPr>
            <w:tcW w:type="dxa" w:w="11339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SMART/SSD health должен собираться в monitoring.</w:t>
            </w:r>
          </w:p>
        </w:tc>
        <w:tc>
          <w:tcPr>
            <w:tcW w:type="dxa" w:w="124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SHOULD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HSC31-015</w:t>
            </w:r>
          </w:p>
        </w:tc>
        <w:tc>
          <w:tcPr>
            <w:tcW w:type="dxa" w:w="90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SRV</w:t>
            </w:r>
          </w:p>
        </w:tc>
        <w:tc>
          <w:tcPr>
            <w:tcW w:type="dxa" w:w="113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Disk-full threshold должен создавать alert до критического заполнения.</w:t>
            </w:r>
          </w:p>
        </w:tc>
        <w:tc>
          <w:tcPr>
            <w:tcW w:type="dxa" w:w="124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HSC31-016</w:t>
            </w:r>
          </w:p>
        </w:tc>
        <w:tc>
          <w:tcPr>
            <w:tcW w:type="dxa" w:w="90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SRV</w:t>
            </w:r>
          </w:p>
        </w:tc>
        <w:tc>
          <w:tcPr>
            <w:tcW w:type="dxa" w:w="11339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UPS state должен быть доступен monitoring agent.</w:t>
            </w:r>
          </w:p>
        </w:tc>
        <w:tc>
          <w:tcPr>
            <w:tcW w:type="dxa" w:w="124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HSC31-017</w:t>
            </w:r>
          </w:p>
        </w:tc>
        <w:tc>
          <w:tcPr>
            <w:tcW w:type="dxa" w:w="90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SRV</w:t>
            </w:r>
          </w:p>
        </w:tc>
        <w:tc>
          <w:tcPr>
            <w:tcW w:type="dxa" w:w="113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При low-battery Local Server должен поддерживать controlled shutdown.</w:t>
            </w:r>
          </w:p>
        </w:tc>
        <w:tc>
          <w:tcPr>
            <w:tcW w:type="dxa" w:w="124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HSC31-018</w:t>
            </w:r>
          </w:p>
        </w:tc>
        <w:tc>
          <w:tcPr>
            <w:tcW w:type="dxa" w:w="90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SRV</w:t>
            </w:r>
          </w:p>
        </w:tc>
        <w:tc>
          <w:tcPr>
            <w:tcW w:type="dxa" w:w="11339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После восстановления питания должна поддерживаться автоматическая загрузка согласно site policy.</w:t>
            </w:r>
          </w:p>
        </w:tc>
        <w:tc>
          <w:tcPr>
            <w:tcW w:type="dxa" w:w="124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HSC31-019</w:t>
            </w:r>
          </w:p>
        </w:tc>
        <w:tc>
          <w:tcPr>
            <w:tcW w:type="dxa" w:w="90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SRV</w:t>
            </w:r>
          </w:p>
        </w:tc>
        <w:tc>
          <w:tcPr>
            <w:tcW w:type="dxa" w:w="113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Виртуализированный Local Server должен иметь reserved resources согласно NFR.</w:t>
            </w:r>
          </w:p>
        </w:tc>
        <w:tc>
          <w:tcPr>
            <w:tcW w:type="dxa" w:w="124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HSC31-020</w:t>
            </w:r>
          </w:p>
        </w:tc>
        <w:tc>
          <w:tcPr>
            <w:tcW w:type="dxa" w:w="90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SRV</w:t>
            </w:r>
          </w:p>
        </w:tc>
        <w:tc>
          <w:tcPr>
            <w:tcW w:type="dxa" w:w="11339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Local Server не должен требовать постоянного соединения с cloud для лицензирования core workflows.</w:t>
            </w:r>
          </w:p>
        </w:tc>
        <w:tc>
          <w:tcPr>
            <w:tcW w:type="dxa" w:w="124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HSC31-021</w:t>
            </w:r>
          </w:p>
        </w:tc>
        <w:tc>
          <w:tcPr>
            <w:tcW w:type="dxa" w:w="90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NET</w:t>
            </w:r>
          </w:p>
        </w:tc>
        <w:tc>
          <w:tcPr>
            <w:tcW w:type="dxa" w:w="113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OT/Edge traffic должен быть сегментируемым отдельным VLAN/zone.</w:t>
            </w:r>
          </w:p>
        </w:tc>
        <w:tc>
          <w:tcPr>
            <w:tcW w:type="dxa" w:w="124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SHOULD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HSC31-022</w:t>
            </w:r>
          </w:p>
        </w:tc>
        <w:tc>
          <w:tcPr>
            <w:tcW w:type="dxa" w:w="90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NET</w:t>
            </w:r>
          </w:p>
        </w:tc>
        <w:tc>
          <w:tcPr>
            <w:tcW w:type="dxa" w:w="11339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PLC devices не должны иметь прямой inbound access из Internet.</w:t>
            </w:r>
          </w:p>
        </w:tc>
        <w:tc>
          <w:tcPr>
            <w:tcW w:type="dxa" w:w="124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HSC31-023</w:t>
            </w:r>
          </w:p>
        </w:tc>
        <w:tc>
          <w:tcPr>
            <w:tcW w:type="dxa" w:w="90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NET</w:t>
            </w:r>
          </w:p>
        </w:tc>
        <w:tc>
          <w:tcPr>
            <w:tcW w:type="dxa" w:w="113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Cloud replication должна инициироваться контролируемым outbound connection.</w:t>
            </w:r>
          </w:p>
        </w:tc>
        <w:tc>
          <w:tcPr>
            <w:tcW w:type="dxa" w:w="124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HSC31-024</w:t>
            </w:r>
          </w:p>
        </w:tc>
        <w:tc>
          <w:tcPr>
            <w:tcW w:type="dxa" w:w="90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NET</w:t>
            </w:r>
          </w:p>
        </w:tc>
        <w:tc>
          <w:tcPr>
            <w:tcW w:type="dxa" w:w="11339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Firewall rules должны строиться по allowlist.</w:t>
            </w:r>
          </w:p>
        </w:tc>
        <w:tc>
          <w:tcPr>
            <w:tcW w:type="dxa" w:w="124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HSC31-025</w:t>
            </w:r>
          </w:p>
        </w:tc>
        <w:tc>
          <w:tcPr>
            <w:tcW w:type="dxa" w:w="90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NET</w:t>
            </w:r>
          </w:p>
        </w:tc>
        <w:tc>
          <w:tcPr>
            <w:tcW w:type="dxa" w:w="113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Edge должен разрешать Local Server endpoints по configuration.</w:t>
            </w:r>
          </w:p>
        </w:tc>
        <w:tc>
          <w:tcPr>
            <w:tcW w:type="dxa" w:w="124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HSC31-026</w:t>
            </w:r>
          </w:p>
        </w:tc>
        <w:tc>
          <w:tcPr>
            <w:tcW w:type="dxa" w:w="90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NET</w:t>
            </w:r>
          </w:p>
        </w:tc>
        <w:tc>
          <w:tcPr>
            <w:tcW w:type="dxa" w:w="11339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NTP/DNS dependencies должны иметь local deployment option.</w:t>
            </w:r>
          </w:p>
        </w:tc>
        <w:tc>
          <w:tcPr>
            <w:tcW w:type="dxa" w:w="124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HSC31-027</w:t>
            </w:r>
          </w:p>
        </w:tc>
        <w:tc>
          <w:tcPr>
            <w:tcW w:type="dxa" w:w="90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NET</w:t>
            </w:r>
          </w:p>
        </w:tc>
        <w:tc>
          <w:tcPr>
            <w:tcW w:type="dxa" w:w="113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Loss of DNS не должен разрушать уже установленные локальные sessions при использовании cached config/IP fallback.</w:t>
            </w:r>
          </w:p>
        </w:tc>
        <w:tc>
          <w:tcPr>
            <w:tcW w:type="dxa" w:w="124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HSC31-028</w:t>
            </w:r>
          </w:p>
        </w:tc>
        <w:tc>
          <w:tcPr>
            <w:tcW w:type="dxa" w:w="90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NET</w:t>
            </w:r>
          </w:p>
        </w:tc>
        <w:tc>
          <w:tcPr>
            <w:tcW w:type="dxa" w:w="11339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Network reconnect должен применять exponential backoff/jitter.</w:t>
            </w:r>
          </w:p>
        </w:tc>
        <w:tc>
          <w:tcPr>
            <w:tcW w:type="dxa" w:w="124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SHOULD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HSC31-029</w:t>
            </w:r>
          </w:p>
        </w:tc>
        <w:tc>
          <w:tcPr>
            <w:tcW w:type="dxa" w:w="90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NET</w:t>
            </w:r>
          </w:p>
        </w:tc>
        <w:tc>
          <w:tcPr>
            <w:tcW w:type="dxa" w:w="113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Broadcast discovery должен быть ограничен нужным segment.</w:t>
            </w:r>
          </w:p>
        </w:tc>
        <w:tc>
          <w:tcPr>
            <w:tcW w:type="dxa" w:w="124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HSC31-030</w:t>
            </w:r>
          </w:p>
        </w:tc>
        <w:tc>
          <w:tcPr>
            <w:tcW w:type="dxa" w:w="90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NET</w:t>
            </w:r>
          </w:p>
        </w:tc>
        <w:tc>
          <w:tcPr>
            <w:tcW w:type="dxa" w:w="11339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Remote support path должен быть выключен по умолчанию.</w:t>
            </w:r>
          </w:p>
        </w:tc>
        <w:tc>
          <w:tcPr>
            <w:tcW w:type="dxa" w:w="124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HSC31-031</w:t>
            </w:r>
          </w:p>
        </w:tc>
        <w:tc>
          <w:tcPr>
            <w:tcW w:type="dxa" w:w="90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RN</w:t>
            </w:r>
          </w:p>
        </w:tc>
        <w:tc>
          <w:tcPr>
            <w:tcW w:type="dxa" w:w="113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RetrofitNode должен продолжать acquisition при временной недоступности Local Server.</w:t>
            </w:r>
          </w:p>
        </w:tc>
        <w:tc>
          <w:tcPr>
            <w:tcW w:type="dxa" w:w="124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HSC31-032</w:t>
            </w:r>
          </w:p>
        </w:tc>
        <w:tc>
          <w:tcPr>
            <w:tcW w:type="dxa" w:w="90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RN</w:t>
            </w:r>
          </w:p>
        </w:tc>
        <w:tc>
          <w:tcPr>
            <w:tcW w:type="dxa" w:w="11339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Локальный buffer должен переживать process restart.</w:t>
            </w:r>
          </w:p>
        </w:tc>
        <w:tc>
          <w:tcPr>
            <w:tcW w:type="dxa" w:w="124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HSC31-033</w:t>
            </w:r>
          </w:p>
        </w:tc>
        <w:tc>
          <w:tcPr>
            <w:tcW w:type="dxa" w:w="90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RN</w:t>
            </w:r>
          </w:p>
        </w:tc>
        <w:tc>
          <w:tcPr>
            <w:tcW w:type="dxa" w:w="113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Buffer overflow policy должна быть explicit и observable.</w:t>
            </w:r>
          </w:p>
        </w:tc>
        <w:tc>
          <w:tcPr>
            <w:tcW w:type="dxa" w:w="124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HSC31-034</w:t>
            </w:r>
          </w:p>
        </w:tc>
        <w:tc>
          <w:tcPr>
            <w:tcW w:type="dxa" w:w="90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RN</w:t>
            </w:r>
          </w:p>
        </w:tc>
        <w:tc>
          <w:tcPr>
            <w:tcW w:type="dxa" w:w="11339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Original occurredAt должен сохраняться при replay.</w:t>
            </w:r>
          </w:p>
        </w:tc>
        <w:tc>
          <w:tcPr>
            <w:tcW w:type="dxa" w:w="124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HSC31-035</w:t>
            </w:r>
          </w:p>
        </w:tc>
        <w:tc>
          <w:tcPr>
            <w:tcW w:type="dxa" w:w="90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RN</w:t>
            </w:r>
          </w:p>
        </w:tc>
        <w:tc>
          <w:tcPr>
            <w:tcW w:type="dxa" w:w="113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Каждое message должно иметь identity/sequence для deduplication.</w:t>
            </w:r>
          </w:p>
        </w:tc>
        <w:tc>
          <w:tcPr>
            <w:tcW w:type="dxa" w:w="124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SHOULD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HSC31-036</w:t>
            </w:r>
          </w:p>
        </w:tc>
        <w:tc>
          <w:tcPr>
            <w:tcW w:type="dxa" w:w="90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RN</w:t>
            </w:r>
          </w:p>
        </w:tc>
        <w:tc>
          <w:tcPr>
            <w:tcW w:type="dxa" w:w="11339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Watchdog должен перезапускать зависший edge agent.</w:t>
            </w:r>
          </w:p>
        </w:tc>
        <w:tc>
          <w:tcPr>
            <w:tcW w:type="dxa" w:w="124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HSC31-037</w:t>
            </w:r>
          </w:p>
        </w:tc>
        <w:tc>
          <w:tcPr>
            <w:tcW w:type="dxa" w:w="90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RN</w:t>
            </w:r>
          </w:p>
        </w:tc>
        <w:tc>
          <w:tcPr>
            <w:tcW w:type="dxa" w:w="113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Watchdog reboot reason должен сохраняться.</w:t>
            </w:r>
          </w:p>
        </w:tc>
        <w:tc>
          <w:tcPr>
            <w:tcW w:type="dxa" w:w="124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HSC31-038</w:t>
            </w:r>
          </w:p>
        </w:tc>
        <w:tc>
          <w:tcPr>
            <w:tcW w:type="dxa" w:w="90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RN</w:t>
            </w:r>
          </w:p>
        </w:tc>
        <w:tc>
          <w:tcPr>
            <w:tcW w:type="dxa" w:w="11339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Configuration revision должна быть доступна Local Server.</w:t>
            </w:r>
          </w:p>
        </w:tc>
        <w:tc>
          <w:tcPr>
            <w:tcW w:type="dxa" w:w="124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HSC31-039</w:t>
            </w:r>
          </w:p>
        </w:tc>
        <w:tc>
          <w:tcPr>
            <w:tcW w:type="dxa" w:w="90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RN</w:t>
            </w:r>
          </w:p>
        </w:tc>
        <w:tc>
          <w:tcPr>
            <w:tcW w:type="dxa" w:w="113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Runtime должен поддерживать remote health query без доступа к raw OS shell.</w:t>
            </w:r>
          </w:p>
        </w:tc>
        <w:tc>
          <w:tcPr>
            <w:tcW w:type="dxa" w:w="124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HSC31-040</w:t>
            </w:r>
          </w:p>
        </w:tc>
        <w:tc>
          <w:tcPr>
            <w:tcW w:type="dxa" w:w="90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RN</w:t>
            </w:r>
          </w:p>
        </w:tc>
        <w:tc>
          <w:tcPr>
            <w:tcW w:type="dxa" w:w="11339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Node должен иметь physical label/QR with serial/device id.</w:t>
            </w:r>
          </w:p>
        </w:tc>
        <w:tc>
          <w:tcPr>
            <w:tcW w:type="dxa" w:w="124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HSC31-041</w:t>
            </w:r>
          </w:p>
        </w:tc>
        <w:tc>
          <w:tcPr>
            <w:tcW w:type="dxa" w:w="90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IO</w:t>
            </w:r>
          </w:p>
        </w:tc>
        <w:tc>
          <w:tcPr>
            <w:tcW w:type="dxa" w:w="113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RS485 интерфейс для industrial profile должен иметь защиту от типовых ESD/transients.</w:t>
            </w:r>
          </w:p>
        </w:tc>
        <w:tc>
          <w:tcPr>
            <w:tcW w:type="dxa" w:w="124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HSC31-042</w:t>
            </w:r>
          </w:p>
        </w:tc>
        <w:tc>
          <w:tcPr>
            <w:tcW w:type="dxa" w:w="90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IO</w:t>
            </w:r>
          </w:p>
        </w:tc>
        <w:tc>
          <w:tcPr>
            <w:tcW w:type="dxa" w:w="11339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Изоляция RS485 должна быть доступна как обязательная опция industrial profile.</w:t>
            </w:r>
          </w:p>
        </w:tc>
        <w:tc>
          <w:tcPr>
            <w:tcW w:type="dxa" w:w="124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SHOULD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HSC31-043</w:t>
            </w:r>
          </w:p>
        </w:tc>
        <w:tc>
          <w:tcPr>
            <w:tcW w:type="dxa" w:w="90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IO</w:t>
            </w:r>
          </w:p>
        </w:tc>
        <w:tc>
          <w:tcPr>
            <w:tcW w:type="dxa" w:w="113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Termination/bias должны конфигурироваться согласно topology.</w:t>
            </w:r>
          </w:p>
        </w:tc>
        <w:tc>
          <w:tcPr>
            <w:tcW w:type="dxa" w:w="124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HSC31-044</w:t>
            </w:r>
          </w:p>
        </w:tc>
        <w:tc>
          <w:tcPr>
            <w:tcW w:type="dxa" w:w="90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IO</w:t>
            </w:r>
          </w:p>
        </w:tc>
        <w:tc>
          <w:tcPr>
            <w:tcW w:type="dxa" w:w="11339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Digital input должен поддерживать debounce.</w:t>
            </w:r>
          </w:p>
        </w:tc>
        <w:tc>
          <w:tcPr>
            <w:tcW w:type="dxa" w:w="124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HSC31-045</w:t>
            </w:r>
          </w:p>
        </w:tc>
        <w:tc>
          <w:tcPr>
            <w:tcW w:type="dxa" w:w="90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IO</w:t>
            </w:r>
          </w:p>
        </w:tc>
        <w:tc>
          <w:tcPr>
            <w:tcW w:type="dxa" w:w="113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Digital input semantic NO/NC должен задаваться configuration.</w:t>
            </w:r>
          </w:p>
        </w:tc>
        <w:tc>
          <w:tcPr>
            <w:tcW w:type="dxa" w:w="124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HSC31-046</w:t>
            </w:r>
          </w:p>
        </w:tc>
        <w:tc>
          <w:tcPr>
            <w:tcW w:type="dxa" w:w="90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IO</w:t>
            </w:r>
          </w:p>
        </w:tc>
        <w:tc>
          <w:tcPr>
            <w:tcW w:type="dxa" w:w="11339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PNP/NPN тип должен быть явно указан при commissioning.</w:t>
            </w:r>
          </w:p>
        </w:tc>
        <w:tc>
          <w:tcPr>
            <w:tcW w:type="dxa" w:w="124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HSC31-047</w:t>
            </w:r>
          </w:p>
        </w:tc>
        <w:tc>
          <w:tcPr>
            <w:tcW w:type="dxa" w:w="90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IO</w:t>
            </w:r>
          </w:p>
        </w:tc>
        <w:tc>
          <w:tcPr>
            <w:tcW w:type="dxa" w:w="113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4-20 mA input должен выявлять open-loop/out-of-range where hardware permits.</w:t>
            </w:r>
          </w:p>
        </w:tc>
        <w:tc>
          <w:tcPr>
            <w:tcW w:type="dxa" w:w="124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HSC31-048</w:t>
            </w:r>
          </w:p>
        </w:tc>
        <w:tc>
          <w:tcPr>
            <w:tcW w:type="dxa" w:w="90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IO</w:t>
            </w:r>
          </w:p>
        </w:tc>
        <w:tc>
          <w:tcPr>
            <w:tcW w:type="dxa" w:w="11339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0-10 V input должен иметь configured valid range.</w:t>
            </w:r>
          </w:p>
        </w:tc>
        <w:tc>
          <w:tcPr>
            <w:tcW w:type="dxa" w:w="124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HSC31-049</w:t>
            </w:r>
          </w:p>
        </w:tc>
        <w:tc>
          <w:tcPr>
            <w:tcW w:type="dxa" w:w="90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IO</w:t>
            </w:r>
          </w:p>
        </w:tc>
        <w:tc>
          <w:tcPr>
            <w:tcW w:type="dxa" w:w="113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Pulse input должен иметь max expected frequency.</w:t>
            </w:r>
          </w:p>
        </w:tc>
        <w:tc>
          <w:tcPr>
            <w:tcW w:type="dxa" w:w="124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SHOULD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HSC31-050</w:t>
            </w:r>
          </w:p>
        </w:tc>
        <w:tc>
          <w:tcPr>
            <w:tcW w:type="dxa" w:w="90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IO</w:t>
            </w:r>
          </w:p>
        </w:tc>
        <w:tc>
          <w:tcPr>
            <w:tcW w:type="dxa" w:w="11339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Counter rollover/reset должен отличаться от negative production.</w:t>
            </w:r>
          </w:p>
        </w:tc>
        <w:tc>
          <w:tcPr>
            <w:tcW w:type="dxa" w:w="124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HSC31-051</w:t>
            </w:r>
          </w:p>
        </w:tc>
        <w:tc>
          <w:tcPr>
            <w:tcW w:type="dxa" w:w="90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IO</w:t>
            </w:r>
          </w:p>
        </w:tc>
        <w:tc>
          <w:tcPr>
            <w:tcW w:type="dxa" w:w="113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Frequency input должен фильтровать impossible values.</w:t>
            </w:r>
          </w:p>
        </w:tc>
        <w:tc>
          <w:tcPr>
            <w:tcW w:type="dxa" w:w="124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HSC31-052</w:t>
            </w:r>
          </w:p>
        </w:tc>
        <w:tc>
          <w:tcPr>
            <w:tcW w:type="dxa" w:w="90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IO</w:t>
            </w:r>
          </w:p>
        </w:tc>
        <w:tc>
          <w:tcPr>
            <w:tcW w:type="dxa" w:w="11339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Calibration coefficients должны versioned храниться.</w:t>
            </w:r>
          </w:p>
        </w:tc>
        <w:tc>
          <w:tcPr>
            <w:tcW w:type="dxa" w:w="124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HSC31-053</w:t>
            </w:r>
          </w:p>
        </w:tc>
        <w:tc>
          <w:tcPr>
            <w:tcW w:type="dxa" w:w="90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PLC</w:t>
            </w:r>
          </w:p>
        </w:tc>
        <w:tc>
          <w:tcPr>
            <w:tcW w:type="dxa" w:w="113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Modbus V1 integration должна использовать read-only function allowlist.</w:t>
            </w:r>
          </w:p>
        </w:tc>
        <w:tc>
          <w:tcPr>
            <w:tcW w:type="dxa" w:w="124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HSC31-054</w:t>
            </w:r>
          </w:p>
        </w:tc>
        <w:tc>
          <w:tcPr>
            <w:tcW w:type="dxa" w:w="90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PLC</w:t>
            </w:r>
          </w:p>
        </w:tc>
        <w:tc>
          <w:tcPr>
            <w:tcW w:type="dxa" w:w="11339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Modbus polling rate должен быть ограничен, чтобы не перегружать PLC.</w:t>
            </w:r>
          </w:p>
        </w:tc>
        <w:tc>
          <w:tcPr>
            <w:tcW w:type="dxa" w:w="124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HSC31-055</w:t>
            </w:r>
          </w:p>
        </w:tc>
        <w:tc>
          <w:tcPr>
            <w:tcW w:type="dxa" w:w="90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PLC</w:t>
            </w:r>
          </w:p>
        </w:tc>
        <w:tc>
          <w:tcPr>
            <w:tcW w:type="dxa" w:w="113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Modbus register mapping должен быть external configuration, не hard-code business logic.</w:t>
            </w:r>
          </w:p>
        </w:tc>
        <w:tc>
          <w:tcPr>
            <w:tcW w:type="dxa" w:w="124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HSC31-056</w:t>
            </w:r>
          </w:p>
        </w:tc>
        <w:tc>
          <w:tcPr>
            <w:tcW w:type="dxa" w:w="90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PLC</w:t>
            </w:r>
          </w:p>
        </w:tc>
        <w:tc>
          <w:tcPr>
            <w:tcW w:type="dxa" w:w="11339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Modbus timeout/retry должен быть device-profile specific.</w:t>
            </w:r>
          </w:p>
        </w:tc>
        <w:tc>
          <w:tcPr>
            <w:tcW w:type="dxa" w:w="124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SHOULD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HSC31-057</w:t>
            </w:r>
          </w:p>
        </w:tc>
        <w:tc>
          <w:tcPr>
            <w:tcW w:type="dxa" w:w="90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PLC</w:t>
            </w:r>
          </w:p>
        </w:tc>
        <w:tc>
          <w:tcPr>
            <w:tcW w:type="dxa" w:w="113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OPC UA client должен использовать explicit endpoint allowlist.</w:t>
            </w:r>
          </w:p>
        </w:tc>
        <w:tc>
          <w:tcPr>
            <w:tcW w:type="dxa" w:w="124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HSC31-058</w:t>
            </w:r>
          </w:p>
        </w:tc>
        <w:tc>
          <w:tcPr>
            <w:tcW w:type="dxa" w:w="90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PLC</w:t>
            </w:r>
          </w:p>
        </w:tc>
        <w:tc>
          <w:tcPr>
            <w:tcW w:type="dxa" w:w="11339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OPC UA trust list/certificates должны управляться.</w:t>
            </w:r>
          </w:p>
        </w:tc>
        <w:tc>
          <w:tcPr>
            <w:tcW w:type="dxa" w:w="124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HSC31-059</w:t>
            </w:r>
          </w:p>
        </w:tc>
        <w:tc>
          <w:tcPr>
            <w:tcW w:type="dxa" w:w="90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PLC</w:t>
            </w:r>
          </w:p>
        </w:tc>
        <w:tc>
          <w:tcPr>
            <w:tcW w:type="dxa" w:w="113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OPC UA session роль V1 должна быть read-only.</w:t>
            </w:r>
          </w:p>
        </w:tc>
        <w:tc>
          <w:tcPr>
            <w:tcW w:type="dxa" w:w="124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HSC31-060</w:t>
            </w:r>
          </w:p>
        </w:tc>
        <w:tc>
          <w:tcPr>
            <w:tcW w:type="dxa" w:w="90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PLC</w:t>
            </w:r>
          </w:p>
        </w:tc>
        <w:tc>
          <w:tcPr>
            <w:tcW w:type="dxa" w:w="11339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Bad/Uncertain OPC UA quality должна уменьшать evidence confidence.</w:t>
            </w:r>
          </w:p>
        </w:tc>
        <w:tc>
          <w:tcPr>
            <w:tcW w:type="dxa" w:w="124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HSC31-061</w:t>
            </w:r>
          </w:p>
        </w:tc>
        <w:tc>
          <w:tcPr>
            <w:tcW w:type="dxa" w:w="90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PLC</w:t>
            </w:r>
          </w:p>
        </w:tc>
        <w:tc>
          <w:tcPr>
            <w:tcW w:type="dxa" w:w="113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PLC alarm не должен автоматически считаться downtime.</w:t>
            </w:r>
          </w:p>
        </w:tc>
        <w:tc>
          <w:tcPr>
            <w:tcW w:type="dxa" w:w="124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HSC31-062</w:t>
            </w:r>
          </w:p>
        </w:tc>
        <w:tc>
          <w:tcPr>
            <w:tcW w:type="dxa" w:w="90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PLC</w:t>
            </w:r>
          </w:p>
        </w:tc>
        <w:tc>
          <w:tcPr>
            <w:tcW w:type="dxa" w:w="11339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PLC state не должен напрямую менять ProductionRun.</w:t>
            </w:r>
          </w:p>
        </w:tc>
        <w:tc>
          <w:tcPr>
            <w:tcW w:type="dxa" w:w="124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HSC31-063</w:t>
            </w:r>
          </w:p>
        </w:tc>
        <w:tc>
          <w:tcPr>
            <w:tcW w:type="dxa" w:w="90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RAD</w:t>
            </w:r>
          </w:p>
        </w:tc>
        <w:tc>
          <w:tcPr>
            <w:tcW w:type="dxa" w:w="113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LoRaWAN deployment должен учитывать regional parameters и действующие правила радиочастот.</w:t>
            </w:r>
          </w:p>
        </w:tc>
        <w:tc>
          <w:tcPr>
            <w:tcW w:type="dxa" w:w="124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SHOULD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HSC31-064</w:t>
            </w:r>
          </w:p>
        </w:tc>
        <w:tc>
          <w:tcPr>
            <w:tcW w:type="dxa" w:w="90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RAD</w:t>
            </w:r>
          </w:p>
        </w:tc>
        <w:tc>
          <w:tcPr>
            <w:tcW w:type="dxa" w:w="11339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Для offline-first площадки network server/application path должен иметь local/private option.</w:t>
            </w:r>
          </w:p>
        </w:tc>
        <w:tc>
          <w:tcPr>
            <w:tcW w:type="dxa" w:w="124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HSC31-065</w:t>
            </w:r>
          </w:p>
        </w:tc>
        <w:tc>
          <w:tcPr>
            <w:tcW w:type="dxa" w:w="90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RAD</w:t>
            </w:r>
          </w:p>
        </w:tc>
        <w:tc>
          <w:tcPr>
            <w:tcW w:type="dxa" w:w="113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Radio node identity/keys должны быть уникальны.</w:t>
            </w:r>
          </w:p>
        </w:tc>
        <w:tc>
          <w:tcPr>
            <w:tcW w:type="dxa" w:w="124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HSC31-066</w:t>
            </w:r>
          </w:p>
        </w:tc>
        <w:tc>
          <w:tcPr>
            <w:tcW w:type="dxa" w:w="90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RAD</w:t>
            </w:r>
          </w:p>
        </w:tc>
        <w:tc>
          <w:tcPr>
            <w:tcW w:type="dxa" w:w="11339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Key material не должен храниться в открытом demo/config repository.</w:t>
            </w:r>
          </w:p>
        </w:tc>
        <w:tc>
          <w:tcPr>
            <w:tcW w:type="dxa" w:w="124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HSC31-067</w:t>
            </w:r>
          </w:p>
        </w:tc>
        <w:tc>
          <w:tcPr>
            <w:tcW w:type="dxa" w:w="90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RAD</w:t>
            </w:r>
          </w:p>
        </w:tc>
        <w:tc>
          <w:tcPr>
            <w:tcW w:type="dxa" w:w="113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Loss of radio coverage должен приводить к stale/offline state, а не нулевому measurement.</w:t>
            </w:r>
          </w:p>
        </w:tc>
        <w:tc>
          <w:tcPr>
            <w:tcW w:type="dxa" w:w="124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HSC31-068</w:t>
            </w:r>
          </w:p>
        </w:tc>
        <w:tc>
          <w:tcPr>
            <w:tcW w:type="dxa" w:w="90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RAD</w:t>
            </w:r>
          </w:p>
        </w:tc>
        <w:tc>
          <w:tcPr>
            <w:tcW w:type="dxa" w:w="11339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Battery state должен мониториться для battery-powered nodes.</w:t>
            </w:r>
          </w:p>
        </w:tc>
        <w:tc>
          <w:tcPr>
            <w:tcW w:type="dxa" w:w="124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HSC31-069</w:t>
            </w:r>
          </w:p>
        </w:tc>
        <w:tc>
          <w:tcPr>
            <w:tcW w:type="dxa" w:w="90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RAD</w:t>
            </w:r>
          </w:p>
        </w:tc>
        <w:tc>
          <w:tcPr>
            <w:tcW w:type="dxa" w:w="113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Duty-cycle/data rate policy должна соответствовать profile/use case.</w:t>
            </w:r>
          </w:p>
        </w:tc>
        <w:tc>
          <w:tcPr>
            <w:tcW w:type="dxa" w:w="124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HSC31-070</w:t>
            </w:r>
          </w:p>
        </w:tc>
        <w:tc>
          <w:tcPr>
            <w:tcW w:type="dxa" w:w="90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RAD</w:t>
            </w:r>
          </w:p>
        </w:tc>
        <w:tc>
          <w:tcPr>
            <w:tcW w:type="dxa" w:w="11339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Radio firmware update должен быть отдельным policy с ограничением риска/энергии.</w:t>
            </w:r>
          </w:p>
        </w:tc>
        <w:tc>
          <w:tcPr>
            <w:tcW w:type="dxa" w:w="124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SHOULD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HSC31-071</w:t>
            </w:r>
          </w:p>
        </w:tc>
        <w:tc>
          <w:tcPr>
            <w:tcW w:type="dxa" w:w="90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PWR</w:t>
            </w:r>
          </w:p>
        </w:tc>
        <w:tc>
          <w:tcPr>
            <w:tcW w:type="dxa" w:w="113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Custom edge должен иметь documented input voltage range.</w:t>
            </w:r>
          </w:p>
        </w:tc>
        <w:tc>
          <w:tcPr>
            <w:tcW w:type="dxa" w:w="124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HSC31-072</w:t>
            </w:r>
          </w:p>
        </w:tc>
        <w:tc>
          <w:tcPr>
            <w:tcW w:type="dxa" w:w="90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PWR</w:t>
            </w:r>
          </w:p>
        </w:tc>
        <w:tc>
          <w:tcPr>
            <w:tcW w:type="dxa" w:w="11339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Reverse polarity protection должна быть предусмотрена где применимо.</w:t>
            </w:r>
          </w:p>
        </w:tc>
        <w:tc>
          <w:tcPr>
            <w:tcW w:type="dxa" w:w="124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HSC31-073</w:t>
            </w:r>
          </w:p>
        </w:tc>
        <w:tc>
          <w:tcPr>
            <w:tcW w:type="dxa" w:w="90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PWR</w:t>
            </w:r>
          </w:p>
        </w:tc>
        <w:tc>
          <w:tcPr>
            <w:tcW w:type="dxa" w:w="113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Brownout не должен приводить к corruption durable queue.</w:t>
            </w:r>
          </w:p>
        </w:tc>
        <w:tc>
          <w:tcPr>
            <w:tcW w:type="dxa" w:w="124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HSC31-074</w:t>
            </w:r>
          </w:p>
        </w:tc>
        <w:tc>
          <w:tcPr>
            <w:tcW w:type="dxa" w:w="90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PWR</w:t>
            </w:r>
          </w:p>
        </w:tc>
        <w:tc>
          <w:tcPr>
            <w:tcW w:type="dxa" w:w="11339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Input fuse/protection выбирается согласно electrical design.</w:t>
            </w:r>
          </w:p>
        </w:tc>
        <w:tc>
          <w:tcPr>
            <w:tcW w:type="dxa" w:w="124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HSC31-075</w:t>
            </w:r>
          </w:p>
        </w:tc>
        <w:tc>
          <w:tcPr>
            <w:tcW w:type="dxa" w:w="90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PWR</w:t>
            </w:r>
          </w:p>
        </w:tc>
        <w:tc>
          <w:tcPr>
            <w:tcW w:type="dxa" w:w="113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Ground/shield termination documented in installation guide.</w:t>
            </w:r>
          </w:p>
        </w:tc>
        <w:tc>
          <w:tcPr>
            <w:tcW w:type="dxa" w:w="124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HSC31-076</w:t>
            </w:r>
          </w:p>
        </w:tc>
        <w:tc>
          <w:tcPr>
            <w:tcW w:type="dxa" w:w="90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PWR</w:t>
            </w:r>
          </w:p>
        </w:tc>
        <w:tc>
          <w:tcPr>
            <w:tcW w:type="dxa" w:w="11339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External sensor powering не должно выполняться без рассчитанной power budget.</w:t>
            </w:r>
          </w:p>
        </w:tc>
        <w:tc>
          <w:tcPr>
            <w:tcW w:type="dxa" w:w="124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HSC31-077</w:t>
            </w:r>
          </w:p>
        </w:tc>
        <w:tc>
          <w:tcPr>
            <w:tcW w:type="dxa" w:w="90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PWR</w:t>
            </w:r>
          </w:p>
        </w:tc>
        <w:tc>
          <w:tcPr>
            <w:tcW w:type="dxa" w:w="113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UPS sizing Local Server должно учитывать controlled shutdown time.</w:t>
            </w:r>
          </w:p>
        </w:tc>
        <w:tc>
          <w:tcPr>
            <w:tcW w:type="dxa" w:w="124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SHOULD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HSC31-078</w:t>
            </w:r>
          </w:p>
        </w:tc>
        <w:tc>
          <w:tcPr>
            <w:tcW w:type="dxa" w:w="90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PWR</w:t>
            </w:r>
          </w:p>
        </w:tc>
        <w:tc>
          <w:tcPr>
            <w:tcW w:type="dxa" w:w="11339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Power restore behaviour должно быть deterministic.</w:t>
            </w:r>
          </w:p>
        </w:tc>
        <w:tc>
          <w:tcPr>
            <w:tcW w:type="dxa" w:w="124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HSC31-079</w:t>
            </w:r>
          </w:p>
        </w:tc>
        <w:tc>
          <w:tcPr>
            <w:tcW w:type="dxa" w:w="90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MECH</w:t>
            </w:r>
          </w:p>
        </w:tc>
        <w:tc>
          <w:tcPr>
            <w:tcW w:type="dxa" w:w="113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Enclosure IP rating должен выбираться по фактической среде.</w:t>
            </w:r>
          </w:p>
        </w:tc>
        <w:tc>
          <w:tcPr>
            <w:tcW w:type="dxa" w:w="124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HSC31-080</w:t>
            </w:r>
          </w:p>
        </w:tc>
        <w:tc>
          <w:tcPr>
            <w:tcW w:type="dxa" w:w="90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MECH</w:t>
            </w:r>
          </w:p>
        </w:tc>
        <w:tc>
          <w:tcPr>
            <w:tcW w:type="dxa" w:w="11339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Кабельные вводы не должны снижать требуемый IP class.</w:t>
            </w:r>
          </w:p>
        </w:tc>
        <w:tc>
          <w:tcPr>
            <w:tcW w:type="dxa" w:w="124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HSC31-081</w:t>
            </w:r>
          </w:p>
        </w:tc>
        <w:tc>
          <w:tcPr>
            <w:tcW w:type="dxa" w:w="90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MECH</w:t>
            </w:r>
          </w:p>
        </w:tc>
        <w:tc>
          <w:tcPr>
            <w:tcW w:type="dxa" w:w="113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Operating temperature profile должен быть указан для каждого SKU.</w:t>
            </w:r>
          </w:p>
        </w:tc>
        <w:tc>
          <w:tcPr>
            <w:tcW w:type="dxa" w:w="124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HSC31-082</w:t>
            </w:r>
          </w:p>
        </w:tc>
        <w:tc>
          <w:tcPr>
            <w:tcW w:type="dxa" w:w="90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MECH</w:t>
            </w:r>
          </w:p>
        </w:tc>
        <w:tc>
          <w:tcPr>
            <w:tcW w:type="dxa" w:w="11339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Condensation risk должен учитываться для outdoor/cold environments.</w:t>
            </w:r>
          </w:p>
        </w:tc>
        <w:tc>
          <w:tcPr>
            <w:tcW w:type="dxa" w:w="124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HSC31-083</w:t>
            </w:r>
          </w:p>
        </w:tc>
        <w:tc>
          <w:tcPr>
            <w:tcW w:type="dxa" w:w="90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MECH</w:t>
            </w:r>
          </w:p>
        </w:tc>
        <w:tc>
          <w:tcPr>
            <w:tcW w:type="dxa" w:w="113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DIN-rail mounting должен выдерживать service vibration profile.</w:t>
            </w:r>
          </w:p>
        </w:tc>
        <w:tc>
          <w:tcPr>
            <w:tcW w:type="dxa" w:w="124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HSC31-084</w:t>
            </w:r>
          </w:p>
        </w:tc>
        <w:tc>
          <w:tcPr>
            <w:tcW w:type="dxa" w:w="90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MECH</w:t>
            </w:r>
          </w:p>
        </w:tc>
        <w:tc>
          <w:tcPr>
            <w:tcW w:type="dxa" w:w="11339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Terminal labels должны соответствовать wiring documentation.</w:t>
            </w:r>
          </w:p>
        </w:tc>
        <w:tc>
          <w:tcPr>
            <w:tcW w:type="dxa" w:w="124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SHOULD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HSC31-085</w:t>
            </w:r>
          </w:p>
        </w:tc>
        <w:tc>
          <w:tcPr>
            <w:tcW w:type="dxa" w:w="90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MECH</w:t>
            </w:r>
          </w:p>
        </w:tc>
        <w:tc>
          <w:tcPr>
            <w:tcW w:type="dxa" w:w="113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Replaceable modules должны быть keyed/labeled against wrong connection where practical.</w:t>
            </w:r>
          </w:p>
        </w:tc>
        <w:tc>
          <w:tcPr>
            <w:tcW w:type="dxa" w:w="124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HSC31-086</w:t>
            </w:r>
          </w:p>
        </w:tc>
        <w:tc>
          <w:tcPr>
            <w:tcW w:type="dxa" w:w="90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MECH</w:t>
            </w:r>
          </w:p>
        </w:tc>
        <w:tc>
          <w:tcPr>
            <w:tcW w:type="dxa" w:w="11339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Serial and QR label должны оставаться читаемыми в ожидаемой среде.</w:t>
            </w:r>
          </w:p>
        </w:tc>
        <w:tc>
          <w:tcPr>
            <w:tcW w:type="dxa" w:w="124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HSC31-087</w:t>
            </w:r>
          </w:p>
        </w:tc>
        <w:tc>
          <w:tcPr>
            <w:tcW w:type="dxa" w:w="90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SEC</w:t>
            </w:r>
          </w:p>
        </w:tc>
        <w:tc>
          <w:tcPr>
            <w:tcW w:type="dxa" w:w="113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Factory default password запрещён.</w:t>
            </w:r>
          </w:p>
        </w:tc>
        <w:tc>
          <w:tcPr>
            <w:tcW w:type="dxa" w:w="124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HSC31-088</w:t>
            </w:r>
          </w:p>
        </w:tc>
        <w:tc>
          <w:tcPr>
            <w:tcW w:type="dxa" w:w="90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SEC</w:t>
            </w:r>
          </w:p>
        </w:tc>
        <w:tc>
          <w:tcPr>
            <w:tcW w:type="dxa" w:w="11339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Fleet-shared private key запрещён.</w:t>
            </w:r>
          </w:p>
        </w:tc>
        <w:tc>
          <w:tcPr>
            <w:tcW w:type="dxa" w:w="124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HSC31-089</w:t>
            </w:r>
          </w:p>
        </w:tc>
        <w:tc>
          <w:tcPr>
            <w:tcW w:type="dxa" w:w="90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SEC</w:t>
            </w:r>
          </w:p>
        </w:tc>
        <w:tc>
          <w:tcPr>
            <w:tcW w:type="dxa" w:w="113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Device certificate/key должны быть уникальны.</w:t>
            </w:r>
          </w:p>
        </w:tc>
        <w:tc>
          <w:tcPr>
            <w:tcW w:type="dxa" w:w="124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HSC31-090</w:t>
            </w:r>
          </w:p>
        </w:tc>
        <w:tc>
          <w:tcPr>
            <w:tcW w:type="dxa" w:w="90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SEC</w:t>
            </w:r>
          </w:p>
        </w:tc>
        <w:tc>
          <w:tcPr>
            <w:tcW w:type="dxa" w:w="11339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Credentials должны поддерживать rotation/revocation.</w:t>
            </w:r>
          </w:p>
        </w:tc>
        <w:tc>
          <w:tcPr>
            <w:tcW w:type="dxa" w:w="124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HSC31-091</w:t>
            </w:r>
          </w:p>
        </w:tc>
        <w:tc>
          <w:tcPr>
            <w:tcW w:type="dxa" w:w="90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SEC</w:t>
            </w:r>
          </w:p>
        </w:tc>
        <w:tc>
          <w:tcPr>
            <w:tcW w:type="dxa" w:w="113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Signed firmware обязателен для managed custom node.</w:t>
            </w:r>
          </w:p>
        </w:tc>
        <w:tc>
          <w:tcPr>
            <w:tcW w:type="dxa" w:w="124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SHOULD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HSC31-092</w:t>
            </w:r>
          </w:p>
        </w:tc>
        <w:tc>
          <w:tcPr>
            <w:tcW w:type="dxa" w:w="90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SEC</w:t>
            </w:r>
          </w:p>
        </w:tc>
        <w:tc>
          <w:tcPr>
            <w:tcW w:type="dxa" w:w="11339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Update package signature должна проверяться до installation.</w:t>
            </w:r>
          </w:p>
        </w:tc>
        <w:tc>
          <w:tcPr>
            <w:tcW w:type="dxa" w:w="124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HSC31-093</w:t>
            </w:r>
          </w:p>
        </w:tc>
        <w:tc>
          <w:tcPr>
            <w:tcW w:type="dxa" w:w="90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SEC</w:t>
            </w:r>
          </w:p>
        </w:tc>
        <w:tc>
          <w:tcPr>
            <w:tcW w:type="dxa" w:w="113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Downgrade policy должна предотвращать возврат на known-vulnerable firmware unless emergency override audited.</w:t>
            </w:r>
          </w:p>
        </w:tc>
        <w:tc>
          <w:tcPr>
            <w:tcW w:type="dxa" w:w="124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HSC31-094</w:t>
            </w:r>
          </w:p>
        </w:tc>
        <w:tc>
          <w:tcPr>
            <w:tcW w:type="dxa" w:w="90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SEC</w:t>
            </w:r>
          </w:p>
        </w:tc>
        <w:tc>
          <w:tcPr>
            <w:tcW w:type="dxa" w:w="11339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Service account privileges должны быть минимальными.</w:t>
            </w:r>
          </w:p>
        </w:tc>
        <w:tc>
          <w:tcPr>
            <w:tcW w:type="dxa" w:w="124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HSC31-095</w:t>
            </w:r>
          </w:p>
        </w:tc>
        <w:tc>
          <w:tcPr>
            <w:tcW w:type="dxa" w:w="90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SEC</w:t>
            </w:r>
          </w:p>
        </w:tc>
        <w:tc>
          <w:tcPr>
            <w:tcW w:type="dxa" w:w="113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Unused network services должны быть disabled.</w:t>
            </w:r>
          </w:p>
        </w:tc>
        <w:tc>
          <w:tcPr>
            <w:tcW w:type="dxa" w:w="124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HSC31-096</w:t>
            </w:r>
          </w:p>
        </w:tc>
        <w:tc>
          <w:tcPr>
            <w:tcW w:type="dxa" w:w="90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SEC</w:t>
            </w:r>
          </w:p>
        </w:tc>
        <w:tc>
          <w:tcPr>
            <w:tcW w:type="dxa" w:w="11339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Local firewall должен разрешать только необходимые ports.</w:t>
            </w:r>
          </w:p>
        </w:tc>
        <w:tc>
          <w:tcPr>
            <w:tcW w:type="dxa" w:w="124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HSC31-097</w:t>
            </w:r>
          </w:p>
        </w:tc>
        <w:tc>
          <w:tcPr>
            <w:tcW w:type="dxa" w:w="90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SEC</w:t>
            </w:r>
          </w:p>
        </w:tc>
        <w:tc>
          <w:tcPr>
            <w:tcW w:type="dxa" w:w="113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SBOM должен формироваться на release edge runtime/firmware.</w:t>
            </w:r>
          </w:p>
        </w:tc>
        <w:tc>
          <w:tcPr>
            <w:tcW w:type="dxa" w:w="124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HSC31-098</w:t>
            </w:r>
          </w:p>
        </w:tc>
        <w:tc>
          <w:tcPr>
            <w:tcW w:type="dxa" w:w="90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SEC</w:t>
            </w:r>
          </w:p>
        </w:tc>
        <w:tc>
          <w:tcPr>
            <w:tcW w:type="dxa" w:w="11339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Known vulnerabilities должны проходить triage.</w:t>
            </w:r>
          </w:p>
        </w:tc>
        <w:tc>
          <w:tcPr>
            <w:tcW w:type="dxa" w:w="124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SHOULD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HSC31-099</w:t>
            </w:r>
          </w:p>
        </w:tc>
        <w:tc>
          <w:tcPr>
            <w:tcW w:type="dxa" w:w="90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SEC</w:t>
            </w:r>
          </w:p>
        </w:tc>
        <w:tc>
          <w:tcPr>
            <w:tcW w:type="dxa" w:w="113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Remote support session должна иметь time limit and audit.</w:t>
            </w:r>
          </w:p>
        </w:tc>
        <w:tc>
          <w:tcPr>
            <w:tcW w:type="dxa" w:w="124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HSC31-100</w:t>
            </w:r>
          </w:p>
        </w:tc>
        <w:tc>
          <w:tcPr>
            <w:tcW w:type="dxa" w:w="90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SEC</w:t>
            </w:r>
          </w:p>
        </w:tc>
        <w:tc>
          <w:tcPr>
            <w:tcW w:type="dxa" w:w="11339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Sensitive config backup должен быть encrypted/protected.</w:t>
            </w:r>
          </w:p>
        </w:tc>
        <w:tc>
          <w:tcPr>
            <w:tcW w:type="dxa" w:w="124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HSC31-101</w:t>
            </w:r>
          </w:p>
        </w:tc>
        <w:tc>
          <w:tcPr>
            <w:tcW w:type="dxa" w:w="90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OTA</w:t>
            </w:r>
          </w:p>
        </w:tc>
        <w:tc>
          <w:tcPr>
            <w:tcW w:type="dxa" w:w="113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Update rollout должен поддерживать canary group.</w:t>
            </w:r>
          </w:p>
        </w:tc>
        <w:tc>
          <w:tcPr>
            <w:tcW w:type="dxa" w:w="124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HSC31-102</w:t>
            </w:r>
          </w:p>
        </w:tc>
        <w:tc>
          <w:tcPr>
            <w:tcW w:type="dxa" w:w="90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OTA</w:t>
            </w:r>
          </w:p>
        </w:tc>
        <w:tc>
          <w:tcPr>
            <w:tcW w:type="dxa" w:w="11339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Update должен останавливаться при превышении failure threshold.</w:t>
            </w:r>
          </w:p>
        </w:tc>
        <w:tc>
          <w:tcPr>
            <w:tcW w:type="dxa" w:w="124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HSC31-103</w:t>
            </w:r>
          </w:p>
        </w:tc>
        <w:tc>
          <w:tcPr>
            <w:tcW w:type="dxa" w:w="90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OTA</w:t>
            </w:r>
          </w:p>
        </w:tc>
        <w:tc>
          <w:tcPr>
            <w:tcW w:type="dxa" w:w="113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Устройство должно сообщать current/target version.</w:t>
            </w:r>
          </w:p>
        </w:tc>
        <w:tc>
          <w:tcPr>
            <w:tcW w:type="dxa" w:w="124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HSC31-104</w:t>
            </w:r>
          </w:p>
        </w:tc>
        <w:tc>
          <w:tcPr>
            <w:tcW w:type="dxa" w:w="90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OTA</w:t>
            </w:r>
          </w:p>
        </w:tc>
        <w:tc>
          <w:tcPr>
            <w:tcW w:type="dxa" w:w="11339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Неуспешное обновление не должно оставлять устройство permanently bricked при поддерживаемом hardware profile.</w:t>
            </w:r>
          </w:p>
        </w:tc>
        <w:tc>
          <w:tcPr>
            <w:tcW w:type="dxa" w:w="124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HSC31-105</w:t>
            </w:r>
          </w:p>
        </w:tc>
        <w:tc>
          <w:tcPr>
            <w:tcW w:type="dxa" w:w="90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OTA</w:t>
            </w:r>
          </w:p>
        </w:tc>
        <w:tc>
          <w:tcPr>
            <w:tcW w:type="dxa" w:w="113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Rollback должен быть доступен для critical edge runtime.</w:t>
            </w:r>
          </w:p>
        </w:tc>
        <w:tc>
          <w:tcPr>
            <w:tcW w:type="dxa" w:w="124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SHOULD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HSC31-106</w:t>
            </w:r>
          </w:p>
        </w:tc>
        <w:tc>
          <w:tcPr>
            <w:tcW w:type="dxa" w:w="90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OTA</w:t>
            </w:r>
          </w:p>
        </w:tc>
        <w:tc>
          <w:tcPr>
            <w:tcW w:type="dxa" w:w="11339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Config migration должна быть versioned.</w:t>
            </w:r>
          </w:p>
        </w:tc>
        <w:tc>
          <w:tcPr>
            <w:tcW w:type="dxa" w:w="124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HSC31-107</w:t>
            </w:r>
          </w:p>
        </w:tc>
        <w:tc>
          <w:tcPr>
            <w:tcW w:type="dxa" w:w="90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OTA</w:t>
            </w:r>
          </w:p>
        </w:tc>
        <w:tc>
          <w:tcPr>
            <w:tcW w:type="dxa" w:w="113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Local Server должен уметь раздавать update artifacts локально.</w:t>
            </w:r>
          </w:p>
        </w:tc>
        <w:tc>
          <w:tcPr>
            <w:tcW w:type="dxa" w:w="124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HSC31-108</w:t>
            </w:r>
          </w:p>
        </w:tc>
        <w:tc>
          <w:tcPr>
            <w:tcW w:type="dxa" w:w="90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OTA</w:t>
            </w:r>
          </w:p>
        </w:tc>
        <w:tc>
          <w:tcPr>
            <w:tcW w:type="dxa" w:w="11339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Update event и результат должны попадать в audit/health history.</w:t>
            </w:r>
          </w:p>
        </w:tc>
        <w:tc>
          <w:tcPr>
            <w:tcW w:type="dxa" w:w="124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HSC31-109</w:t>
            </w:r>
          </w:p>
        </w:tc>
        <w:tc>
          <w:tcPr>
            <w:tcW w:type="dxa" w:w="90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OBS</w:t>
            </w:r>
          </w:p>
        </w:tc>
        <w:tc>
          <w:tcPr>
            <w:tcW w:type="dxa" w:w="113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Node online/offline health должен рассчитываться отдельно от signal health.</w:t>
            </w:r>
          </w:p>
        </w:tc>
        <w:tc>
          <w:tcPr>
            <w:tcW w:type="dxa" w:w="124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HSC31-110</w:t>
            </w:r>
          </w:p>
        </w:tc>
        <w:tc>
          <w:tcPr>
            <w:tcW w:type="dxa" w:w="90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OBS</w:t>
            </w:r>
          </w:p>
        </w:tc>
        <w:tc>
          <w:tcPr>
            <w:tcW w:type="dxa" w:w="11339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Signal STALE threshold должен быть configurable.</w:t>
            </w:r>
          </w:p>
        </w:tc>
        <w:tc>
          <w:tcPr>
            <w:tcW w:type="dxa" w:w="124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HSC31-111</w:t>
            </w:r>
          </w:p>
        </w:tc>
        <w:tc>
          <w:tcPr>
            <w:tcW w:type="dxa" w:w="90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OBS</w:t>
            </w:r>
          </w:p>
        </w:tc>
        <w:tc>
          <w:tcPr>
            <w:tcW w:type="dxa" w:w="113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Poll timeout/error counters должны собираться.</w:t>
            </w:r>
          </w:p>
        </w:tc>
        <w:tc>
          <w:tcPr>
            <w:tcW w:type="dxa" w:w="124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HSC31-112</w:t>
            </w:r>
          </w:p>
        </w:tc>
        <w:tc>
          <w:tcPr>
            <w:tcW w:type="dxa" w:w="90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OBS</w:t>
            </w:r>
          </w:p>
        </w:tc>
        <w:tc>
          <w:tcPr>
            <w:tcW w:type="dxa" w:w="11339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Queue depth и oldest message age должны мониториться.</w:t>
            </w:r>
          </w:p>
        </w:tc>
        <w:tc>
          <w:tcPr>
            <w:tcW w:type="dxa" w:w="124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SHOULD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HSC31-113</w:t>
            </w:r>
          </w:p>
        </w:tc>
        <w:tc>
          <w:tcPr>
            <w:tcW w:type="dxa" w:w="90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OBS</w:t>
            </w:r>
          </w:p>
        </w:tc>
        <w:tc>
          <w:tcPr>
            <w:tcW w:type="dxa" w:w="113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Clock offset/quality должны мониториться.</w:t>
            </w:r>
          </w:p>
        </w:tc>
        <w:tc>
          <w:tcPr>
            <w:tcW w:type="dxa" w:w="124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HSC31-114</w:t>
            </w:r>
          </w:p>
        </w:tc>
        <w:tc>
          <w:tcPr>
            <w:tcW w:type="dxa" w:w="90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OBS</w:t>
            </w:r>
          </w:p>
        </w:tc>
        <w:tc>
          <w:tcPr>
            <w:tcW w:type="dxa" w:w="11339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CPU/RAM/storage pressure должны мониториться на Linux gateway.</w:t>
            </w:r>
          </w:p>
        </w:tc>
        <w:tc>
          <w:tcPr>
            <w:tcW w:type="dxa" w:w="124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HSC31-115</w:t>
            </w:r>
          </w:p>
        </w:tc>
        <w:tc>
          <w:tcPr>
            <w:tcW w:type="dxa" w:w="90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OBS</w:t>
            </w:r>
          </w:p>
        </w:tc>
        <w:tc>
          <w:tcPr>
            <w:tcW w:type="dxa" w:w="113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Device temperature должна мониториться если доступна.</w:t>
            </w:r>
          </w:p>
        </w:tc>
        <w:tc>
          <w:tcPr>
            <w:tcW w:type="dxa" w:w="124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HSC31-116</w:t>
            </w:r>
          </w:p>
        </w:tc>
        <w:tc>
          <w:tcPr>
            <w:tcW w:type="dxa" w:w="90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OBS</w:t>
            </w:r>
          </w:p>
        </w:tc>
        <w:tc>
          <w:tcPr>
            <w:tcW w:type="dxa" w:w="11339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Unexpected reboot должен создавать diagnostic event.</w:t>
            </w:r>
          </w:p>
        </w:tc>
        <w:tc>
          <w:tcPr>
            <w:tcW w:type="dxa" w:w="124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HSC31-117</w:t>
            </w:r>
          </w:p>
        </w:tc>
        <w:tc>
          <w:tcPr>
            <w:tcW w:type="dxa" w:w="90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OBS</w:t>
            </w:r>
          </w:p>
        </w:tc>
        <w:tc>
          <w:tcPr>
            <w:tcW w:type="dxa" w:w="113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Configuration mismatch должен создавать MISCONFIGURED status.</w:t>
            </w:r>
          </w:p>
        </w:tc>
        <w:tc>
          <w:tcPr>
            <w:tcW w:type="dxa" w:w="124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HSC31-118</w:t>
            </w:r>
          </w:p>
        </w:tc>
        <w:tc>
          <w:tcPr>
            <w:tcW w:type="dxa" w:w="90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OBS</w:t>
            </w:r>
          </w:p>
        </w:tc>
        <w:tc>
          <w:tcPr>
            <w:tcW w:type="dxa" w:w="11339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Health alert storm должен поддерживать deduplication/rate limiting.</w:t>
            </w:r>
          </w:p>
        </w:tc>
        <w:tc>
          <w:tcPr>
            <w:tcW w:type="dxa" w:w="124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HSC31-119</w:t>
            </w:r>
          </w:p>
        </w:tc>
        <w:tc>
          <w:tcPr>
            <w:tcW w:type="dxa" w:w="90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LIFE</w:t>
            </w:r>
          </w:p>
        </w:tc>
        <w:tc>
          <w:tcPr>
            <w:tcW w:type="dxa" w:w="113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Hardware BOM должен иметь approved manufacturer part numbers or equivalence rules.</w:t>
            </w:r>
          </w:p>
        </w:tc>
        <w:tc>
          <w:tcPr>
            <w:tcW w:type="dxa" w:w="124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SHOULD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HSC31-120</w:t>
            </w:r>
          </w:p>
        </w:tc>
        <w:tc>
          <w:tcPr>
            <w:tcW w:type="dxa" w:w="90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LIFE</w:t>
            </w:r>
          </w:p>
        </w:tc>
        <w:tc>
          <w:tcPr>
            <w:tcW w:type="dxa" w:w="11339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Компоненты должны иметь lifecycle status.</w:t>
            </w:r>
          </w:p>
        </w:tc>
        <w:tc>
          <w:tcPr>
            <w:tcW w:type="dxa" w:w="124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HSC31-121</w:t>
            </w:r>
          </w:p>
        </w:tc>
        <w:tc>
          <w:tcPr>
            <w:tcW w:type="dxa" w:w="90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LIFE</w:t>
            </w:r>
          </w:p>
        </w:tc>
        <w:tc>
          <w:tcPr>
            <w:tcW w:type="dxa" w:w="113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EOL component должен создавать engineering action before stock exhaustion.</w:t>
            </w:r>
          </w:p>
        </w:tc>
        <w:tc>
          <w:tcPr>
            <w:tcW w:type="dxa" w:w="124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HSC31-122</w:t>
            </w:r>
          </w:p>
        </w:tc>
        <w:tc>
          <w:tcPr>
            <w:tcW w:type="dxa" w:w="90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LIFE</w:t>
            </w:r>
          </w:p>
        </w:tc>
        <w:tc>
          <w:tcPr>
            <w:tcW w:type="dxa" w:w="11339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Replacement SKU должен проходить regression tests.</w:t>
            </w:r>
          </w:p>
        </w:tc>
        <w:tc>
          <w:tcPr>
            <w:tcW w:type="dxa" w:w="124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HSC31-123</w:t>
            </w:r>
          </w:p>
        </w:tc>
        <w:tc>
          <w:tcPr>
            <w:tcW w:type="dxa" w:w="90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LIFE</w:t>
            </w:r>
          </w:p>
        </w:tc>
        <w:tc>
          <w:tcPr>
            <w:tcW w:type="dxa" w:w="113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Calibration-required sensor должен иметь due date/profile.</w:t>
            </w:r>
          </w:p>
        </w:tc>
        <w:tc>
          <w:tcPr>
            <w:tcW w:type="dxa" w:w="124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HSC31-124</w:t>
            </w:r>
          </w:p>
        </w:tc>
        <w:tc>
          <w:tcPr>
            <w:tcW w:type="dxa" w:w="90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LIFE</w:t>
            </w:r>
          </w:p>
        </w:tc>
        <w:tc>
          <w:tcPr>
            <w:tcW w:type="dxa" w:w="11339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Spare stock policy должен быть задан для critical classes.</w:t>
            </w:r>
          </w:p>
        </w:tc>
        <w:tc>
          <w:tcPr>
            <w:tcW w:type="dxa" w:w="124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HSC31-125</w:t>
            </w:r>
          </w:p>
        </w:tc>
        <w:tc>
          <w:tcPr>
            <w:tcW w:type="dxa" w:w="90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LIFE</w:t>
            </w:r>
          </w:p>
        </w:tc>
        <w:tc>
          <w:tcPr>
            <w:tcW w:type="dxa" w:w="113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Field replacement должен выполнять logical rebind.</w:t>
            </w:r>
          </w:p>
        </w:tc>
        <w:tc>
          <w:tcPr>
            <w:tcW w:type="dxa" w:w="124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HSC31-126</w:t>
            </w:r>
          </w:p>
        </w:tc>
        <w:tc>
          <w:tcPr>
            <w:tcW w:type="dxa" w:w="90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LIFE</w:t>
            </w:r>
          </w:p>
        </w:tc>
        <w:tc>
          <w:tcPr>
            <w:tcW w:type="dxa" w:w="11339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Retired certificate должен быть revoked.</w:t>
            </w:r>
          </w:p>
        </w:tc>
        <w:tc>
          <w:tcPr>
            <w:tcW w:type="dxa" w:w="124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SHOULD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HSC31-127</w:t>
            </w:r>
          </w:p>
        </w:tc>
        <w:tc>
          <w:tcPr>
            <w:tcW w:type="dxa" w:w="90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LIFE</w:t>
            </w:r>
          </w:p>
        </w:tc>
        <w:tc>
          <w:tcPr>
            <w:tcW w:type="dxa" w:w="113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Decommissioned node должен быть удалён из active fleet inventory.</w:t>
            </w:r>
          </w:p>
        </w:tc>
        <w:tc>
          <w:tcPr>
            <w:tcW w:type="dxa" w:w="124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HSC31-128</w:t>
            </w:r>
          </w:p>
        </w:tc>
        <w:tc>
          <w:tcPr>
            <w:tcW w:type="dxa" w:w="90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LIFE</w:t>
            </w:r>
          </w:p>
        </w:tc>
        <w:tc>
          <w:tcPr>
            <w:tcW w:type="dxa" w:w="11339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Historical evidence должен оставаться queryable после decommission.</w:t>
            </w:r>
          </w:p>
        </w:tc>
        <w:tc>
          <w:tcPr>
            <w:tcW w:type="dxa" w:w="124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HSC31-129</w:t>
            </w:r>
          </w:p>
        </w:tc>
        <w:tc>
          <w:tcPr>
            <w:tcW w:type="dxa" w:w="90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MFG</w:t>
            </w:r>
          </w:p>
        </w:tc>
        <w:tc>
          <w:tcPr>
            <w:tcW w:type="dxa" w:w="113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Custom hardware production batch должен иметь traceable serial numbers.</w:t>
            </w:r>
          </w:p>
        </w:tc>
        <w:tc>
          <w:tcPr>
            <w:tcW w:type="dxa" w:w="124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HSC31-130</w:t>
            </w:r>
          </w:p>
        </w:tc>
        <w:tc>
          <w:tcPr>
            <w:tcW w:type="dxa" w:w="90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MFG</w:t>
            </w:r>
          </w:p>
        </w:tc>
        <w:tc>
          <w:tcPr>
            <w:tcW w:type="dxa" w:w="11339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PCB/firmware/hardware revision должны сохраняться per device.</w:t>
            </w:r>
          </w:p>
        </w:tc>
        <w:tc>
          <w:tcPr>
            <w:tcW w:type="dxa" w:w="124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HSC31-131</w:t>
            </w:r>
          </w:p>
        </w:tc>
        <w:tc>
          <w:tcPr>
            <w:tcW w:type="dxa" w:w="90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MFG</w:t>
            </w:r>
          </w:p>
        </w:tc>
        <w:tc>
          <w:tcPr>
            <w:tcW w:type="dxa" w:w="113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Factory functional test result должен храниться.</w:t>
            </w:r>
          </w:p>
        </w:tc>
        <w:tc>
          <w:tcPr>
            <w:tcW w:type="dxa" w:w="124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HSC31-132</w:t>
            </w:r>
          </w:p>
        </w:tc>
        <w:tc>
          <w:tcPr>
            <w:tcW w:type="dxa" w:w="90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MFG</w:t>
            </w:r>
          </w:p>
        </w:tc>
        <w:tc>
          <w:tcPr>
            <w:tcW w:type="dxa" w:w="11339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MAC/device identifiers должны быть unique.</w:t>
            </w:r>
          </w:p>
        </w:tc>
        <w:tc>
          <w:tcPr>
            <w:tcW w:type="dxa" w:w="124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HSC31-133</w:t>
            </w:r>
          </w:p>
        </w:tc>
        <w:tc>
          <w:tcPr>
            <w:tcW w:type="dxa" w:w="90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MFG</w:t>
            </w:r>
          </w:p>
        </w:tc>
        <w:tc>
          <w:tcPr>
            <w:tcW w:type="dxa" w:w="113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Provisioning secrets не должны выводиться в обычный production log.</w:t>
            </w:r>
          </w:p>
        </w:tc>
        <w:tc>
          <w:tcPr>
            <w:tcW w:type="dxa" w:w="124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SHOULD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HSC31-134</w:t>
            </w:r>
          </w:p>
        </w:tc>
        <w:tc>
          <w:tcPr>
            <w:tcW w:type="dxa" w:w="90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MFG</w:t>
            </w:r>
          </w:p>
        </w:tc>
        <w:tc>
          <w:tcPr>
            <w:tcW w:type="dxa" w:w="11339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Burn-in profile должен определяться для production hardware where economically justified.</w:t>
            </w:r>
          </w:p>
        </w:tc>
        <w:tc>
          <w:tcPr>
            <w:tcW w:type="dxa" w:w="124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HSC31-135</w:t>
            </w:r>
          </w:p>
        </w:tc>
        <w:tc>
          <w:tcPr>
            <w:tcW w:type="dxa" w:w="90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MFG</w:t>
            </w:r>
          </w:p>
        </w:tc>
        <w:tc>
          <w:tcPr>
            <w:tcW w:type="dxa" w:w="113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Golden sample должен храниться для regression/compliance comparison.</w:t>
            </w:r>
          </w:p>
        </w:tc>
        <w:tc>
          <w:tcPr>
            <w:tcW w:type="dxa" w:w="124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HSC31-136</w:t>
            </w:r>
          </w:p>
        </w:tc>
        <w:tc>
          <w:tcPr>
            <w:tcW w:type="dxa" w:w="90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MFG</w:t>
            </w:r>
          </w:p>
        </w:tc>
        <w:tc>
          <w:tcPr>
            <w:tcW w:type="dxa" w:w="11339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Engineering change order должен version hardware/BOM.</w:t>
            </w:r>
          </w:p>
        </w:tc>
        <w:tc>
          <w:tcPr>
            <w:tcW w:type="dxa" w:w="124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HSC31-137</w:t>
            </w:r>
          </w:p>
        </w:tc>
        <w:tc>
          <w:tcPr>
            <w:tcW w:type="dxa" w:w="90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INT</w:t>
            </w:r>
          </w:p>
        </w:tc>
        <w:tc>
          <w:tcPr>
            <w:tcW w:type="dxa" w:w="113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Weight terminal connector должен выдавать raw WeightReading, не складской факт.</w:t>
            </w:r>
          </w:p>
        </w:tc>
        <w:tc>
          <w:tcPr>
            <w:tcW w:type="dxa" w:w="124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HSC31-138</w:t>
            </w:r>
          </w:p>
        </w:tc>
        <w:tc>
          <w:tcPr>
            <w:tcW w:type="dxa" w:w="90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INT</w:t>
            </w:r>
          </w:p>
        </w:tc>
        <w:tc>
          <w:tcPr>
            <w:tcW w:type="dxa" w:w="11339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GPS connector должен выдавать position evidence, не automatic task completion.</w:t>
            </w:r>
          </w:p>
        </w:tc>
        <w:tc>
          <w:tcPr>
            <w:tcW w:type="dxa" w:w="124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HSC31-139</w:t>
            </w:r>
          </w:p>
        </w:tc>
        <w:tc>
          <w:tcPr>
            <w:tcW w:type="dxa" w:w="90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INT</w:t>
            </w:r>
          </w:p>
        </w:tc>
        <w:tc>
          <w:tcPr>
            <w:tcW w:type="dxa" w:w="113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Fuel sensor jump должен создавать anomaly evidence, не stock movement.</w:t>
            </w:r>
          </w:p>
        </w:tc>
        <w:tc>
          <w:tcPr>
            <w:tcW w:type="dxa" w:w="124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HSC31-140</w:t>
            </w:r>
          </w:p>
        </w:tc>
        <w:tc>
          <w:tcPr>
            <w:tcW w:type="dxa" w:w="90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INT</w:t>
            </w:r>
          </w:p>
        </w:tc>
        <w:tc>
          <w:tcPr>
            <w:tcW w:type="dxa" w:w="11339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Production counter должен выдавать count evidence, не ProductionOutput напрямую.</w:t>
            </w:r>
          </w:p>
        </w:tc>
        <w:tc>
          <w:tcPr>
            <w:tcW w:type="dxa" w:w="124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SHOULD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HSC31-141</w:t>
            </w:r>
          </w:p>
        </w:tc>
        <w:tc>
          <w:tcPr>
            <w:tcW w:type="dxa" w:w="90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INT</w:t>
            </w:r>
          </w:p>
        </w:tc>
        <w:tc>
          <w:tcPr>
            <w:tcW w:type="dxa" w:w="113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IoT connector failure не должен rollback уже committed business transaction.</w:t>
            </w:r>
          </w:p>
        </w:tc>
        <w:tc>
          <w:tcPr>
            <w:tcW w:type="dxa" w:w="124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HSC31-142</w:t>
            </w:r>
          </w:p>
        </w:tc>
        <w:tc>
          <w:tcPr>
            <w:tcW w:type="dxa" w:w="90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INT</w:t>
            </w:r>
          </w:p>
        </w:tc>
        <w:tc>
          <w:tcPr>
            <w:tcW w:type="dxa" w:w="11339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External hardware timestamp должен сохраняться отдельно от server receipt time.</w:t>
            </w:r>
          </w:p>
        </w:tc>
        <w:tc>
          <w:tcPr>
            <w:tcW w:type="dxa" w:w="124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HSC31-143</w:t>
            </w:r>
          </w:p>
        </w:tc>
        <w:tc>
          <w:tcPr>
            <w:tcW w:type="dxa" w:w="90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INT</w:t>
            </w:r>
          </w:p>
        </w:tc>
        <w:tc>
          <w:tcPr>
            <w:tcW w:type="dxa" w:w="113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Unsupported protocol должен подключаться через adapter boundary, не domain hack.</w:t>
            </w:r>
          </w:p>
        </w:tc>
        <w:tc>
          <w:tcPr>
            <w:tcW w:type="dxa" w:w="124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HSC31-144</w:t>
            </w:r>
          </w:p>
        </w:tc>
        <w:tc>
          <w:tcPr>
            <w:tcW w:type="dxa" w:w="90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INT</w:t>
            </w:r>
          </w:p>
        </w:tc>
        <w:tc>
          <w:tcPr>
            <w:tcW w:type="dxa" w:w="11339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Hardware integration API должна быть versioned.</w:t>
            </w:r>
          </w:p>
        </w:tc>
        <w:tc>
          <w:tcPr>
            <w:tcW w:type="dxa" w:w="124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HSC31-145</w:t>
            </w:r>
          </w:p>
        </w:tc>
        <w:tc>
          <w:tcPr>
            <w:tcW w:type="dxa" w:w="90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SVC</w:t>
            </w:r>
          </w:p>
        </w:tc>
        <w:tc>
          <w:tcPr>
            <w:tcW w:type="dxa" w:w="113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Commissioning должен иметь checklist и sign-off.</w:t>
            </w:r>
          </w:p>
        </w:tc>
        <w:tc>
          <w:tcPr>
            <w:tcW w:type="dxa" w:w="124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HSC31-146</w:t>
            </w:r>
          </w:p>
        </w:tc>
        <w:tc>
          <w:tcPr>
            <w:tcW w:type="dxa" w:w="90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SVC</w:t>
            </w:r>
          </w:p>
        </w:tc>
        <w:tc>
          <w:tcPr>
            <w:tcW w:type="dxa" w:w="11339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Wiring diagram должен быть доступен технику на площадке.</w:t>
            </w:r>
          </w:p>
        </w:tc>
        <w:tc>
          <w:tcPr>
            <w:tcW w:type="dxa" w:w="124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HSC31-147</w:t>
            </w:r>
          </w:p>
        </w:tc>
        <w:tc>
          <w:tcPr>
            <w:tcW w:type="dxa" w:w="90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SVC</w:t>
            </w:r>
          </w:p>
        </w:tc>
        <w:tc>
          <w:tcPr>
            <w:tcW w:type="dxa" w:w="113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Shadow mode обязателен перед activation новых inference mappings, если signal влияет на production KPI.</w:t>
            </w:r>
          </w:p>
        </w:tc>
        <w:tc>
          <w:tcPr>
            <w:tcW w:type="dxa" w:w="124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SHOULD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HSC31-148</w:t>
            </w:r>
          </w:p>
        </w:tc>
        <w:tc>
          <w:tcPr>
            <w:tcW w:type="dxa" w:w="90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SVC</w:t>
            </w:r>
          </w:p>
        </w:tc>
        <w:tc>
          <w:tcPr>
            <w:tcW w:type="dxa" w:w="11339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Calibration result должен быть auditable.</w:t>
            </w:r>
          </w:p>
        </w:tc>
        <w:tc>
          <w:tcPr>
            <w:tcW w:type="dxa" w:w="124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HSC31-149</w:t>
            </w:r>
          </w:p>
        </w:tc>
        <w:tc>
          <w:tcPr>
            <w:tcW w:type="dxa" w:w="90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SVC</w:t>
            </w:r>
          </w:p>
        </w:tc>
        <w:tc>
          <w:tcPr>
            <w:tcW w:type="dxa" w:w="113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Field service action должен фиксировать исполнителя и reason.</w:t>
            </w:r>
          </w:p>
        </w:tc>
        <w:tc>
          <w:tcPr>
            <w:tcW w:type="dxa" w:w="124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HSC31-150</w:t>
            </w:r>
          </w:p>
        </w:tc>
        <w:tc>
          <w:tcPr>
            <w:tcW w:type="dxa" w:w="90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SVC</w:t>
            </w:r>
          </w:p>
        </w:tc>
        <w:tc>
          <w:tcPr>
            <w:tcW w:type="dxa" w:w="11339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Remote diagnostic action должен фиксироваться.</w:t>
            </w:r>
          </w:p>
        </w:tc>
        <w:tc>
          <w:tcPr>
            <w:tcW w:type="dxa" w:w="124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HSC31-151</w:t>
            </w:r>
          </w:p>
        </w:tc>
        <w:tc>
          <w:tcPr>
            <w:tcW w:type="dxa" w:w="90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SVC</w:t>
            </w:r>
          </w:p>
        </w:tc>
        <w:tc>
          <w:tcPr>
            <w:tcW w:type="dxa" w:w="113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Node replacement должен подтверждать restored signal health.</w:t>
            </w:r>
          </w:p>
        </w:tc>
        <w:tc>
          <w:tcPr>
            <w:tcW w:type="dxa" w:w="124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HSC31-152</w:t>
            </w:r>
          </w:p>
        </w:tc>
        <w:tc>
          <w:tcPr>
            <w:tcW w:type="dxa" w:w="90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SVC</w:t>
            </w:r>
          </w:p>
        </w:tc>
        <w:tc>
          <w:tcPr>
            <w:tcW w:type="dxa" w:w="11339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Manual fallback instructions должны быть доступны operator/supervisor.</w:t>
            </w:r>
          </w:p>
        </w:tc>
        <w:tc>
          <w:tcPr>
            <w:tcW w:type="dxa" w:w="124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HSC31-153</w:t>
            </w:r>
          </w:p>
        </w:tc>
        <w:tc>
          <w:tcPr>
            <w:tcW w:type="dxa" w:w="90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COMP</w:t>
            </w:r>
          </w:p>
        </w:tc>
        <w:tc>
          <w:tcPr>
            <w:tcW w:type="dxa" w:w="113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Перед серийным выпуском custom device должен иметь compliance applicability assessment.</w:t>
            </w:r>
          </w:p>
        </w:tc>
        <w:tc>
          <w:tcPr>
            <w:tcW w:type="dxa" w:w="124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HSC31-154</w:t>
            </w:r>
          </w:p>
        </w:tc>
        <w:tc>
          <w:tcPr>
            <w:tcW w:type="dxa" w:w="90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COMP</w:t>
            </w:r>
          </w:p>
        </w:tc>
        <w:tc>
          <w:tcPr>
            <w:tcW w:type="dxa" w:w="11339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Applicable EMC tests должны согласовываться с типом изделия и средой.</w:t>
            </w:r>
          </w:p>
        </w:tc>
        <w:tc>
          <w:tcPr>
            <w:tcW w:type="dxa" w:w="124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SHOULD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HSC31-155</w:t>
            </w:r>
          </w:p>
        </w:tc>
        <w:tc>
          <w:tcPr>
            <w:tcW w:type="dxa" w:w="90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COMP</w:t>
            </w:r>
          </w:p>
        </w:tc>
        <w:tc>
          <w:tcPr>
            <w:tcW w:type="dxa" w:w="113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Electrical safety scope должен оцениваться по реальному питанию/назначению.</w:t>
            </w:r>
          </w:p>
        </w:tc>
        <w:tc>
          <w:tcPr>
            <w:tcW w:type="dxa" w:w="124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HSC31-156</w:t>
            </w:r>
          </w:p>
        </w:tc>
        <w:tc>
          <w:tcPr>
            <w:tcW w:type="dxa" w:w="90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COMP</w:t>
            </w:r>
          </w:p>
        </w:tc>
        <w:tc>
          <w:tcPr>
            <w:tcW w:type="dxa" w:w="11339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Radio variant должен иметь отдельную regulatory assessment.</w:t>
            </w:r>
          </w:p>
        </w:tc>
        <w:tc>
          <w:tcPr>
            <w:tcW w:type="dxa" w:w="124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HSC31-157</w:t>
            </w:r>
          </w:p>
        </w:tc>
        <w:tc>
          <w:tcPr>
            <w:tcW w:type="dxa" w:w="90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COMP</w:t>
            </w:r>
          </w:p>
        </w:tc>
        <w:tc>
          <w:tcPr>
            <w:tcW w:type="dxa" w:w="113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Маркировка/документация должны соответствовать applicable conformity scheme.</w:t>
            </w:r>
          </w:p>
        </w:tc>
        <w:tc>
          <w:tcPr>
            <w:tcW w:type="dxa" w:w="124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HSC31-158</w:t>
            </w:r>
          </w:p>
        </w:tc>
        <w:tc>
          <w:tcPr>
            <w:tcW w:type="dxa" w:w="90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COMP</w:t>
            </w:r>
          </w:p>
        </w:tc>
        <w:tc>
          <w:tcPr>
            <w:tcW w:type="dxa" w:w="11339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Изменение critical BOM component должно оцениваться на влияние на compliance.</w:t>
            </w:r>
          </w:p>
        </w:tc>
        <w:tc>
          <w:tcPr>
            <w:tcW w:type="dxa" w:w="124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HSC31-159</w:t>
            </w:r>
          </w:p>
        </w:tc>
        <w:tc>
          <w:tcPr>
            <w:tcW w:type="dxa" w:w="90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COMP</w:t>
            </w:r>
          </w:p>
        </w:tc>
        <w:tc>
          <w:tcPr>
            <w:tcW w:type="dxa" w:w="1133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Pre-compliance testing не заменяет требуемую formal conformity assessment.</w:t>
            </w:r>
          </w:p>
        </w:tc>
        <w:tc>
          <w:tcPr>
            <w:tcW w:type="dxa" w:w="124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/>
        </w:rPr>
        <w:t>26. Acceptance / Hardware Validation Registry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1"/>
        <w:gridCol w:w="4751"/>
        <w:gridCol w:w="4751"/>
      </w:tblGrid>
      <w:tr>
        <w:trPr>
          <w:tblHeader w:val="true"/>
          <w:cantSplit/>
        </w:trPr>
        <w:tc>
          <w:tcPr>
            <w:tcW w:type="dxa" w:w="1417"/>
            <w:shd w:fill="163A5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3"/>
              </w:rPr>
              <w:t>ID</w:t>
            </w:r>
          </w:p>
        </w:tc>
        <w:tc>
          <w:tcPr>
            <w:tcW w:type="dxa" w:w="2381"/>
            <w:shd w:fill="163A5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3"/>
              </w:rPr>
              <w:t>Тема</w:t>
            </w:r>
          </w:p>
        </w:tc>
        <w:tc>
          <w:tcPr>
            <w:tcW w:type="dxa" w:w="10772"/>
            <w:shd w:fill="163A5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3"/>
              </w:rPr>
              <w:t>Проверка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AT31-001</w:t>
            </w:r>
          </w:p>
        </w:tc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Software-only</w:t>
            </w:r>
          </w:p>
        </w:tc>
        <w:tc>
          <w:tcPr>
            <w:tcW w:type="dxa" w:w="1077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Удалить все IoT bindings; critical workflows остаются работоспособны.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AT31-002</w:t>
            </w:r>
          </w:p>
        </w:tc>
        <w:tc>
          <w:tcPr>
            <w:tcW w:type="dxa" w:w="2381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LOCAL_PRIMARY</w:t>
            </w:r>
          </w:p>
        </w:tc>
        <w:tc>
          <w:tcPr>
            <w:tcW w:type="dxa" w:w="10772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Отключить cloud; local writes продолжаются.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AT31-003</w:t>
            </w:r>
          </w:p>
        </w:tc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No direct fact</w:t>
            </w:r>
          </w:p>
        </w:tc>
        <w:tc>
          <w:tcPr>
            <w:tcW w:type="dxa" w:w="1077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Подать sensor pulse; ProductionOutput напрямую не создаётся.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AT31-004</w:t>
            </w:r>
          </w:p>
        </w:tc>
        <w:tc>
          <w:tcPr>
            <w:tcW w:type="dxa" w:w="2381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Read-only PLC</w:t>
            </w:r>
          </w:p>
        </w:tc>
        <w:tc>
          <w:tcPr>
            <w:tcW w:type="dxa" w:w="10772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Попытка Modbus write в V1 отклоняется/не реализована.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AT31-005</w:t>
            </w:r>
          </w:p>
        </w:tc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Safety independence</w:t>
            </w:r>
          </w:p>
        </w:tc>
        <w:tc>
          <w:tcPr>
            <w:tcW w:type="dxa" w:w="1077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Остановить платформу; hardware safety chain продолжает локальную работу.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AT31-006</w:t>
            </w:r>
          </w:p>
        </w:tc>
        <w:tc>
          <w:tcPr>
            <w:tcW w:type="dxa" w:w="2381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RS485 reconnect</w:t>
            </w:r>
          </w:p>
        </w:tc>
        <w:tc>
          <w:tcPr>
            <w:tcW w:type="dxa" w:w="10772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Разорвать RS485 и восстановить; driver reconnects без reboot node.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AT31-007</w:t>
            </w:r>
          </w:p>
        </w:tc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RS485 timeout</w:t>
            </w:r>
          </w:p>
        </w:tc>
        <w:tc>
          <w:tcPr>
            <w:tcW w:type="dxa" w:w="1077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Неотвечающее устройство не блокирует другие drivers.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AT31-008</w:t>
            </w:r>
          </w:p>
        </w:tc>
        <w:tc>
          <w:tcPr>
            <w:tcW w:type="dxa" w:w="2381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Modbus allowlist</w:t>
            </w:r>
          </w:p>
        </w:tc>
        <w:tc>
          <w:tcPr>
            <w:tcW w:type="dxa" w:w="10772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Запрос вне разрешённых registers/functions отклонён.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AT31-009</w:t>
            </w:r>
          </w:p>
        </w:tc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Modbus rate</w:t>
            </w:r>
          </w:p>
        </w:tc>
        <w:tc>
          <w:tcPr>
            <w:tcW w:type="dxa" w:w="1077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Polling не превышает configured rate.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AT31-010</w:t>
            </w:r>
          </w:p>
        </w:tc>
        <w:tc>
          <w:tcPr>
            <w:tcW w:type="dxa" w:w="2381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OPC UA cert</w:t>
            </w:r>
          </w:p>
        </w:tc>
        <w:tc>
          <w:tcPr>
            <w:tcW w:type="dxa" w:w="10772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Недоверенный certificate не принимается silent mode.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AT31-011</w:t>
            </w:r>
          </w:p>
        </w:tc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OPC quality</w:t>
            </w:r>
          </w:p>
        </w:tc>
        <w:tc>
          <w:tcPr>
            <w:tcW w:type="dxa" w:w="1077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Bad quality создаёт degraded/low-confidence evidence.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AT31-012</w:t>
            </w:r>
          </w:p>
        </w:tc>
        <w:tc>
          <w:tcPr>
            <w:tcW w:type="dxa" w:w="2381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Digital debounce</w:t>
            </w:r>
          </w:p>
        </w:tc>
        <w:tc>
          <w:tcPr>
            <w:tcW w:type="dxa" w:w="10772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Contact bounce не создаёт серию ложных state changes.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AT31-013</w:t>
            </w:r>
          </w:p>
        </w:tc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NO/NC mapping</w:t>
            </w:r>
          </w:p>
        </w:tc>
        <w:tc>
          <w:tcPr>
            <w:tcW w:type="dxa" w:w="1077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Инверсия input semantics выполняется configuration, не wiring hack.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AT31-014</w:t>
            </w:r>
          </w:p>
        </w:tc>
        <w:tc>
          <w:tcPr>
            <w:tcW w:type="dxa" w:w="2381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Analog open loop</w:t>
            </w:r>
          </w:p>
        </w:tc>
        <w:tc>
          <w:tcPr>
            <w:tcW w:type="dxa" w:w="10772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4–20 mA open/out-of-range выявляется согласно hardware capability.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AT31-015</w:t>
            </w:r>
          </w:p>
        </w:tc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Analog calibration</w:t>
            </w:r>
          </w:p>
        </w:tc>
        <w:tc>
          <w:tcPr>
            <w:tcW w:type="dxa" w:w="1077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Known reference produces value within declared tolerance.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AT31-016</w:t>
            </w:r>
          </w:p>
        </w:tc>
        <w:tc>
          <w:tcPr>
            <w:tcW w:type="dxa" w:w="2381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Counter frequency</w:t>
            </w:r>
          </w:p>
        </w:tc>
        <w:tc>
          <w:tcPr>
            <w:tcW w:type="dxa" w:w="10772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Valid pulse rate counts correctly.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AT31-017</w:t>
            </w:r>
          </w:p>
        </w:tc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Counter spike</w:t>
            </w:r>
          </w:p>
        </w:tc>
        <w:tc>
          <w:tcPr>
            <w:tcW w:type="dxa" w:w="1077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Impossible frequency flagged as DQ issue.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AT31-018</w:t>
            </w:r>
          </w:p>
        </w:tc>
        <w:tc>
          <w:tcPr>
            <w:tcW w:type="dxa" w:w="2381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Counter reset</w:t>
            </w:r>
          </w:p>
        </w:tc>
        <w:tc>
          <w:tcPr>
            <w:tcW w:type="dxa" w:w="10772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Reset не становится negative production.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AT31-019</w:t>
            </w:r>
          </w:p>
        </w:tc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Power loss</w:t>
            </w:r>
          </w:p>
        </w:tc>
        <w:tc>
          <w:tcPr>
            <w:tcW w:type="dxa" w:w="1077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Abrupt power loss не corrupts durable queue.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AT31-020</w:t>
            </w:r>
          </w:p>
        </w:tc>
        <w:tc>
          <w:tcPr>
            <w:tcW w:type="dxa" w:w="2381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Power restore</w:t>
            </w:r>
          </w:p>
        </w:tc>
        <w:tc>
          <w:tcPr>
            <w:tcW w:type="dxa" w:w="10772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Node returns to configured service mode.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AT31-021</w:t>
            </w:r>
          </w:p>
        </w:tc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Watchdog</w:t>
            </w:r>
          </w:p>
        </w:tc>
        <w:tc>
          <w:tcPr>
            <w:tcW w:type="dxa" w:w="1077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Simulated hang triggers watchdog recovery and diagnostic event.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AT31-022</w:t>
            </w:r>
          </w:p>
        </w:tc>
        <w:tc>
          <w:tcPr>
            <w:tcW w:type="dxa" w:w="2381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RTC/NTP</w:t>
            </w:r>
          </w:p>
        </w:tc>
        <w:tc>
          <w:tcPr>
            <w:tcW w:type="dxa" w:w="10772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NTP loss keeps monotonic event ordering with degraded clock quality.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AT31-023</w:t>
            </w:r>
          </w:p>
        </w:tc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Clock drift</w:t>
            </w:r>
          </w:p>
        </w:tc>
        <w:tc>
          <w:tcPr>
            <w:tcW w:type="dxa" w:w="1077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Excessive offset produces warning/confidence reduction.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AT31-024</w:t>
            </w:r>
          </w:p>
        </w:tc>
        <w:tc>
          <w:tcPr>
            <w:tcW w:type="dxa" w:w="2381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Gateway offline</w:t>
            </w:r>
          </w:p>
        </w:tc>
        <w:tc>
          <w:tcPr>
            <w:tcW w:type="dxa" w:w="10772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Local buffer stores messages while server unavailable.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AT31-025</w:t>
            </w:r>
          </w:p>
        </w:tc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Replay</w:t>
            </w:r>
          </w:p>
        </w:tc>
        <w:tc>
          <w:tcPr>
            <w:tcW w:type="dxa" w:w="1077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Reconnect replays buffered messages preserving occurredAt.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AT31-026</w:t>
            </w:r>
          </w:p>
        </w:tc>
        <w:tc>
          <w:tcPr>
            <w:tcW w:type="dxa" w:w="2381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Replay dedupe</w:t>
            </w:r>
          </w:p>
        </w:tc>
        <w:tc>
          <w:tcPr>
            <w:tcW w:type="dxa" w:w="10772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Duplicate replay produces one normalized record/business effect.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AT31-027</w:t>
            </w:r>
          </w:p>
        </w:tc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Buffer pressure</w:t>
            </w:r>
          </w:p>
        </w:tc>
        <w:tc>
          <w:tcPr>
            <w:tcW w:type="dxa" w:w="1077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Queue high-watermark creates alert before overflow.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AT31-028</w:t>
            </w:r>
          </w:p>
        </w:tc>
        <w:tc>
          <w:tcPr>
            <w:tcW w:type="dxa" w:w="2381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Buffer overflow</w:t>
            </w:r>
          </w:p>
        </w:tc>
        <w:tc>
          <w:tcPr>
            <w:tcW w:type="dxa" w:w="10772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Configured drop/block policy is deterministic and observable.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AT31-029</w:t>
            </w:r>
          </w:p>
        </w:tc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MQTT reconnect</w:t>
            </w:r>
          </w:p>
        </w:tc>
        <w:tc>
          <w:tcPr>
            <w:tcW w:type="dxa" w:w="1077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Broker restart recovers session according to profile.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AT31-030</w:t>
            </w:r>
          </w:p>
        </w:tc>
        <w:tc>
          <w:tcPr>
            <w:tcW w:type="dxa" w:w="2381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HTTPS batch</w:t>
            </w:r>
          </w:p>
        </w:tc>
        <w:tc>
          <w:tcPr>
            <w:tcW w:type="dxa" w:w="10772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Retry with idempotency key does not duplicate normalized evidence.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AT31-031</w:t>
            </w:r>
          </w:p>
        </w:tc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LAN isolation</w:t>
            </w:r>
          </w:p>
        </w:tc>
        <w:tc>
          <w:tcPr>
            <w:tcW w:type="dxa" w:w="1077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Edge cannot reach cloud when firewall blocks it but local path works.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AT31-032</w:t>
            </w:r>
          </w:p>
        </w:tc>
        <w:tc>
          <w:tcPr>
            <w:tcW w:type="dxa" w:w="2381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Inbound Internet</w:t>
            </w:r>
          </w:p>
        </w:tc>
        <w:tc>
          <w:tcPr>
            <w:tcW w:type="dxa" w:w="10772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External inbound scan finds no required public service.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AT31-033</w:t>
            </w:r>
          </w:p>
        </w:tc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VLAN rule</w:t>
            </w:r>
          </w:p>
        </w:tc>
        <w:tc>
          <w:tcPr>
            <w:tcW w:type="dxa" w:w="1077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Office client cannot connect directly to PLC segment per baseline policy.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AT31-034</w:t>
            </w:r>
          </w:p>
        </w:tc>
        <w:tc>
          <w:tcPr>
            <w:tcW w:type="dxa" w:w="2381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Device identity</w:t>
            </w:r>
          </w:p>
        </w:tc>
        <w:tc>
          <w:tcPr>
            <w:tcW w:type="dxa" w:w="10772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Two nodes cannot share same active certificate/device id.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AT31-035</w:t>
            </w:r>
          </w:p>
        </w:tc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Revocation</w:t>
            </w:r>
          </w:p>
        </w:tc>
        <w:tc>
          <w:tcPr>
            <w:tcW w:type="dxa" w:w="1077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Revoked device cannot authenticate after revocation propagation.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AT31-036</w:t>
            </w:r>
          </w:p>
        </w:tc>
        <w:tc>
          <w:tcPr>
            <w:tcW w:type="dxa" w:w="2381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Cert rotation</w:t>
            </w:r>
          </w:p>
        </w:tc>
        <w:tc>
          <w:tcPr>
            <w:tcW w:type="dxa" w:w="10772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Certificate rotated without loss of logical signal identity.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AT31-037</w:t>
            </w:r>
          </w:p>
        </w:tc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Default password</w:t>
            </w:r>
          </w:p>
        </w:tc>
        <w:tc>
          <w:tcPr>
            <w:tcW w:type="dxa" w:w="1077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Factory image contains no usable universal default password.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AT31-038</w:t>
            </w:r>
          </w:p>
        </w:tc>
        <w:tc>
          <w:tcPr>
            <w:tcW w:type="dxa" w:w="2381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Signed firmware</w:t>
            </w:r>
          </w:p>
        </w:tc>
        <w:tc>
          <w:tcPr>
            <w:tcW w:type="dxa" w:w="10772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Tampered image rejected.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AT31-039</w:t>
            </w:r>
          </w:p>
        </w:tc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Rollback</w:t>
            </w:r>
          </w:p>
        </w:tc>
        <w:tc>
          <w:tcPr>
            <w:tcW w:type="dxa" w:w="1077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Failed update restores previous working release where profile supports rollback.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AT31-040</w:t>
            </w:r>
          </w:p>
        </w:tc>
        <w:tc>
          <w:tcPr>
            <w:tcW w:type="dxa" w:w="2381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Canary</w:t>
            </w:r>
          </w:p>
        </w:tc>
        <w:tc>
          <w:tcPr>
            <w:tcW w:type="dxa" w:w="10772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Rollout can target subset before full fleet.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AT31-041</w:t>
            </w:r>
          </w:p>
        </w:tc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Failure threshold</w:t>
            </w:r>
          </w:p>
        </w:tc>
        <w:tc>
          <w:tcPr>
            <w:tcW w:type="dxa" w:w="1077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Fleet rollout pauses when failure threshold exceeded.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AT31-042</w:t>
            </w:r>
          </w:p>
        </w:tc>
        <w:tc>
          <w:tcPr>
            <w:tcW w:type="dxa" w:w="2381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Offline update</w:t>
            </w:r>
          </w:p>
        </w:tc>
        <w:tc>
          <w:tcPr>
            <w:tcW w:type="dxa" w:w="10772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Update artifact can be served from Local Server without Internet.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AT31-043</w:t>
            </w:r>
          </w:p>
        </w:tc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Config rollback</w:t>
            </w:r>
          </w:p>
        </w:tc>
        <w:tc>
          <w:tcPr>
            <w:tcW w:type="dxa" w:w="1077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Bad mapping can revert to previous revision.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AT31-044</w:t>
            </w:r>
          </w:p>
        </w:tc>
        <w:tc>
          <w:tcPr>
            <w:tcW w:type="dxa" w:w="2381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Shadow mode</w:t>
            </w:r>
          </w:p>
        </w:tc>
        <w:tc>
          <w:tcPr>
            <w:tcW w:type="dxa" w:w="10772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Shadow signal does not influence authoritative derived state.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AT31-045</w:t>
            </w:r>
          </w:p>
        </w:tc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Activation</w:t>
            </w:r>
          </w:p>
        </w:tc>
        <w:tc>
          <w:tcPr>
            <w:tcW w:type="dxa" w:w="1077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Approved mapping becomes active with audit event.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AT31-046</w:t>
            </w:r>
          </w:p>
        </w:tc>
        <w:tc>
          <w:tcPr>
            <w:tcW w:type="dxa" w:w="2381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Device replacement</w:t>
            </w:r>
          </w:p>
        </w:tc>
        <w:tc>
          <w:tcPr>
            <w:tcW w:type="dxa" w:w="10772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New physical node rebinds stable SignalDefinition.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AT31-047</w:t>
            </w:r>
          </w:p>
        </w:tc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Decommission</w:t>
            </w:r>
          </w:p>
        </w:tc>
        <w:tc>
          <w:tcPr>
            <w:tcW w:type="dxa" w:w="1077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Device disabled/revoked while history remains queryable.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AT31-048</w:t>
            </w:r>
          </w:p>
        </w:tc>
        <w:tc>
          <w:tcPr>
            <w:tcW w:type="dxa" w:w="2381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Health node</w:t>
            </w:r>
          </w:p>
        </w:tc>
        <w:tc>
          <w:tcPr>
            <w:tcW w:type="dxa" w:w="10772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Node offline distinguished from individual signal stale.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AT31-049</w:t>
            </w:r>
          </w:p>
        </w:tc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Signal stale</w:t>
            </w:r>
          </w:p>
        </w:tc>
        <w:tc>
          <w:tcPr>
            <w:tcW w:type="dxa" w:w="1077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Stopped telemetry changes signal health to STALE.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AT31-050</w:t>
            </w:r>
          </w:p>
        </w:tc>
        <w:tc>
          <w:tcPr>
            <w:tcW w:type="dxa" w:w="2381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Misconfiguration</w:t>
            </w:r>
          </w:p>
        </w:tc>
        <w:tc>
          <w:tcPr>
            <w:tcW w:type="dxa" w:w="10772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Invalid mapping creates MISCONFIGURED state.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AT31-051</w:t>
            </w:r>
          </w:p>
        </w:tc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Disk pressure</w:t>
            </w:r>
          </w:p>
        </w:tc>
        <w:tc>
          <w:tcPr>
            <w:tcW w:type="dxa" w:w="1077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Local Server/edge storage threshold triggers alert.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AT31-052</w:t>
            </w:r>
          </w:p>
        </w:tc>
        <w:tc>
          <w:tcPr>
            <w:tcW w:type="dxa" w:w="2381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UPS</w:t>
            </w:r>
          </w:p>
        </w:tc>
        <w:tc>
          <w:tcPr>
            <w:tcW w:type="dxa" w:w="10772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UPS low battery triggers configured warning/shutdown workflow.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AT31-053</w:t>
            </w:r>
          </w:p>
        </w:tc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Server reboot</w:t>
            </w:r>
          </w:p>
        </w:tc>
        <w:tc>
          <w:tcPr>
            <w:tcW w:type="dxa" w:w="1077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Local services recover and queues resume after restart.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AT31-054</w:t>
            </w:r>
          </w:p>
        </w:tc>
        <w:tc>
          <w:tcPr>
            <w:tcW w:type="dxa" w:w="2381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WAN outage</w:t>
            </w:r>
          </w:p>
        </w:tc>
        <w:tc>
          <w:tcPr>
            <w:tcW w:type="dxa" w:w="10772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Production/warehouse/mobile LAN workflow remains available.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AT31-055</w:t>
            </w:r>
          </w:p>
        </w:tc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LoRa offline</w:t>
            </w:r>
          </w:p>
        </w:tc>
        <w:tc>
          <w:tcPr>
            <w:tcW w:type="dxa" w:w="1077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Loss of radio coverage produces stale, not zero readings.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AT31-056</w:t>
            </w:r>
          </w:p>
        </w:tc>
        <w:tc>
          <w:tcPr>
            <w:tcW w:type="dxa" w:w="2381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LoRa identity</w:t>
            </w:r>
          </w:p>
        </w:tc>
        <w:tc>
          <w:tcPr>
            <w:tcW w:type="dxa" w:w="10772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Keys/device identifiers unique in test fleet.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AT31-057</w:t>
            </w:r>
          </w:p>
        </w:tc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Current sensor</w:t>
            </w:r>
          </w:p>
        </w:tc>
        <w:tc>
          <w:tcPr>
            <w:tcW w:type="dxa" w:w="1077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Calibrated thresholds distinguish expected RUN/IDLE/STOP profile.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AT31-058</w:t>
            </w:r>
          </w:p>
        </w:tc>
        <w:tc>
          <w:tcPr>
            <w:tcW w:type="dxa" w:w="2381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Photoeye</w:t>
            </w:r>
          </w:p>
        </w:tc>
        <w:tc>
          <w:tcPr>
            <w:tcW w:type="dxa" w:w="10772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Known object count matches counter within defined tolerance.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AT31-059</w:t>
            </w:r>
          </w:p>
        </w:tc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Weight terminal</w:t>
            </w:r>
          </w:p>
        </w:tc>
        <w:tc>
          <w:tcPr>
            <w:tcW w:type="dxa" w:w="1077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Raw reading enters weighing workflow only.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AT31-060</w:t>
            </w:r>
          </w:p>
        </w:tc>
        <w:tc>
          <w:tcPr>
            <w:tcW w:type="dxa" w:w="2381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GPS</w:t>
            </w:r>
          </w:p>
        </w:tc>
        <w:tc>
          <w:tcPr>
            <w:tcW w:type="dxa" w:w="10772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GPS evidence never directly completes business task.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AT31-061</w:t>
            </w:r>
          </w:p>
        </w:tc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Fuel jump</w:t>
            </w:r>
          </w:p>
        </w:tc>
        <w:tc>
          <w:tcPr>
            <w:tcW w:type="dxa" w:w="1077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Sudden level jump creates anomaly, not warehouse movement.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AT31-062</w:t>
            </w:r>
          </w:p>
        </w:tc>
        <w:tc>
          <w:tcPr>
            <w:tcW w:type="dxa" w:w="2381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PLC alarm</w:t>
            </w:r>
          </w:p>
        </w:tc>
        <w:tc>
          <w:tcPr>
            <w:tcW w:type="dxa" w:w="10772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Alarm while machine produces does not create downtime.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AT31-063</w:t>
            </w:r>
          </w:p>
        </w:tc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Conflicting evidence</w:t>
            </w:r>
          </w:p>
        </w:tc>
        <w:tc>
          <w:tcPr>
            <w:tcW w:type="dxa" w:w="1077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PLC/current/counter conflict reduces confidence or UNKNOWN by rule.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AT31-064</w:t>
            </w:r>
          </w:p>
        </w:tc>
        <w:tc>
          <w:tcPr>
            <w:tcW w:type="dxa" w:w="2381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Manual fallback</w:t>
            </w:r>
          </w:p>
        </w:tc>
        <w:tc>
          <w:tcPr>
            <w:tcW w:type="dxa" w:w="10772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All evidence unavailable -&gt; operator can continue workflow manually.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AT31-065</w:t>
            </w:r>
          </w:p>
        </w:tc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Environmental</w:t>
            </w:r>
          </w:p>
        </w:tc>
        <w:tc>
          <w:tcPr>
            <w:tcW w:type="dxa" w:w="1077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Device operates across declared temperature profile in validation setup.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AT31-066</w:t>
            </w:r>
          </w:p>
        </w:tc>
        <w:tc>
          <w:tcPr>
            <w:tcW w:type="dxa" w:w="2381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Enclosure</w:t>
            </w:r>
          </w:p>
        </w:tc>
        <w:tc>
          <w:tcPr>
            <w:tcW w:type="dxa" w:w="10772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Installed cable entries preserve target environmental protection design.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AT31-067</w:t>
            </w:r>
          </w:p>
        </w:tc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ESD pretest</w:t>
            </w:r>
          </w:p>
        </w:tc>
        <w:tc>
          <w:tcPr>
            <w:tcW w:type="dxa" w:w="1077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Representative ports survive defined pre-compliance ESD plan.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AT31-068</w:t>
            </w:r>
          </w:p>
        </w:tc>
        <w:tc>
          <w:tcPr>
            <w:tcW w:type="dxa" w:w="2381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EFT/surge pretest</w:t>
            </w:r>
          </w:p>
        </w:tc>
        <w:tc>
          <w:tcPr>
            <w:tcW w:type="dxa" w:w="10772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Power/field ports survive applicable pre-compliance transient plan.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AT31-069</w:t>
            </w:r>
          </w:p>
        </w:tc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Reverse polarity</w:t>
            </w:r>
          </w:p>
        </w:tc>
        <w:tc>
          <w:tcPr>
            <w:tcW w:type="dxa" w:w="1077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Protected input survives defined reverse-polarity test where specified.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AT31-070</w:t>
            </w:r>
          </w:p>
        </w:tc>
        <w:tc>
          <w:tcPr>
            <w:tcW w:type="dxa" w:w="2381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Brownout</w:t>
            </w:r>
          </w:p>
        </w:tc>
        <w:tc>
          <w:tcPr>
            <w:tcW w:type="dxa" w:w="10772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Repeated undervoltage cycles do not corrupt persistent config/queue.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AT31-071</w:t>
            </w:r>
          </w:p>
        </w:tc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Service QR</w:t>
            </w:r>
          </w:p>
        </w:tc>
        <w:tc>
          <w:tcPr>
            <w:tcW w:type="dxa" w:w="1077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QR resolves correct node/equipment service context.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AT31-072</w:t>
            </w:r>
          </w:p>
        </w:tc>
        <w:tc>
          <w:tcPr>
            <w:tcW w:type="dxa" w:w="2381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Factory test</w:t>
            </w:r>
          </w:p>
        </w:tc>
        <w:tc>
          <w:tcPr>
            <w:tcW w:type="dxa" w:w="10772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Serial has linked functional-test record.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AT31-073</w:t>
            </w:r>
          </w:p>
        </w:tc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Hardware revision</w:t>
            </w:r>
          </w:p>
        </w:tc>
        <w:tc>
          <w:tcPr>
            <w:tcW w:type="dxa" w:w="1077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Reported HW/FW revision matches inventory.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AT31-074</w:t>
            </w:r>
          </w:p>
        </w:tc>
        <w:tc>
          <w:tcPr>
            <w:tcW w:type="dxa" w:w="2381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SBOM</w:t>
            </w:r>
          </w:p>
        </w:tc>
        <w:tc>
          <w:tcPr>
            <w:tcW w:type="dxa" w:w="10772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Release pipeline produces SBOM artifact.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AT31-075</w:t>
            </w:r>
          </w:p>
        </w:tc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Vulnerability</w:t>
            </w:r>
          </w:p>
        </w:tc>
        <w:tc>
          <w:tcPr>
            <w:tcW w:type="dxa" w:w="1077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Known test CVE follows triage workflow.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AT31-076</w:t>
            </w:r>
          </w:p>
        </w:tc>
        <w:tc>
          <w:tcPr>
            <w:tcW w:type="dxa" w:w="2381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Remote support</w:t>
            </w:r>
          </w:p>
        </w:tc>
        <w:tc>
          <w:tcPr>
            <w:tcW w:type="dxa" w:w="10772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Session is time-bound and audited.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AT31-077</w:t>
            </w:r>
          </w:p>
        </w:tc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Spare replacement</w:t>
            </w:r>
          </w:p>
        </w:tc>
        <w:tc>
          <w:tcPr>
            <w:tcW w:type="dxa" w:w="1077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Spare unit restores signals using documented replacement flow.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AT31-078</w:t>
            </w:r>
          </w:p>
        </w:tc>
        <w:tc>
          <w:tcPr>
            <w:tcW w:type="dxa" w:w="2381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Calibration due</w:t>
            </w:r>
          </w:p>
        </w:tc>
        <w:tc>
          <w:tcPr>
            <w:tcW w:type="dxa" w:w="10772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Expired calibration creates maintenance/data-quality warning.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AT31-079</w:t>
            </w:r>
          </w:p>
        </w:tc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Compliance change</w:t>
            </w:r>
          </w:p>
        </w:tc>
        <w:tc>
          <w:tcPr>
            <w:tcW w:type="dxa" w:w="1077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Critical BOM substitution triggers compliance impact review.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AT31-080</w:t>
            </w:r>
          </w:p>
        </w:tc>
        <w:tc>
          <w:tcPr>
            <w:tcW w:type="dxa" w:w="2381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End-to-end retrofit</w:t>
            </w:r>
          </w:p>
        </w:tc>
        <w:tc>
          <w:tcPr>
            <w:tcW w:type="dxa" w:w="10772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Old machine -&gt; external sensor -&gt; RetrofitNode -&gt; Local Server -&gt; evidence -&gt; MES state/OEE works without PLC modification.</w:t>
            </w:r>
          </w:p>
        </w:tc>
      </w:tr>
    </w:tbl>
    <w:p>
      <w:pPr>
        <w:spacing w:after="20"/>
      </w:pPr>
    </w:p>
    <w:p>
      <w:pPr>
        <w:sectPr>
          <w:headerReference w:type="default" r:id="rId11"/>
          <w:footerReference w:type="default" r:id="rId12"/>
          <w:pgSz w:w="15840" w:h="12240" w:orient="landscape"/>
          <w:pgMar w:top="850" w:right="794" w:bottom="794" w:left="794" w:header="720" w:footer="720" w:gutter="0"/>
          <w:cols w:space="720"/>
          <w:docGrid w:linePitch="360"/>
        </w:sectPr>
      </w:pPr>
    </w:p>
    <w:p>
      <w:pPr>
        <w:pStyle w:val="Heading1"/>
        <w:keepNext/>
      </w:pPr>
      <w:r>
        <w:rPr>
          <w:rFonts w:ascii="Arial" w:hAnsi="Arial"/>
        </w:rPr>
        <w:t>27. Reference hardware composition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  <w:cantSplit/>
        </w:trPr>
        <w:tc>
          <w:tcPr>
            <w:tcW w:type="dxa" w:w="2381"/>
            <w:shd w:fill="163A5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Компонент</w:t>
            </w:r>
          </w:p>
        </w:tc>
        <w:tc>
          <w:tcPr>
            <w:tcW w:type="dxa" w:w="2891"/>
            <w:shd w:fill="163A5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PILOT</w:t>
            </w:r>
          </w:p>
        </w:tc>
        <w:tc>
          <w:tcPr>
            <w:tcW w:type="dxa" w:w="3005"/>
            <w:shd w:fill="163A5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GROWTH</w:t>
            </w:r>
          </w:p>
        </w:tc>
        <w:tc>
          <w:tcPr>
            <w:tcW w:type="dxa" w:w="3288"/>
            <w:shd w:fill="163A5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ENTERPRISE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Local Server</w:t>
            </w:r>
          </w:p>
        </w:tc>
        <w:tc>
          <w:tcPr>
            <w:tcW w:type="dxa" w:w="289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Small server/mini-server</w:t>
            </w:r>
          </w:p>
        </w:tc>
        <w:tc>
          <w:tcPr>
            <w:tcW w:type="dxa" w:w="3005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Business server + UPS</w:t>
            </w:r>
          </w:p>
        </w:tc>
        <w:tc>
          <w:tcPr>
            <w:tcW w:type="dxa" w:w="328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Rack server/VM cluster profile + UPS</w:t>
            </w:r>
          </w:p>
        </w:tc>
      </w:tr>
      <w:tr>
        <w:trPr>
          <w:cantSplit/>
        </w:trPr>
        <w:tc>
          <w:tcPr>
            <w:tcW w:type="dxa" w:w="2381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Industrial Gateway</w:t>
            </w:r>
          </w:p>
        </w:tc>
        <w:tc>
          <w:tcPr>
            <w:tcW w:type="dxa" w:w="2891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0–1 COTS</w:t>
            </w:r>
          </w:p>
        </w:tc>
        <w:tc>
          <w:tcPr>
            <w:tcW w:type="dxa" w:w="3005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1 per workshop/zone</w:t>
            </w:r>
          </w:p>
        </w:tc>
        <w:tc>
          <w:tcPr>
            <w:tcW w:type="dxa" w:w="3288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Redundant/segmented where justified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RetrofitNode</w:t>
            </w:r>
          </w:p>
        </w:tc>
        <w:tc>
          <w:tcPr>
            <w:tcW w:type="dxa" w:w="289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0–5</w:t>
            </w:r>
          </w:p>
        </w:tc>
        <w:tc>
          <w:tcPr>
            <w:tcW w:type="dxa" w:w="3005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5–50</w:t>
            </w:r>
          </w:p>
        </w:tc>
        <w:tc>
          <w:tcPr>
            <w:tcW w:type="dxa" w:w="328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50–500+ depending on site</w:t>
            </w:r>
          </w:p>
        </w:tc>
      </w:tr>
      <w:tr>
        <w:trPr>
          <w:cantSplit/>
        </w:trPr>
        <w:tc>
          <w:tcPr>
            <w:tcW w:type="dxa" w:w="2381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LoRaWAN Gateway</w:t>
            </w:r>
          </w:p>
        </w:tc>
        <w:tc>
          <w:tcPr>
            <w:tcW w:type="dxa" w:w="2891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Optional</w:t>
            </w:r>
          </w:p>
        </w:tc>
        <w:tc>
          <w:tcPr>
            <w:tcW w:type="dxa" w:w="3005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Optional</w:t>
            </w:r>
          </w:p>
        </w:tc>
        <w:tc>
          <w:tcPr>
            <w:tcW w:type="dxa" w:w="3288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Per coverage plan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Backup target</w:t>
            </w:r>
          </w:p>
        </w:tc>
        <w:tc>
          <w:tcPr>
            <w:tcW w:type="dxa" w:w="289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External/NAS</w:t>
            </w:r>
          </w:p>
        </w:tc>
        <w:tc>
          <w:tcPr>
            <w:tcW w:type="dxa" w:w="3005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NAS/object backup</w:t>
            </w:r>
          </w:p>
        </w:tc>
        <w:tc>
          <w:tcPr>
            <w:tcW w:type="dxa" w:w="328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Separate backup system + offsite/cloud replica</w:t>
            </w:r>
          </w:p>
        </w:tc>
      </w:tr>
      <w:tr>
        <w:trPr>
          <w:cantSplit/>
        </w:trPr>
        <w:tc>
          <w:tcPr>
            <w:tcW w:type="dxa" w:w="2381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Network</w:t>
            </w:r>
          </w:p>
        </w:tc>
        <w:tc>
          <w:tcPr>
            <w:tcW w:type="dxa" w:w="2891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Existing LAN</w:t>
            </w:r>
          </w:p>
        </w:tc>
        <w:tc>
          <w:tcPr>
            <w:tcW w:type="dxa" w:w="3005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Managed VLAN switch</w:t>
            </w:r>
          </w:p>
        </w:tc>
        <w:tc>
          <w:tcPr>
            <w:tcW w:type="dxa" w:w="3288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Managed redundant network where justified</w:t>
            </w:r>
          </w:p>
        </w:tc>
      </w:tr>
    </w:tbl>
    <w:p>
      <w:pPr>
        <w:spacing w:after="20"/>
      </w:pPr>
    </w:p>
    <w:p>
      <w:r>
        <w:rPr>
          <w:rFonts w:ascii="Arial" w:hAnsi="Arial"/>
        </w:rPr>
        <w:t>Числа — planning envelopes, не закупочная спецификация. Финальный BOM формируется после site survey и capacity model.</w:t>
      </w:r>
    </w:p>
    <w:p>
      <w:pPr>
        <w:pStyle w:val="Heading1"/>
        <w:keepNext/>
      </w:pPr>
      <w:r>
        <w:rPr>
          <w:rFonts w:ascii="Arial" w:hAnsi="Arial"/>
        </w:rPr>
        <w:t>28. BOM-классы RetrofitNode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  <w:cantSplit/>
        </w:trPr>
        <w:tc>
          <w:tcPr>
            <w:tcW w:type="dxa" w:w="2835"/>
            <w:shd w:fill="163A5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Подсистема</w:t>
            </w:r>
          </w:p>
        </w:tc>
        <w:tc>
          <w:tcPr>
            <w:tcW w:type="dxa" w:w="8504"/>
            <w:shd w:fill="163A5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Класс требований</w:t>
            </w:r>
          </w:p>
        </w:tc>
      </w:tr>
      <w:tr>
        <w:trPr>
          <w:cantSplit/>
        </w:trPr>
        <w:tc>
          <w:tcPr>
            <w:tcW w:type="dxa" w:w="2835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Compute</w:t>
            </w:r>
          </w:p>
        </w:tc>
        <w:tc>
          <w:tcPr>
            <w:tcW w:type="dxa" w:w="850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Industrial MCU/SoC or SBC; watchdog; sufficient flash/RAM; lifecycle availability</w:t>
            </w:r>
          </w:p>
        </w:tc>
      </w:tr>
      <w:tr>
        <w:trPr>
          <w:cantSplit/>
        </w:trPr>
        <w:tc>
          <w:tcPr>
            <w:tcW w:type="dxa" w:w="2835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Storage</w:t>
            </w:r>
          </w:p>
        </w:tc>
        <w:tc>
          <w:tcPr>
            <w:tcW w:type="dxa" w:w="8504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Industrial-grade where write volume requires; wear monitoring for Linux gateway</w:t>
            </w:r>
          </w:p>
        </w:tc>
      </w:tr>
      <w:tr>
        <w:trPr>
          <w:cantSplit/>
        </w:trPr>
        <w:tc>
          <w:tcPr>
            <w:tcW w:type="dxa" w:w="2835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Security</w:t>
            </w:r>
          </w:p>
        </w:tc>
        <w:tc>
          <w:tcPr>
            <w:tcW w:type="dxa" w:w="850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Secure boot/signing support; protected key storage where feasible</w:t>
            </w:r>
          </w:p>
        </w:tc>
      </w:tr>
      <w:tr>
        <w:trPr>
          <w:cantSplit/>
        </w:trPr>
        <w:tc>
          <w:tcPr>
            <w:tcW w:type="dxa" w:w="2835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Ethernet</w:t>
            </w:r>
          </w:p>
        </w:tc>
        <w:tc>
          <w:tcPr>
            <w:tcW w:type="dxa" w:w="8504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1/2 ports depending SKU; ESD protection; link LEDs/diagnostics</w:t>
            </w:r>
          </w:p>
        </w:tc>
      </w:tr>
      <w:tr>
        <w:trPr>
          <w:cantSplit/>
        </w:trPr>
        <w:tc>
          <w:tcPr>
            <w:tcW w:type="dxa" w:w="2835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RS485</w:t>
            </w:r>
          </w:p>
        </w:tc>
        <w:tc>
          <w:tcPr>
            <w:tcW w:type="dxa" w:w="850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Isolated industrial transceiver for industrial SKU; termination strategy</w:t>
            </w:r>
          </w:p>
        </w:tc>
      </w:tr>
      <w:tr>
        <w:trPr>
          <w:cantSplit/>
        </w:trPr>
        <w:tc>
          <w:tcPr>
            <w:tcW w:type="dxa" w:w="2835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Digital Input</w:t>
            </w:r>
          </w:p>
        </w:tc>
        <w:tc>
          <w:tcPr>
            <w:tcW w:type="dxa" w:w="8504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24 V industrial front-end; isolation/protection; configurable debounce</w:t>
            </w:r>
          </w:p>
        </w:tc>
      </w:tr>
      <w:tr>
        <w:trPr>
          <w:cantSplit/>
        </w:trPr>
        <w:tc>
          <w:tcPr>
            <w:tcW w:type="dxa" w:w="2835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Analog Input</w:t>
            </w:r>
          </w:p>
        </w:tc>
        <w:tc>
          <w:tcPr>
            <w:tcW w:type="dxa" w:w="850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4–20 mA / 0–10 V modules only in SKU that needs them; calibration</w:t>
            </w:r>
          </w:p>
        </w:tc>
      </w:tr>
      <w:tr>
        <w:trPr>
          <w:cantSplit/>
        </w:trPr>
        <w:tc>
          <w:tcPr>
            <w:tcW w:type="dxa" w:w="2835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Pulse/Frequency</w:t>
            </w:r>
          </w:p>
        </w:tc>
        <w:tc>
          <w:tcPr>
            <w:tcW w:type="dxa" w:w="8504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Hardware timer/counter path where expected rate requires</w:t>
            </w:r>
          </w:p>
        </w:tc>
      </w:tr>
      <w:tr>
        <w:trPr>
          <w:cantSplit/>
        </w:trPr>
        <w:tc>
          <w:tcPr>
            <w:tcW w:type="dxa" w:w="2835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Power</w:t>
            </w:r>
          </w:p>
        </w:tc>
        <w:tc>
          <w:tcPr>
            <w:tcW w:type="dxa" w:w="850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Protected industrial input; fuse strategy; brownout handling</w:t>
            </w:r>
          </w:p>
        </w:tc>
      </w:tr>
      <w:tr>
        <w:trPr>
          <w:cantSplit/>
        </w:trPr>
        <w:tc>
          <w:tcPr>
            <w:tcW w:type="dxa" w:w="2835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Mechanical</w:t>
            </w:r>
          </w:p>
        </w:tc>
        <w:tc>
          <w:tcPr>
            <w:tcW w:type="dxa" w:w="8504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DIN rail or IP enclosure; serviceable terminals; labels/QR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/>
        </w:rPr>
        <w:t>29. Hardware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  <w:cantSplit/>
        </w:trPr>
        <w:tc>
          <w:tcPr>
            <w:tcW w:type="dxa" w:w="1247"/>
            <w:shd w:fill="163A5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Phase</w:t>
            </w:r>
          </w:p>
        </w:tc>
        <w:tc>
          <w:tcPr>
            <w:tcW w:type="dxa" w:w="2948"/>
            <w:shd w:fill="163A5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Название</w:t>
            </w:r>
          </w:p>
        </w:tc>
        <w:tc>
          <w:tcPr>
            <w:tcW w:type="dxa" w:w="7824"/>
            <w:shd w:fill="163A5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124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H0</w:t>
            </w:r>
          </w:p>
        </w:tc>
        <w:tc>
          <w:tcPr>
            <w:tcW w:type="dxa" w:w="294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Software-first pilot</w:t>
            </w:r>
          </w:p>
        </w:tc>
        <w:tc>
          <w:tcPr>
            <w:tcW w:type="dxa" w:w="782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Local Server + mobile/manual workflows; no custom hardware.</w:t>
            </w:r>
          </w:p>
        </w:tc>
      </w:tr>
      <w:tr>
        <w:trPr>
          <w:cantSplit/>
        </w:trPr>
        <w:tc>
          <w:tcPr>
            <w:tcW w:type="dxa" w:w="124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H1</w:t>
            </w:r>
          </w:p>
        </w:tc>
        <w:tc>
          <w:tcPr>
            <w:tcW w:type="dxa" w:w="2948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COTS integration kit</w:t>
            </w:r>
          </w:p>
        </w:tc>
        <w:tc>
          <w:tcPr>
            <w:tcW w:type="dxa" w:w="7824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Approved industrial gateway profiles; Modbus/OPC UA; current/photoeye sensors.</w:t>
            </w:r>
          </w:p>
        </w:tc>
      </w:tr>
      <w:tr>
        <w:trPr>
          <w:cantSplit/>
        </w:trPr>
        <w:tc>
          <w:tcPr>
            <w:tcW w:type="dxa" w:w="124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H2</w:t>
            </w:r>
          </w:p>
        </w:tc>
        <w:tc>
          <w:tcPr>
            <w:tcW w:type="dxa" w:w="294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RetrofitNode engineering sample</w:t>
            </w:r>
          </w:p>
        </w:tc>
        <w:tc>
          <w:tcPr>
            <w:tcW w:type="dxa" w:w="782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Custom I/O node; secure provisioning; shadow deployments.</w:t>
            </w:r>
          </w:p>
        </w:tc>
      </w:tr>
      <w:tr>
        <w:trPr>
          <w:cantSplit/>
        </w:trPr>
        <w:tc>
          <w:tcPr>
            <w:tcW w:type="dxa" w:w="124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H3</w:t>
            </w:r>
          </w:p>
        </w:tc>
        <w:tc>
          <w:tcPr>
            <w:tcW w:type="dxa" w:w="2948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Pilot batch</w:t>
            </w:r>
          </w:p>
        </w:tc>
        <w:tc>
          <w:tcPr>
            <w:tcW w:type="dxa" w:w="7824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10–50 nodes; burn-in; field telemetry; failure analysis.</w:t>
            </w:r>
          </w:p>
        </w:tc>
      </w:tr>
      <w:tr>
        <w:trPr>
          <w:cantSplit/>
        </w:trPr>
        <w:tc>
          <w:tcPr>
            <w:tcW w:type="dxa" w:w="124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H4</w:t>
            </w:r>
          </w:p>
        </w:tc>
        <w:tc>
          <w:tcPr>
            <w:tcW w:type="dxa" w:w="294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Production revision</w:t>
            </w:r>
          </w:p>
        </w:tc>
        <w:tc>
          <w:tcPr>
            <w:tcW w:type="dxa" w:w="782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DFM/DFT, compliance plan, contract manufacturing, spare policy.</w:t>
            </w:r>
          </w:p>
        </w:tc>
      </w:tr>
      <w:tr>
        <w:trPr>
          <w:cantSplit/>
        </w:trPr>
        <w:tc>
          <w:tcPr>
            <w:tcW w:type="dxa" w:w="124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H5</w:t>
            </w:r>
          </w:p>
        </w:tc>
        <w:tc>
          <w:tcPr>
            <w:tcW w:type="dxa" w:w="2948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Fleet operations</w:t>
            </w:r>
          </w:p>
        </w:tc>
        <w:tc>
          <w:tcPr>
            <w:tcW w:type="dxa" w:w="7824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OTA, certificate rotation, inventory, RMA, health analytics.</w:t>
            </w:r>
          </w:p>
        </w:tc>
      </w:tr>
      <w:tr>
        <w:trPr>
          <w:cantSplit/>
        </w:trPr>
        <w:tc>
          <w:tcPr>
            <w:tcW w:type="dxa" w:w="124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H6</w:t>
            </w:r>
          </w:p>
        </w:tc>
        <w:tc>
          <w:tcPr>
            <w:tcW w:type="dxa" w:w="294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Field/radio variants</w:t>
            </w:r>
          </w:p>
        </w:tc>
        <w:tc>
          <w:tcPr>
            <w:tcW w:type="dxa" w:w="782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LoRaWAN/low-power where justified by deployed use cases.</w:t>
            </w:r>
          </w:p>
        </w:tc>
      </w:tr>
      <w:tr>
        <w:trPr>
          <w:cantSplit/>
        </w:trPr>
        <w:tc>
          <w:tcPr>
            <w:tcW w:type="dxa" w:w="124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H7</w:t>
            </w:r>
          </w:p>
        </w:tc>
        <w:tc>
          <w:tcPr>
            <w:tcW w:type="dxa" w:w="2948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Control-plane R&amp;D</w:t>
            </w:r>
          </w:p>
        </w:tc>
        <w:tc>
          <w:tcPr>
            <w:tcW w:type="dxa" w:w="7824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Separate safety/security project; not an extension of telemetry by default.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/>
        </w:rPr>
        <w:t>30. Codex / implementation decomposition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  <w:cantSplit/>
        </w:trPr>
        <w:tc>
          <w:tcPr>
            <w:tcW w:type="dxa" w:w="1417"/>
            <w:shd w:fill="163A5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Slice</w:t>
            </w:r>
          </w:p>
        </w:tc>
        <w:tc>
          <w:tcPr>
            <w:tcW w:type="dxa" w:w="3005"/>
            <w:shd w:fill="163A5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Модуль</w:t>
            </w:r>
          </w:p>
        </w:tc>
        <w:tc>
          <w:tcPr>
            <w:tcW w:type="dxa" w:w="7597"/>
            <w:shd w:fill="163A5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Definition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31.1</w:t>
            </w:r>
          </w:p>
        </w:tc>
        <w:tc>
          <w:tcPr>
            <w:tcW w:type="dxa" w:w="3005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Device Registry</w:t>
            </w:r>
          </w:p>
        </w:tc>
        <w:tc>
          <w:tcPr>
            <w:tcW w:type="dxa" w:w="759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Device identity, capability, status, certificate metadata.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31.2</w:t>
            </w:r>
          </w:p>
        </w:tc>
        <w:tc>
          <w:tcPr>
            <w:tcW w:type="dxa" w:w="3005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Signal Registry</w:t>
            </w:r>
          </w:p>
        </w:tc>
        <w:tc>
          <w:tcPr>
            <w:tcW w:type="dxa" w:w="759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SignalDefinition, DeviceBinding, calibration/versioning.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31.3</w:t>
            </w:r>
          </w:p>
        </w:tc>
        <w:tc>
          <w:tcPr>
            <w:tcW w:type="dxa" w:w="3005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Edge Transport</w:t>
            </w:r>
          </w:p>
        </w:tc>
        <w:tc>
          <w:tcPr>
            <w:tcW w:type="dxa" w:w="759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MQTT/HTTPS local ingest, idempotency, health.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31.4</w:t>
            </w:r>
          </w:p>
        </w:tc>
        <w:tc>
          <w:tcPr>
            <w:tcW w:type="dxa" w:w="3005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Buffer/Replay</w:t>
            </w:r>
          </w:p>
        </w:tc>
        <w:tc>
          <w:tcPr>
            <w:tcW w:type="dxa" w:w="759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Store-and-forward, timestamps, deduplication.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31.5</w:t>
            </w:r>
          </w:p>
        </w:tc>
        <w:tc>
          <w:tcPr>
            <w:tcW w:type="dxa" w:w="3005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Modbus adapter</w:t>
            </w:r>
          </w:p>
        </w:tc>
        <w:tc>
          <w:tcPr>
            <w:tcW w:type="dxa" w:w="759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Read-only RTU/TCP driver with allowlist.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31.6</w:t>
            </w:r>
          </w:p>
        </w:tc>
        <w:tc>
          <w:tcPr>
            <w:tcW w:type="dxa" w:w="3005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OPC UA adapter</w:t>
            </w:r>
          </w:p>
        </w:tc>
        <w:tc>
          <w:tcPr>
            <w:tcW w:type="dxa" w:w="759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Certificates, subscriptions, quality mapping.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31.7</w:t>
            </w:r>
          </w:p>
        </w:tc>
        <w:tc>
          <w:tcPr>
            <w:tcW w:type="dxa" w:w="3005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Digital/pulse adapter</w:t>
            </w:r>
          </w:p>
        </w:tc>
        <w:tc>
          <w:tcPr>
            <w:tcW w:type="dxa" w:w="759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Debounce, counters, rollover/reset.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31.8</w:t>
            </w:r>
          </w:p>
        </w:tc>
        <w:tc>
          <w:tcPr>
            <w:tcW w:type="dxa" w:w="3005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Analog adapter</w:t>
            </w:r>
          </w:p>
        </w:tc>
        <w:tc>
          <w:tcPr>
            <w:tcW w:type="dxa" w:w="759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Calibration, out-of-range/open-loop quality.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31.9</w:t>
            </w:r>
          </w:p>
        </w:tc>
        <w:tc>
          <w:tcPr>
            <w:tcW w:type="dxa" w:w="3005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Retrofit commissioning</w:t>
            </w:r>
          </w:p>
        </w:tc>
        <w:tc>
          <w:tcPr>
            <w:tcW w:type="dxa" w:w="759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Shadow mode, activation, service UI.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31.10</w:t>
            </w:r>
          </w:p>
        </w:tc>
        <w:tc>
          <w:tcPr>
            <w:tcW w:type="dxa" w:w="3005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Fleet health</w:t>
            </w:r>
          </w:p>
        </w:tc>
        <w:tc>
          <w:tcPr>
            <w:tcW w:type="dxa" w:w="759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Node/signal health, alerting, diagnostics.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31.11</w:t>
            </w:r>
          </w:p>
        </w:tc>
        <w:tc>
          <w:tcPr>
            <w:tcW w:type="dxa" w:w="3005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Secure provisioning</w:t>
            </w:r>
          </w:p>
        </w:tc>
        <w:tc>
          <w:tcPr>
            <w:tcW w:type="dxa" w:w="759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Unique identities, rotation/revocation.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31.12</w:t>
            </w:r>
          </w:p>
        </w:tc>
        <w:tc>
          <w:tcPr>
            <w:tcW w:type="dxa" w:w="3005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Update manager</w:t>
            </w:r>
          </w:p>
        </w:tc>
        <w:tc>
          <w:tcPr>
            <w:tcW w:type="dxa" w:w="759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Signed artifacts, canary, rollback.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31.13</w:t>
            </w:r>
          </w:p>
        </w:tc>
        <w:tc>
          <w:tcPr>
            <w:tcW w:type="dxa" w:w="3005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Local Server hardware telemetry</w:t>
            </w:r>
          </w:p>
        </w:tc>
        <w:tc>
          <w:tcPr>
            <w:tcW w:type="dxa" w:w="759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SMART/UPS/storage/node health.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31.14</w:t>
            </w:r>
          </w:p>
        </w:tc>
        <w:tc>
          <w:tcPr>
            <w:tcW w:type="dxa" w:w="3005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LoRaWAN adapter</w:t>
            </w:r>
          </w:p>
        </w:tc>
        <w:tc>
          <w:tcPr>
            <w:tcW w:type="dxa" w:w="7597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Optional local/private stack integration.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31.15</w:t>
            </w:r>
          </w:p>
        </w:tc>
        <w:tc>
          <w:tcPr>
            <w:tcW w:type="dxa" w:w="3005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Hardware acceptance harness</w:t>
            </w:r>
          </w:p>
        </w:tc>
        <w:tc>
          <w:tcPr>
            <w:tcW w:type="dxa" w:w="7597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Simulators/HIL fixtures and automated validation.</w:t>
            </w:r>
          </w:p>
        </w:tc>
      </w:tr>
    </w:tbl>
    <w:p>
      <w:pPr>
        <w:spacing w:after="20"/>
      </w:pPr>
    </w:p>
    <w:p>
      <w:r>
        <w:rPr>
          <w:rFonts w:ascii="Arial" w:hAnsi="Arial"/>
        </w:rPr>
        <w:t>Каждый slice реализуется по правилам №28: schema + service/API + events + permissions/audit where applicable + offline/failure paths + tests. Codex не должен генерировать firmware, backend, dashboards и production control в одном изменении.</w:t>
      </w:r>
    </w:p>
    <w:p>
      <w:pPr>
        <w:pStyle w:val="Heading1"/>
        <w:keepNext/>
      </w:pPr>
      <w:r>
        <w:rPr>
          <w:rFonts w:ascii="Arial" w:hAnsi="Arial"/>
        </w:rPr>
        <w:t>31. Hardware-in-the-loop и simulator strategy</w:t>
      </w:r>
    </w:p>
    <w:p>
      <w:pPr>
        <w:pStyle w:val="ListBullet"/>
      </w:pPr>
      <w:r>
        <w:rPr>
          <w:rFonts w:ascii="Arial" w:hAnsi="Arial"/>
        </w:rPr>
        <w:t>Разработка backend не должна зависеть от наличия физического PLC: Modbus/OPC UA/signal simulators входят в dev/test environment.</w:t>
      </w:r>
    </w:p>
    <w:p>
      <w:pPr>
        <w:pStyle w:val="ListBullet"/>
      </w:pPr>
      <w:r>
        <w:rPr>
          <w:rFonts w:ascii="Arial" w:hAnsi="Arial"/>
        </w:rPr>
        <w:t>Для edge release используется небольшой HIL rack: reference RetrofitNode, RS485 simulator, pulse generator, analog source, Ethernet fault injection.</w:t>
      </w:r>
    </w:p>
    <w:p>
      <w:pPr>
        <w:pStyle w:val="ListBullet"/>
      </w:pPr>
      <w:r>
        <w:rPr>
          <w:rFonts w:ascii="Arial" w:hAnsi="Arial"/>
        </w:rPr>
        <w:t>Golden signal traces из №27 воспроизводятся через simulator и сравниваются с expected evidence/state.</w:t>
      </w:r>
    </w:p>
    <w:p>
      <w:pPr>
        <w:pStyle w:val="ListBullet"/>
      </w:pPr>
      <w:r>
        <w:rPr>
          <w:rFonts w:ascii="Arial" w:hAnsi="Arial"/>
        </w:rPr>
        <w:t>Physical HIL дополняет, но не заменяет unit/integration tests protocol adapters.</w:t>
      </w:r>
    </w:p>
    <w:p>
      <w:pPr>
        <w:pStyle w:val="Heading1"/>
        <w:keepNext/>
      </w:pPr>
      <w:r>
        <w:rPr>
          <w:rFonts w:ascii="Arial" w:hAnsi="Arial"/>
        </w:rPr>
        <w:t>32. Эксплуатационная документация</w:t>
      </w:r>
    </w:p>
    <w:p>
      <w:pPr>
        <w:pStyle w:val="ListBullet"/>
      </w:pPr>
      <w:r>
        <w:rPr>
          <w:rFonts w:ascii="Arial" w:hAnsi="Arial"/>
        </w:rPr>
        <w:t>Installation Guide с wiring diagrams и запретом вмешательства в safety circuits.</w:t>
      </w:r>
    </w:p>
    <w:p>
      <w:pPr>
        <w:pStyle w:val="ListBullet"/>
      </w:pPr>
      <w:r>
        <w:rPr>
          <w:rFonts w:ascii="Arial" w:hAnsi="Arial"/>
        </w:rPr>
        <w:t>Commissioning Checklist.</w:t>
      </w:r>
    </w:p>
    <w:p>
      <w:pPr>
        <w:pStyle w:val="ListBullet"/>
      </w:pPr>
      <w:r>
        <w:rPr>
          <w:rFonts w:ascii="Arial" w:hAnsi="Arial"/>
        </w:rPr>
        <w:t>Service/RMA Guide.</w:t>
      </w:r>
    </w:p>
    <w:p>
      <w:pPr>
        <w:pStyle w:val="ListBullet"/>
      </w:pPr>
      <w:r>
        <w:rPr>
          <w:rFonts w:ascii="Arial" w:hAnsi="Arial"/>
        </w:rPr>
        <w:t>Firmware Update/Recovery Guide.</w:t>
      </w:r>
    </w:p>
    <w:p>
      <w:pPr>
        <w:pStyle w:val="ListBullet"/>
      </w:pPr>
      <w:r>
        <w:rPr>
          <w:rFonts w:ascii="Arial" w:hAnsi="Arial"/>
        </w:rPr>
        <w:t>Network Ports and Firewall Matrix.</w:t>
      </w:r>
    </w:p>
    <w:p>
      <w:pPr>
        <w:pStyle w:val="ListBullet"/>
      </w:pPr>
      <w:r>
        <w:rPr>
          <w:rFonts w:ascii="Arial" w:hAnsi="Arial"/>
        </w:rPr>
        <w:t>Device Certificate/Provisioning Runbook.</w:t>
      </w:r>
    </w:p>
    <w:p>
      <w:pPr>
        <w:pStyle w:val="ListBullet"/>
      </w:pPr>
      <w:r>
        <w:rPr>
          <w:rFonts w:ascii="Arial" w:hAnsi="Arial"/>
        </w:rPr>
        <w:t>Supported Sensors/Adapters compatibility list.</w:t>
      </w:r>
    </w:p>
    <w:p>
      <w:pPr>
        <w:pStyle w:val="ListBullet"/>
      </w:pPr>
      <w:r>
        <w:rPr>
          <w:rFonts w:ascii="Arial" w:hAnsi="Arial"/>
        </w:rPr>
        <w:t>Compliance dossier и BOM revision history для custom hardware.</w:t>
      </w:r>
    </w:p>
    <w:p>
      <w:pPr>
        <w:pStyle w:val="Heading1"/>
        <w:keepNext/>
      </w:pPr>
      <w:r>
        <w:rPr>
          <w:rFonts w:ascii="Arial" w:hAnsi="Arial"/>
        </w:rPr>
        <w:t>33. Ключевые риски и анти-паттерны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  <w:cantSplit/>
        </w:trPr>
        <w:tc>
          <w:tcPr>
            <w:tcW w:type="dxa" w:w="2381"/>
            <w:shd w:fill="163A5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Анти-паттерн</w:t>
            </w:r>
          </w:p>
        </w:tc>
        <w:tc>
          <w:tcPr>
            <w:tcW w:type="dxa" w:w="3685"/>
            <w:shd w:fill="163A5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Риск</w:t>
            </w:r>
          </w:p>
        </w:tc>
        <w:tc>
          <w:tcPr>
            <w:tcW w:type="dxa" w:w="5896"/>
            <w:shd w:fill="163A5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Контрмера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Hardware-first product</w:t>
            </w:r>
          </w:p>
        </w:tc>
        <w:tc>
          <w:tcPr>
            <w:tcW w:type="dxa" w:w="3685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Разработка собственных плат до проверки бизнес-сценариев</w:t>
            </w:r>
          </w:p>
        </w:tc>
        <w:tc>
          <w:tcPr>
            <w:tcW w:type="dxa" w:w="5896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Начинать COTS/manual, custom hardware только после validated economics.</w:t>
            </w:r>
          </w:p>
        </w:tc>
      </w:tr>
      <w:tr>
        <w:trPr>
          <w:cantSplit/>
        </w:trPr>
        <w:tc>
          <w:tcPr>
            <w:tcW w:type="dxa" w:w="2381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PLC write creep</w:t>
            </w:r>
          </w:p>
        </w:tc>
        <w:tc>
          <w:tcPr>
            <w:tcW w:type="dxa" w:w="3685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Сначала «только один бит», затем скрытый control system</w:t>
            </w:r>
          </w:p>
        </w:tc>
        <w:tc>
          <w:tcPr>
            <w:tcW w:type="dxa" w:w="5896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Жёсткий read-only boundary; control plane separate project.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Universal gateway</w:t>
            </w:r>
          </w:p>
        </w:tc>
        <w:tc>
          <w:tcPr>
            <w:tcW w:type="dxa" w:w="3685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Одна коробка пытается делать всё</w:t>
            </w:r>
          </w:p>
        </w:tc>
        <w:tc>
          <w:tcPr>
            <w:tcW w:type="dxa" w:w="5896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SKU/profile separation and modular adapters.</w:t>
            </w:r>
          </w:p>
        </w:tc>
      </w:tr>
      <w:tr>
        <w:trPr>
          <w:cantSplit/>
        </w:trPr>
        <w:tc>
          <w:tcPr>
            <w:tcW w:type="dxa" w:w="2381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Vendor-specific domain</w:t>
            </w:r>
          </w:p>
        </w:tc>
        <w:tc>
          <w:tcPr>
            <w:tcW w:type="dxa" w:w="3685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Регистры/теги становятся бизнес-моделью</w:t>
            </w:r>
          </w:p>
        </w:tc>
        <w:tc>
          <w:tcPr>
            <w:tcW w:type="dxa" w:w="5896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Normalization/evidence boundary.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 field service model</w:t>
            </w:r>
          </w:p>
        </w:tc>
        <w:tc>
          <w:tcPr>
            <w:tcW w:type="dxa" w:w="3685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Устройство нельзя быстро заменить</w:t>
            </w:r>
          </w:p>
        </w:tc>
        <w:tc>
          <w:tcPr>
            <w:tcW w:type="dxa" w:w="5896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QR/serial/rebind/spares/runbooks.</w:t>
            </w:r>
          </w:p>
        </w:tc>
      </w:tr>
      <w:tr>
        <w:trPr>
          <w:cantSplit/>
        </w:trPr>
        <w:tc>
          <w:tcPr>
            <w:tcW w:type="dxa" w:w="2381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Internet-dependent edge</w:t>
            </w:r>
          </w:p>
        </w:tc>
        <w:tc>
          <w:tcPr>
            <w:tcW w:type="dxa" w:w="3685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WAN outage ломает завод</w:t>
            </w:r>
          </w:p>
        </w:tc>
        <w:tc>
          <w:tcPr>
            <w:tcW w:type="dxa" w:w="5896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Local Server + local broker + buffer.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Shared secrets</w:t>
            </w:r>
          </w:p>
        </w:tc>
        <w:tc>
          <w:tcPr>
            <w:tcW w:type="dxa" w:w="3685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Один пароль/ключ на весь парк</w:t>
            </w:r>
          </w:p>
        </w:tc>
        <w:tc>
          <w:tcPr>
            <w:tcW w:type="dxa" w:w="5896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Unique identity + rotation/revocation.</w:t>
            </w:r>
          </w:p>
        </w:tc>
      </w:tr>
      <w:tr>
        <w:trPr>
          <w:cantSplit/>
        </w:trPr>
        <w:tc>
          <w:tcPr>
            <w:tcW w:type="dxa" w:w="2381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Sensor equals truth</w:t>
            </w:r>
          </w:p>
        </w:tc>
        <w:tc>
          <w:tcPr>
            <w:tcW w:type="dxa" w:w="3685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Шумный сигнал автоматически меняет учёт</w:t>
            </w:r>
          </w:p>
        </w:tc>
        <w:tc>
          <w:tcPr>
            <w:tcW w:type="dxa" w:w="5896"/>
            <w:shd w:fill="F8FAFC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Evidence -&gt; rules/human -&gt; domain command.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/>
        </w:rPr>
        <w:t>34. Definition of Done №31</w:t>
      </w:r>
    </w:p>
    <w:p>
      <w:pPr>
        <w:pStyle w:val="CodeBlock"/>
        <w:shd w:fill="F1F5F9"/>
      </w:pPr>
      <w:r>
        <w:rPr>
          <w:rFonts w:ascii="Arial" w:hAnsi="Arial"/>
        </w:rPr>
        <w:t>hardware optional</w:t>
        <w:br/>
        <w:t>+ Local Server autonomous</w:t>
        <w:br/>
        <w:t>+ OT read-only by default</w:t>
        <w:br/>
        <w:t>+ safety independent</w:t>
        <w:br/>
        <w:t>+ unique device identity</w:t>
        <w:br/>
        <w:t>+ secure provisioning</w:t>
        <w:br/>
        <w:t>+ store-and-forward</w:t>
        <w:br/>
        <w:t>+ deterministic replay</w:t>
        <w:br/>
        <w:t>+ signal health + diagnostics</w:t>
        <w:br/>
        <w:t>+ shadow commissioning</w:t>
        <w:br/>
        <w:t>+ field replacement/rebind</w:t>
        <w:br/>
        <w:t>+ signed staged updates</w:t>
        <w:br/>
        <w:t>+ manual fallback</w:t>
        <w:br/>
        <w:t>+ Modbus/OPC UA adapters</w:t>
        <w:br/>
        <w:t>+ retrofit old equipment</w:t>
        <w:br/>
        <w:t>+ HIL/simulator tests</w:t>
        <w:br/>
        <w:t>+ acceptance registry passes</w:t>
      </w:r>
    </w:p>
    <w:p>
      <w:r>
        <w:rPr>
          <w:rFonts w:ascii="Arial" w:hAnsi="Arial"/>
        </w:rPr>
        <w:t>Главный результат №31: платформа может начать работать вообще без аппаратного слоя, затем подключить COTS gateway, затем внешние датчики/RetrofitNode и далее PLC/OPC UA — без миграции business domain и без превращения edge-устройства в скрытый источник истины.</w:t>
      </w:r>
    </w:p>
    <w:p>
      <w:pPr>
        <w:pStyle w:val="Heading1"/>
        <w:keepNext/>
      </w:pPr>
      <w:r>
        <w:rPr>
          <w:rFonts w:ascii="Arial" w:hAnsi="Arial"/>
        </w:rPr>
        <w:t>35. Источники и reference specifications</w:t>
      </w:r>
    </w:p>
    <w:p>
      <w:pPr>
        <w:pStyle w:val="ListBullet"/>
      </w:pPr>
      <w:r>
        <w:rPr>
          <w:rFonts w:ascii="Arial" w:hAnsi="Arial"/>
        </w:rPr>
        <w:t>OPC Foundation — OPC Unified Architecture, Part 1: Overview and Concepts; secure, platform-independent industrial interoperability.</w:t>
      </w:r>
    </w:p>
    <w:p>
      <w:pPr>
        <w:pStyle w:val="ListBullet"/>
      </w:pPr>
      <w:r>
        <w:rPr>
          <w:rFonts w:ascii="Arial" w:hAnsi="Arial"/>
        </w:rPr>
        <w:t>OASIS — MQTT Version 5.0, OASIS Standard, 07 March 2019.</w:t>
      </w:r>
    </w:p>
    <w:p>
      <w:pPr>
        <w:pStyle w:val="ListBullet"/>
      </w:pPr>
      <w:r>
        <w:rPr>
          <w:rFonts w:ascii="Arial" w:hAnsi="Arial"/>
        </w:rPr>
        <w:t>Modbus Organization — Modbus Application Protocol Specification V1.1b3 and current implementation guides.</w:t>
      </w:r>
    </w:p>
    <w:p>
      <w:pPr>
        <w:pStyle w:val="ListBullet"/>
      </w:pPr>
      <w:r>
        <w:rPr>
          <w:rFonts w:ascii="Arial" w:hAnsi="Arial"/>
        </w:rPr>
        <w:t>IEC 62443 series — Security for industrial automation and control systems; including current IEC PAS guidance for IACS/IIoT.</w:t>
      </w:r>
    </w:p>
    <w:p>
      <w:pPr>
        <w:pStyle w:val="ListBullet"/>
      </w:pPr>
      <w:r>
        <w:rPr>
          <w:rFonts w:ascii="Arial" w:hAnsi="Arial"/>
        </w:rPr>
        <w:t>LoRa Alliance — LoRaWAN specifications and regional parameter packages; current deployment must use applicable regional profile.</w:t>
      </w:r>
    </w:p>
    <w:p>
      <w:pPr>
        <w:pStyle w:val="ListBullet"/>
      </w:pPr>
      <w:r>
        <w:rPr>
          <w:rFonts w:ascii="Arial" w:hAnsi="Arial"/>
        </w:rPr>
        <w:t>Росстандарт — ТР ТС 020/2011 «Электромагнитная совместимость технических средств», статус «действует».</w:t>
      </w:r>
    </w:p>
    <w:p>
      <w:pPr>
        <w:pStyle w:val="ListBullet"/>
      </w:pPr>
      <w:r>
        <w:rPr>
          <w:rFonts w:ascii="Arial" w:hAnsi="Arial"/>
        </w:rPr>
        <w:t>ТР ТС 004/2011 «О безопасности низковольтного оборудования» — применимость определяется конкретной конструкцией/назначением/диапазоном питания.</w:t>
      </w:r>
    </w:p>
    <w:sectPr w:rsidR="00FC693F" w:rsidRPr="0006063C" w:rsidSect="00034616">
      <w:headerReference w:type="default" r:id="rId13"/>
      <w:footerReference w:type="default" r:id="rId14"/>
      <w:pgSz w:w="12240" w:h="15840"/>
      <w:pgMar w:top="1020" w:right="102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color w:val="5A6570"/>
        <w:sz w:val="16"/>
      </w:rPr>
      <w:t xml:space="preserve">АПК Platform  •  Architecture Specification  •  №31  •  </w:t>
    </w:r>
    <w: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color w:val="5A6570"/>
        <w:sz w:val="16"/>
      </w:rPr>
      <w:t xml:space="preserve">АПК Platform  •  Architecture Specification  •  №31  •  </w:t>
    </w:r>
    <w:r>
      <w:fldChar w:fldCharType="begin"/>
      <w:instrText xml:space="preserve"> PAGE 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color w:val="5A6570"/>
        <w:sz w:val="16"/>
      </w:rPr>
      <w:t xml:space="preserve">АПК Platform  •  Architecture Specification  •  №31  •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Arial" w:hAnsi="Arial"/>
        <w:color w:val="5A6570"/>
        <w:sz w:val="16"/>
      </w:rPr>
      <w:t>Документ №31  |  Hardware-Software Complex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Arial" w:hAnsi="Arial"/>
        <w:color w:val="5A6570"/>
        <w:sz w:val="16"/>
      </w:rPr>
      <w:t>Документ №31  |  Hardware-Software Complex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Arial" w:hAnsi="Arial"/>
        <w:color w:val="5A6570"/>
        <w:sz w:val="16"/>
      </w:rPr>
      <w:t>Документ №31  |  Hardware-Software Complex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color w:val="1F29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63A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50"/>
      <w:outlineLvl w:val="1"/>
    </w:pPr>
    <w:rPr>
      <w:rFonts w:asciiTheme="majorHAnsi" w:eastAsiaTheme="majorEastAsia" w:hAnsiTheme="majorHAnsi" w:cstheme="majorBidi" w:ascii="Arial" w:hAnsi="Arial"/>
      <w:b/>
      <w:bCs/>
      <w:color w:val="1F5A9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60" w:after="30"/>
      <w:outlineLvl w:val="2"/>
    </w:pPr>
    <w:rPr>
      <w:rFonts w:asciiTheme="majorHAnsi" w:eastAsiaTheme="majorEastAsia" w:hAnsiTheme="majorHAnsi" w:cstheme="majorBidi" w:ascii="Arial" w:hAnsi="Arial"/>
      <w:b/>
      <w:bCs/>
      <w:color w:val="1F293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Arial" w:hAnsi="Arial"/>
      <w:b/>
      <w:color w:val="163A5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/>
      <w:ind w:left="227" w:right="227"/>
    </w:pPr>
    <w:rPr>
      <w:rFonts w:ascii="DejaVu Sans Mono" w:hAnsi="DejaVu Sans Mono"/>
      <w:color w:val="243B5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Документ №31 — Hardware-Software Complex</dc:title>
  <dc:subject>Аппаратно-программный комплекс платформы АПК + промышленное производство</dc:subject>
  <dc:creator>Platform Architecture Team</dc:creator>
  <cp:keywords/>
  <dc:description>Synthetic architecture specification; no customer data.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