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2F5597"/>
          <w:sz w:val="30"/>
        </w:rPr>
        <w:t>ДОКУМЕНТ №29</w:t>
      </w:r>
    </w:p>
    <w:p>
      <w:pPr>
        <w:jc w:val="center"/>
      </w:pPr>
      <w:r>
        <w:rPr>
          <w:b/>
          <w:color w:val="17365D"/>
          <w:sz w:val="50"/>
        </w:rPr>
        <w:t>Research: реальные проблемы</w:t>
        <w:br/>
        <w:t>российского АПК</w:t>
      </w:r>
    </w:p>
    <w:p>
      <w:pPr>
        <w:spacing w:before="240"/>
        <w:jc w:val="center"/>
      </w:pPr>
      <w:r>
        <w:rPr>
          <w:i/>
          <w:color w:val="666666"/>
          <w:sz w:val="22"/>
        </w:rPr>
        <w:t>Problem Discovery / Evidence / Product Implications / Research Program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4C7E7"/>
          <w:left w:val="single" w:sz="6" w:color="B4C7E7"/>
          <w:bottom w:val="single" w:sz="6" w:color="B4C7E7"/>
          <w:right w:val="single" w:sz="6" w:color="B4C7E7"/>
          <w:insideH w:val="single" w:sz="6" w:color="B4C7E7"/>
          <w:insideV w:val="single" w:sz="6" w:color="B4C7E7"/>
        </w:tblBorders>
      </w:tblPr>
      <w:tblGrid>
        <w:gridCol w:w="10109"/>
      </w:tblGrid>
      <w:tr>
        <w:trPr>
          <w:cantSplit/>
        </w:trPr>
        <w:tc>
          <w:tcPr>
            <w:tcW w:type="dxa" w:w="10109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/>
              <w:spacing w:after="40"/>
            </w:pPr>
            <w:r>
              <w:rPr>
                <w:b/>
                <w:color w:val="17365D"/>
              </w:rPr>
              <w:t>Цель документа</w:t>
            </w:r>
          </w:p>
          <w:p>
            <w:pPr>
              <w:keepLines/>
              <w:spacing w:after="0"/>
            </w:pPr>
            <w:r>
              <w:t>Отделить реальные операционные боли российского АПК и производственных предприятий от продуктовых предположений; связать каждую проблему с наблюдаемой причиной, бизнес-последствием, функцией платформы и измеримым KPI эффекта.</w:t>
            </w:r>
          </w:p>
        </w:tc>
      </w:tr>
    </w:tbl>
    <w:p>
      <w:pPr>
        <w:spacing w:after="20"/>
      </w:pPr>
    </w:p>
    <w:p>
      <w:pPr>
        <w:spacing w:before="440"/>
        <w:jc w:val="center"/>
      </w:pPr>
      <w:r>
        <w:rPr>
          <w:b/>
          <w:color w:val="17365D"/>
        </w:rPr>
        <w:t>Архитектурный контекст</w:t>
      </w:r>
    </w:p>
    <w:p>
      <w:pPr>
        <w:jc w:val="center"/>
      </w:pPr>
      <w:r>
        <w:t>mobile-first  •  offline-first  •  local-first  •  API-first  •  LOCAL_PRIMARY</w:t>
      </w:r>
    </w:p>
    <w:p>
      <w:pPr>
        <w:jc w:val="center"/>
      </w:pPr>
      <w:r>
        <w:t>field → machinery → weighing → warehouse → production → finished goods</w:t>
      </w:r>
    </w:p>
    <w:p>
      <w:pPr>
        <w:spacing w:before="600"/>
        <w:jc w:val="center"/>
      </w:pPr>
      <w:r>
        <w:rPr>
          <w:color w:val="666666"/>
        </w:rPr>
        <w:t>Версия 1.0  |  26 сентября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Вывод исследования: </w:t>
      </w:r>
      <w:r>
        <w:t>главная ценность платформы должна возникать не из «цифровизации ради цифровизации», а из устранения операционных потерь между фактом в поле/цехе и управленческим/регламентированным учетом. На практике самые дорогие разрывы возникают там, где один и тот же факт вводится несколько раз, интернет нестабилен, оборудование неоднородно, источники данных конфликтуют, а обязательные внешние контуры живут отдельно от реального процесса.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4C7E7"/>
          <w:left w:val="single" w:sz="6" w:color="B4C7E7"/>
          <w:bottom w:val="single" w:sz="6" w:color="B4C7E7"/>
          <w:right w:val="single" w:sz="6" w:color="B4C7E7"/>
          <w:insideH w:val="single" w:sz="6" w:color="B4C7E7"/>
          <w:insideV w:val="single" w:sz="6" w:color="B4C7E7"/>
        </w:tblBorders>
      </w:tblPr>
      <w:tblGrid>
        <w:gridCol w:w="10109"/>
      </w:tblGrid>
      <w:tr>
        <w:trPr>
          <w:cantSplit/>
        </w:trPr>
        <w:tc>
          <w:tcPr>
            <w:tcW w:type="dxa" w:w="10109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/>
              <w:spacing w:after="40"/>
            </w:pPr>
            <w:r>
              <w:rPr>
                <w:b/>
                <w:color w:val="17365D"/>
              </w:rPr>
              <w:t>Product thesis №29</w:t>
            </w:r>
          </w:p>
          <w:p>
            <w:pPr>
              <w:keepLines/>
              <w:spacing w:after="0"/>
            </w:pPr>
            <w:r>
              <w:t>Платформа должна сначала уменьшать количество ручных действий, повторного ввода, потерь времени и спорных фактов. Только после этого — добавлять AI, спутники, сложную телеметрию и предиктивную аналитику.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2022"/>
        <w:gridCol w:w="2022"/>
        <w:gridCol w:w="2022"/>
        <w:gridCol w:w="2022"/>
        <w:gridCol w:w="2022"/>
      </w:tblGrid>
      <w:tr>
        <w:trPr>
          <w:tblHeader w:val="true"/>
          <w:cantSplit/>
          <w:cantSplit/>
        </w:trPr>
        <w:tc>
          <w:tcPr>
            <w:tcW w:type="dxa" w:w="8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0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Наблюдение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460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Следствие для продукта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Основание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F-01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Кадровый дефицит и перегрузка персонала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Высокая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Нужны мобильные сценарии в 1–3 действия, автоматический контекст, QR/голос и исключение повторного ввода.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[S3][S4]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F-02</w:t>
            </w:r>
          </w:p>
        </w:tc>
        <w:tc>
          <w:tcPr>
            <w:tcW w:type="dxa" w:w="30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Связь на сельских территориях остаётся неоднородной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Высокая</w:t>
            </w:r>
          </w:p>
        </w:tc>
        <w:tc>
          <w:tcPr>
            <w:tcW w:type="dxa" w:w="46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Offline-first — не feature, а обязательная архитектура.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[S5][S6]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F-03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Парк техники и оборудования неоднороден; модернизация идёт постепенно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Высокая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Hardware не может быть prerequisite; нужен retrofit от manual-only до OPC UA.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[S7][S8]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F-04</w:t>
            </w:r>
          </w:p>
        </w:tc>
        <w:tc>
          <w:tcPr>
            <w:tcW w:type="dxa" w:w="30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Издержки на логистику, семена, удобрения, технику и зарплаты растут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Высокая</w:t>
            </w:r>
          </w:p>
        </w:tc>
        <w:tc>
          <w:tcPr>
            <w:tcW w:type="dxa" w:w="46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Цифровизация должна иметь измеримый экономический эффект, а не только «видимость».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[S9]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F-05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Государственный цифровой контур АПК развивается и консолидируется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Высокая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Нужен integration-first слой и attribute-level Source of Truth; нельзя копировать ФГИС внутрь домена.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[S1][S2]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F-06</w:t>
            </w:r>
          </w:p>
        </w:tc>
        <w:tc>
          <w:tcPr>
            <w:tcW w:type="dxa" w:w="30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Качество мастер-данных и идентификационных данных — самостоятельная проблема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Средняя/высокая</w:t>
            </w:r>
          </w:p>
        </w:tc>
        <w:tc>
          <w:tcPr>
            <w:tcW w:type="dxa" w:w="46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Нужны provenance, duplicate/merge, validation и reconciliation.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[S10]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F-07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Погода и сезонность делают планы нестабильными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Высокая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План должен быть легко перепланируемым, а факт — фиксироваться независимо от плана.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[S11]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F-08</w:t>
            </w:r>
          </w:p>
        </w:tc>
        <w:tc>
          <w:tcPr>
            <w:tcW w:type="dxa" w:w="30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Цена ошибки факта высока: партия, вес, выпуск, простой, списание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Высокая</w:t>
            </w:r>
          </w:p>
        </w:tc>
        <w:tc>
          <w:tcPr>
            <w:tcW w:type="dxa" w:w="46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AI и IoT должны создавать evidence/candidate, но не неконтролируемый business fact.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Архитектурный вывод</w:t>
            </w:r>
          </w:p>
        </w:tc>
      </w:tr>
    </w:tbl>
    <w:p>
      <w:pPr>
        <w:spacing w:after="20"/>
      </w:pPr>
    </w:p>
    <w:p>
      <w:pPr>
        <w:pStyle w:val="Heading1"/>
      </w:pPr>
      <w:r>
        <w:t>2. Методология исследования</w:t>
      </w:r>
    </w:p>
    <w:p>
      <w:r>
        <w:t>Документ объединяет три типа знания: подтвержденные внешние факты, архитектурные выводы из уже принятых документов №1–28 и гипотезы, которые должны быть проверены интервью/наблюдениями на реальных предприятиях.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3370"/>
        <w:gridCol w:w="3370"/>
        <w:gridCol w:w="3370"/>
      </w:tblGrid>
      <w:tr>
        <w:trPr>
          <w:tblHeader w:val="true"/>
          <w:cantSplit/>
          <w:cantSplit/>
        </w:trPr>
        <w:tc>
          <w:tcPr>
            <w:tcW w:type="dxa" w:w="18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Класс</w:t>
            </w:r>
          </w:p>
        </w:tc>
        <w:tc>
          <w:tcPr>
            <w:tcW w:type="dxa" w:w="432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Определение</w:t>
            </w:r>
          </w:p>
        </w:tc>
        <w:tc>
          <w:tcPr>
            <w:tcW w:type="dxa" w:w="51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Как использовать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6"/>
              </w:rPr>
              <w:t>A — подтверждено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6"/>
              </w:rPr>
              <w:t>Официальная статистика, нормативный/государственный источник, подтверждаемое системное требование.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6"/>
              </w:rPr>
              <w:t>Можно использовать как входное ограничение продукта.</w:t>
            </w:r>
          </w:p>
        </w:tc>
      </w:tr>
      <w:tr>
        <w:trPr>
          <w:cantSplit/>
          <w:cantSplit/>
        </w:trPr>
        <w:tc>
          <w:tcPr>
            <w:tcW w:type="dxa" w:w="180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6"/>
              </w:rPr>
              <w:t>B — сильная гипотеза</w:t>
            </w:r>
          </w:p>
        </w:tc>
        <w:tc>
          <w:tcPr>
            <w:tcW w:type="dxa" w:w="432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6"/>
              </w:rPr>
              <w:t>Повторяющийся отраслевой паттерн, логически подтверждаемый архитектурой и несколькими источниками.</w:t>
            </w:r>
          </w:p>
        </w:tc>
        <w:tc>
          <w:tcPr>
            <w:tcW w:type="dxa" w:w="51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6"/>
              </w:rPr>
              <w:t>Приоритизировать, но проверить на 5–10 предприятиях.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6"/>
              </w:rPr>
              <w:t>C — гипотеза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6"/>
              </w:rPr>
              <w:t>Правдоподобная проблема без достаточной выборки.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6"/>
              </w:rPr>
              <w:t>Не превращать в feature до интервью/наблюдения.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5054"/>
        <w:gridCol w:w="5054"/>
      </w:tblGrid>
      <w:tr>
        <w:trPr>
          <w:tblHeader w:val="true"/>
          <w:cantSplit/>
          <w:cantSplit/>
        </w:trPr>
        <w:tc>
          <w:tcPr>
            <w:tcW w:type="dxa" w:w="201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921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Шкала</w:t>
            </w:r>
          </w:p>
        </w:tc>
      </w:tr>
      <w:tr>
        <w:trPr>
          <w:cantSplit/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6"/>
              </w:rPr>
              <w:t>Severity</w:t>
            </w:r>
          </w:p>
        </w:tc>
        <w:tc>
          <w:tcPr>
            <w:tcW w:type="dxa" w:w="9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6"/>
              </w:rPr>
              <w:t>S1 — неудобство; S2 — локальная потеря времени; S3 — заметные потери/ошибки; S4 — критичный операционный/регуляторный риск.</w:t>
            </w:r>
          </w:p>
        </w:tc>
      </w:tr>
      <w:tr>
        <w:trPr>
          <w:cantSplit/>
          <w:cantSplit/>
        </w:trPr>
        <w:tc>
          <w:tcPr>
            <w:tcW w:type="dxa" w:w="201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6"/>
              </w:rPr>
              <w:t>Frequency</w:t>
            </w:r>
          </w:p>
        </w:tc>
        <w:tc>
          <w:tcPr>
            <w:tcW w:type="dxa" w:w="921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6"/>
              </w:rPr>
              <w:t>F1 — редко; F2 — ежемесячно; F3 — еженедельно; F4 — ежедневно/многократно за смену.</w:t>
            </w:r>
          </w:p>
        </w:tc>
      </w:tr>
      <w:tr>
        <w:trPr>
          <w:cantSplit/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6"/>
              </w:rPr>
              <w:t>Automation leverage</w:t>
            </w:r>
          </w:p>
        </w:tc>
        <w:tc>
          <w:tcPr>
            <w:tcW w:type="dxa" w:w="9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6"/>
              </w:rPr>
              <w:t>A1 — низкий; A2 — средний; A3 — высокий; A4 — можно убрать большую часть ручной работы.</w:t>
            </w:r>
          </w:p>
        </w:tc>
      </w:tr>
      <w:tr>
        <w:trPr>
          <w:cantSplit/>
          <w:cantSplit/>
        </w:trPr>
        <w:tc>
          <w:tcPr>
            <w:tcW w:type="dxa" w:w="201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6"/>
              </w:rPr>
              <w:t>Evidence confidence</w:t>
            </w:r>
          </w:p>
        </w:tc>
        <w:tc>
          <w:tcPr>
            <w:tcW w:type="dxa" w:w="921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6"/>
              </w:rPr>
              <w:t>A/B/C согласно таблице выше.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4C7E7"/>
          <w:left w:val="single" w:sz="6" w:color="B4C7E7"/>
          <w:bottom w:val="single" w:sz="6" w:color="B4C7E7"/>
          <w:right w:val="single" w:sz="6" w:color="B4C7E7"/>
          <w:insideH w:val="single" w:sz="6" w:color="B4C7E7"/>
          <w:insideV w:val="single" w:sz="6" w:color="B4C7E7"/>
        </w:tblBorders>
      </w:tblPr>
      <w:tblGrid>
        <w:gridCol w:w="10109"/>
      </w:tblGrid>
      <w:tr>
        <w:trPr>
          <w:cantSplit/>
        </w:trPr>
        <w:tc>
          <w:tcPr>
            <w:tcW w:type="dxa" w:w="10109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/>
              <w:spacing w:after="40"/>
            </w:pPr>
            <w:r>
              <w:rPr>
                <w:b/>
                <w:color w:val="17365D"/>
              </w:rPr>
              <w:t>Правило приоритизации</w:t>
            </w:r>
          </w:p>
          <w:p>
            <w:pPr>
              <w:keepLines/>
              <w:spacing w:after="0"/>
            </w:pPr>
            <w:r>
              <w:t>Высокий приоритет получают не самые «технологичные» функции, а проблемы с сочетанием S3–S4, F3–F4 и A3–A4. Если проблему нельзя измерить до/после внедрения, она не должна считаться доказанным value case.</w:t>
            </w:r>
          </w:p>
        </w:tc>
      </w:tr>
    </w:tbl>
    <w:p>
      <w:pPr>
        <w:spacing w:after="20"/>
      </w:pPr>
    </w:p>
    <w:p>
      <w:pPr>
        <w:pStyle w:val="Heading1"/>
      </w:pPr>
      <w:r>
        <w:t>3. Подтвержденный внешний контекст на 2025–2026 годы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2527"/>
        <w:gridCol w:w="2527"/>
        <w:gridCol w:w="2527"/>
        <w:gridCol w:w="2527"/>
      </w:tblGrid>
      <w:tr>
        <w:trPr>
          <w:tblHeader w:val="true"/>
          <w:cantSplit/>
          <w:cantSplit/>
        </w:trPr>
        <w:tc>
          <w:tcPr>
            <w:tcW w:type="dxa" w:w="14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Фактор</w:t>
            </w:r>
          </w:p>
        </w:tc>
        <w:tc>
          <w:tcPr>
            <w:tcW w:type="dxa" w:w="44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Факт/сигнал</w:t>
            </w:r>
          </w:p>
        </w:tc>
        <w:tc>
          <w:tcPr>
            <w:tcW w:type="dxa" w:w="48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Продуктовый вывод</w:t>
            </w:r>
          </w:p>
        </w:tc>
        <w:tc>
          <w:tcPr>
            <w:tcW w:type="dxa" w:w="115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Источник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Кадры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В мониторинге Банка России на конец 2024 года 69% предприятий сообщали о дефиците кадров; в отдельных материалах 2025–2026 гг. сельское хозяйство прямо названо среди отраслей с нехваткой работников.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Следует проектировать процессы так, чтобы один сотрудник обслуживал больше операций без роста ручного ввода.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[S3][S4]</w:t>
            </w:r>
          </w:p>
        </w:tc>
      </w:tr>
      <w:tr>
        <w:trPr>
          <w:cantSplit/>
          <w:cantSplit/>
        </w:trPr>
        <w:tc>
          <w:tcPr>
            <w:tcW w:type="dxa" w:w="144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Связь</w:t>
            </w:r>
          </w:p>
        </w:tc>
        <w:tc>
          <w:tcPr>
            <w:tcW w:type="dxa" w:w="44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С 2020 года по программе устранения цифрового неравенства интернет появился более чем в 8,5 тыс. малых населенных пунктов; программа продолжает расширяться.</w:t>
            </w:r>
          </w:p>
        </w:tc>
        <w:tc>
          <w:tcPr>
            <w:tcW w:type="dxa" w:w="48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Сам факт продолжающейся программы означает, что рассчитывать на постоянный WAN на каждом поле/объекте нельзя.</w:t>
            </w:r>
          </w:p>
        </w:tc>
        <w:tc>
          <w:tcPr>
            <w:tcW w:type="dxa" w:w="115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[S5][S6]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Техника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Правительственные документы указывают на необходимость ежегодного обновления около 10% парка для снижения доли техники старше 10 лет; поддержка лизинга продолжается.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Парк будет долго оставаться смешанным: новое + старое + retrofit.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[S7][S8]</w:t>
            </w:r>
          </w:p>
        </w:tc>
      </w:tr>
      <w:tr>
        <w:trPr>
          <w:cantSplit/>
          <w:cantSplit/>
        </w:trPr>
        <w:tc>
          <w:tcPr>
            <w:tcW w:type="dxa" w:w="144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Издержки</w:t>
            </w:r>
          </w:p>
        </w:tc>
        <w:tc>
          <w:tcPr>
            <w:tcW w:type="dxa" w:w="44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В июне 2026 года Банк России отмечал рост затрат аграриев на логистику, семена, удобрения, сельхозтехнику и зарплаты в Амурской области.</w:t>
            </w:r>
          </w:p>
        </w:tc>
        <w:tc>
          <w:tcPr>
            <w:tcW w:type="dxa" w:w="48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ROI продукта должен считаться через экономию труда, простоев, потерь, топлива, запасов и ошибок.</w:t>
            </w:r>
          </w:p>
        </w:tc>
        <w:tc>
          <w:tcPr>
            <w:tcW w:type="dxa" w:w="115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[S9]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Цифровой госконтур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В 2026 году обновлено стратегическое направление цифровой трансформации АПК до 2030 года; планируется поэтапный перенос государственных систем на единую цифровую платформу АПК.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Интеграционные контракты должны быть заменяемыми: внешние госинтерфейсы будут эволюционировать.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[S1][S2]</w:t>
            </w:r>
          </w:p>
        </w:tc>
      </w:tr>
      <w:tr>
        <w:trPr>
          <w:cantSplit/>
          <w:cantSplit/>
        </w:trPr>
        <w:tc>
          <w:tcPr>
            <w:tcW w:type="dxa" w:w="144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Качество данных</w:t>
            </w:r>
          </w:p>
        </w:tc>
        <w:tc>
          <w:tcPr>
            <w:tcW w:type="dxa" w:w="44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Россельхознадзор в 2024 году публично описывал массовые проблемы полноты регистрационных данных пользователей ВетИС и необходимость синхронизации/исправления.</w:t>
            </w:r>
          </w:p>
        </w:tc>
        <w:tc>
          <w:tcPr>
            <w:tcW w:type="dxa" w:w="48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Нельзя считать внешние справочники автоматически «идеальными»; требуется staging + canonical + provenance.</w:t>
            </w:r>
          </w:p>
        </w:tc>
        <w:tc>
          <w:tcPr>
            <w:tcW w:type="dxa" w:w="115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[S10]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Погода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Ростовстат фиксировал, что урожай 2025 года формировался при возвратных заморозках и засухе.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Полевой план не должен быть жесткой статической диаграммой; нужны перепланирование и фактическое исполнение.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[S11]</w:t>
            </w:r>
          </w:p>
        </w:tc>
      </w:tr>
    </w:tbl>
    <w:p>
      <w:pPr>
        <w:spacing w:after="20"/>
      </w:pPr>
    </w:p>
    <w:p>
      <w:pPr>
        <w:pStyle w:val="Heading1"/>
      </w:pPr>
      <w:r>
        <w:t>4. Двенадцать системных проблем, вокруг которых строится продукт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1685"/>
        <w:gridCol w:w="1685"/>
        <w:gridCol w:w="1685"/>
        <w:gridCol w:w="1685"/>
        <w:gridCol w:w="1685"/>
        <w:gridCol w:w="1685"/>
      </w:tblGrid>
      <w:tr>
        <w:trPr>
          <w:tblHeader w:val="true"/>
          <w:cantSplit/>
          <w:cantSplit/>
        </w:trPr>
        <w:tc>
          <w:tcPr>
            <w:tcW w:type="dxa" w:w="93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Проблема</w:t>
            </w:r>
          </w:p>
        </w:tc>
        <w:tc>
          <w:tcPr>
            <w:tcW w:type="dxa" w:w="30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Механизм</w:t>
            </w:r>
          </w:p>
        </w:tc>
        <w:tc>
          <w:tcPr>
            <w:tcW w:type="dxa" w:w="237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Последствие</w:t>
            </w:r>
          </w:p>
        </w:tc>
        <w:tc>
          <w:tcPr>
            <w:tcW w:type="dxa" w:w="28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Ответ платформы</w:t>
            </w:r>
          </w:p>
        </w:tc>
        <w:tc>
          <w:tcPr>
            <w:tcW w:type="dxa" w:w="201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KPI</w:t>
            </w:r>
          </w:p>
        </w:tc>
      </w:tr>
      <w:tr>
        <w:trPr>
          <w:cantSplit/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SYS-01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Повторный ввод одного факта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Вес, партия, поле, номенклатура или выпуск сначала появляются на бумаге/в Excel/мессенджере, затем переносятся в 1С/ФГИС/отчет.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Ошибки, задержка, расхождения.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Single capture → canonical fact → integrations.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Количество повторных ручных вводов на факт.</w:t>
            </w:r>
          </w:p>
        </w:tc>
      </w:tr>
      <w:tr>
        <w:trPr>
          <w:cantSplit/>
          <w:cantSplit/>
        </w:trPr>
        <w:tc>
          <w:tcPr>
            <w:tcW w:type="dxa" w:w="93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SYS-02</w:t>
            </w:r>
          </w:p>
        </w:tc>
        <w:tc>
          <w:tcPr>
            <w:tcW w:type="dxa" w:w="208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Разрыв между местом события и офисной системой</w:t>
            </w:r>
          </w:p>
        </w:tc>
        <w:tc>
          <w:tcPr>
            <w:tcW w:type="dxa" w:w="302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Факт рождается в поле, кабине, весовой или у станка, а фиксируется позже.</w:t>
            </w:r>
          </w:p>
        </w:tc>
        <w:tc>
          <w:tcPr>
            <w:tcW w:type="dxa" w:w="237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Потеря времени/контекста, «восстановление по памяти».</w:t>
            </w:r>
          </w:p>
        </w:tc>
        <w:tc>
          <w:tcPr>
            <w:tcW w:type="dxa" w:w="288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Mobile-first + context + local save.</w:t>
            </w:r>
          </w:p>
        </w:tc>
        <w:tc>
          <w:tcPr>
            <w:tcW w:type="dxa" w:w="201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Доля фактов, введенных в момент события.</w:t>
            </w:r>
          </w:p>
        </w:tc>
      </w:tr>
      <w:tr>
        <w:trPr>
          <w:cantSplit/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SYS-03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Нестабильный WAN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Полевые/удаленные площадки и цеховые зоны не гарантируют устойчивую внешнюю связь.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Остановка приложения или бумажный fallback.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Offline-first + Local Server.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Доля критических workflows, работающих без WAN.</w:t>
            </w:r>
          </w:p>
        </w:tc>
      </w:tr>
      <w:tr>
        <w:trPr>
          <w:cantSplit/>
          <w:cantSplit/>
        </w:trPr>
        <w:tc>
          <w:tcPr>
            <w:tcW w:type="dxa" w:w="93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SYS-04</w:t>
            </w:r>
          </w:p>
        </w:tc>
        <w:tc>
          <w:tcPr>
            <w:tcW w:type="dxa" w:w="208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Разные «истины» в разных системах</w:t>
            </w:r>
          </w:p>
        </w:tc>
        <w:tc>
          <w:tcPr>
            <w:tcW w:type="dxa" w:w="302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1С, ФГИС, Excel, GPS-сервис, лаборатория и оператор хранят разные атрибуты одного объекта.</w:t>
            </w:r>
          </w:p>
        </w:tc>
        <w:tc>
          <w:tcPr>
            <w:tcW w:type="dxa" w:w="237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Споры, ручная сверка.</w:t>
            </w:r>
          </w:p>
        </w:tc>
        <w:tc>
          <w:tcPr>
            <w:tcW w:type="dxa" w:w="288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Attribute-level Source of Truth + reconciliation.</w:t>
            </w:r>
          </w:p>
        </w:tc>
        <w:tc>
          <w:tcPr>
            <w:tcW w:type="dxa" w:w="201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Количество конфликтов/1000 записей.</w:t>
            </w:r>
          </w:p>
        </w:tc>
      </w:tr>
      <w:tr>
        <w:trPr>
          <w:cantSplit/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SYS-05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Нет сквозной traceability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Поле, весовая, склад и производство живут отдельными идентификаторами.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Расследование партии занимает часы/дни.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Canonical Batch/Lot genealogy.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Время forward/backward trace query.</w:t>
            </w:r>
          </w:p>
        </w:tc>
      </w:tr>
      <w:tr>
        <w:trPr>
          <w:cantSplit/>
          <w:cantSplit/>
        </w:trPr>
        <w:tc>
          <w:tcPr>
            <w:tcW w:type="dxa" w:w="93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SYS-06</w:t>
            </w:r>
          </w:p>
        </w:tc>
        <w:tc>
          <w:tcPr>
            <w:tcW w:type="dxa" w:w="208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Неоднородность оборудования</w:t>
            </w:r>
          </w:p>
        </w:tc>
        <w:tc>
          <w:tcPr>
            <w:tcW w:type="dxa" w:w="302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Есть PLC/OPC UA, старые Modbus-устройства и полностью ручные станки.</w:t>
            </w:r>
          </w:p>
        </w:tc>
        <w:tc>
          <w:tcPr>
            <w:tcW w:type="dxa" w:w="237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MES/OEE трудно масштабировать стандартным способом.</w:t>
            </w:r>
          </w:p>
        </w:tc>
        <w:tc>
          <w:tcPr>
            <w:tcW w:type="dxa" w:w="288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Evidence abstraction + RetrofitNode + manual fallback.</w:t>
            </w:r>
          </w:p>
        </w:tc>
        <w:tc>
          <w:tcPr>
            <w:tcW w:type="dxa" w:w="201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Доля активов, включенных в контур без замены оборудования.</w:t>
            </w:r>
          </w:p>
        </w:tc>
      </w:tr>
      <w:tr>
        <w:trPr>
          <w:cantSplit/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SYS-07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Невидимые потери времени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Простои, ожидание, microstops, очереди на весовой, поиск документов не фиксируются.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Руководитель видит результат, но не причины.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Event timeline + downtime reason + process timestamps.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Доля потерь с классифицированной причиной.</w:t>
            </w:r>
          </w:p>
        </w:tc>
      </w:tr>
      <w:tr>
        <w:trPr>
          <w:cantSplit/>
          <w:cantSplit/>
        </w:trPr>
        <w:tc>
          <w:tcPr>
            <w:tcW w:type="dxa" w:w="93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SYS-08</w:t>
            </w:r>
          </w:p>
        </w:tc>
        <w:tc>
          <w:tcPr>
            <w:tcW w:type="dxa" w:w="208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Мастер-данные загрязняются</w:t>
            </w:r>
          </w:p>
        </w:tc>
        <w:tc>
          <w:tcPr>
            <w:tcW w:type="dxa" w:w="302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Дубли материалов/контрагентов/полей/оборудования, разные коды.</w:t>
            </w:r>
          </w:p>
        </w:tc>
        <w:tc>
          <w:tcPr>
            <w:tcW w:type="dxa" w:w="237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Интеграции ломаются, отчеты расходятся.</w:t>
            </w:r>
          </w:p>
        </w:tc>
        <w:tc>
          <w:tcPr>
            <w:tcW w:type="dxa" w:w="288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Golden Record + duplicate/merge + aliases.</w:t>
            </w:r>
          </w:p>
        </w:tc>
        <w:tc>
          <w:tcPr>
            <w:tcW w:type="dxa" w:w="201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Duplicate rate.</w:t>
            </w:r>
          </w:p>
        </w:tc>
      </w:tr>
      <w:tr>
        <w:trPr>
          <w:cantSplit/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SYS-09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Высокая цена клавиатуры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Работник в перчатках/кабине/цехе не должен заполнять длинную форму.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Сопротивление внедрению и ошибки.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QR/NFC/voice/photo/GPS/default context.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Среднее число taps/keystrokes на операцию.</w:t>
            </w:r>
          </w:p>
        </w:tc>
      </w:tr>
      <w:tr>
        <w:trPr>
          <w:cantSplit/>
          <w:cantSplit/>
        </w:trPr>
        <w:tc>
          <w:tcPr>
            <w:tcW w:type="dxa" w:w="93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SYS-10</w:t>
            </w:r>
          </w:p>
        </w:tc>
        <w:tc>
          <w:tcPr>
            <w:tcW w:type="dxa" w:w="208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Автоматизация начинает диктовать процесс</w:t>
            </w:r>
          </w:p>
        </w:tc>
        <w:tc>
          <w:tcPr>
            <w:tcW w:type="dxa" w:w="302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Система требует сначала «правильно заполнить ERP», а потом выполнить реальную работу.</w:t>
            </w:r>
          </w:p>
        </w:tc>
        <w:tc>
          <w:tcPr>
            <w:tcW w:type="dxa" w:w="237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Обход системы и shadow Excel.</w:t>
            </w:r>
          </w:p>
        </w:tc>
        <w:tc>
          <w:tcPr>
            <w:tcW w:type="dxa" w:w="288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Operational workflow first; ERP/FGIS adapters second.</w:t>
            </w:r>
          </w:p>
        </w:tc>
        <w:tc>
          <w:tcPr>
            <w:tcW w:type="dxa" w:w="201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Доля операций, завершенных без обходных каналов.</w:t>
            </w:r>
          </w:p>
        </w:tc>
      </w:tr>
      <w:tr>
        <w:trPr>
          <w:cantSplit/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SYS-11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AI/IoT могут создавать ложную уверенность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Датчик или модель могут ошибаться, иметь stale data или неверный mapping.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Ошибочный business fact.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Evidence → candidate → domain command; confidence/provenance.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Доля auto-facts с проверяемым provenance.</w:t>
            </w:r>
          </w:p>
        </w:tc>
      </w:tr>
      <w:tr>
        <w:trPr>
          <w:cantSplit/>
          <w:cantSplit/>
        </w:trPr>
        <w:tc>
          <w:tcPr>
            <w:tcW w:type="dxa" w:w="93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SYS-12</w:t>
            </w:r>
          </w:p>
        </w:tc>
        <w:tc>
          <w:tcPr>
            <w:tcW w:type="dxa" w:w="208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ROI внедрения непрозрачен</w:t>
            </w:r>
          </w:p>
        </w:tc>
        <w:tc>
          <w:tcPr>
            <w:tcW w:type="dxa" w:w="302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Покупают dashboard/датчики, но не измеряют исходный процесс.</w:t>
            </w:r>
          </w:p>
        </w:tc>
        <w:tc>
          <w:tcPr>
            <w:tcW w:type="dxa" w:w="237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Проект воспринимается как затратный IT.</w:t>
            </w:r>
          </w:p>
        </w:tc>
        <w:tc>
          <w:tcPr>
            <w:tcW w:type="dxa" w:w="288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Baseline + KPI registry + benefit tracking.</w:t>
            </w:r>
          </w:p>
        </w:tc>
        <w:tc>
          <w:tcPr>
            <w:tcW w:type="dxa" w:w="201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Подтвержденный эффект ₽/часы/потери.</w:t>
            </w:r>
          </w:p>
        </w:tc>
      </w:tr>
    </w:tbl>
    <w:p>
      <w:pPr>
        <w:spacing w:after="20"/>
      </w:pPr>
    </w:p>
    <w:p>
      <w:pPr>
        <w:pStyle w:val="Heading1"/>
      </w:pPr>
      <w:r>
        <w:t>5. Поле / агрономия / GIS / remote sensing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1685"/>
        <w:gridCol w:w="1685"/>
        <w:gridCol w:w="1685"/>
        <w:gridCol w:w="1685"/>
        <w:gridCol w:w="1685"/>
        <w:gridCol w:w="1685"/>
      </w:tblGrid>
      <w:tr>
        <w:trPr>
          <w:tblHeader w:val="true"/>
          <w:cantSplit/>
          <w:cantSplit/>
        </w:trPr>
        <w:tc>
          <w:tcPr>
            <w:tcW w:type="dxa" w:w="8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67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Проблема / root cause</w:t>
            </w:r>
          </w:p>
        </w:tc>
        <w:tc>
          <w:tcPr>
            <w:tcW w:type="dxa" w:w="244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Последствие</w:t>
            </w:r>
          </w:p>
        </w:tc>
        <w:tc>
          <w:tcPr>
            <w:tcW w:type="dxa" w:w="33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Product response</w:t>
            </w:r>
          </w:p>
        </w:tc>
        <w:tc>
          <w:tcPr>
            <w:tcW w:type="dxa" w:w="19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KPI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Оценка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AGR-01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Кадастровый участок ошибочно принимается за производственное поле.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Ошибки площади, истории и агропланирования.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LandPlot != Field != FieldSeason; geometry versions.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% полей с корректной lineage.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S4/F2/B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AGR-02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Границы полей корректируются на практике, но история теряется в файлах GIS.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Нельзя доказать, по какой геометрии считали площадь/работу.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Versioned geometry + effective dates + audit.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Доля изменений с причиной/version.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S3/F2/B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AGR-03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GIS-данные приходят в разных форматах/CRS.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Ручная конвертация, ошибки проекции.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Import pipeline GeoJSON/KML/KMZ/GPKG/SHP/GPX + CRS validation.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Успешность импорта; время подготовки.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S3/F2/B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AGR-04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План полевых работ быстро устаревает из-за погоды/состояния поля.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Диспетчер переписывает планы вручную.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Replanning without losing plan/fact history.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Время перепланирования.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S3/F3/A/B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AGR-05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Факт выполнения работы фиксируется позже и беднее реального контекста.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Нет точного времени/GPS/материала/исполнителя.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Mobile task completion + GPS/photo/voice + defaults.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Доля фактов real-time.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S4/F4/B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AGR-06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Скаутинг запускается реактивно по жалобе, а не по сигналу.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Позднее обнаружение локальных проблем.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Satellite anomaly → scouting task → route → evidence.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Время anomaly-to-inspection.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S3/F2/C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AGR-07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Спутниковый индекс воспринимается как диагноз.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Ложные решения из-за облаков/почвы/фазы культуры.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Cloud mask + anomaly as candidate + field confirmation.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False-positive rate.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S3/F2/B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AGR-08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История поля распадается по сезонам и Excel.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Сложно сравнивать агротехнику и урожайность.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FieldSeason history + operation/material/yield lineage.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Время seasonal comparison.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S2/F2/B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AGR-09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Площадь «по документам» и фактическая геометрическая площадь различаются.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Разные цифры в планах, списаниях, отчетах.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DeclaredArea vs GeometricArea with source/provenance.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Количество необъясненных расхождений.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S3/F2/B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AGR-10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Полевой пользователь не может работать с большой web-картой в плохой связи.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Возврат к бумаге/скриншотам.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Offline map packs, simplified mobile layers.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Доля field workflows offline.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S4/F4/A</w:t>
            </w:r>
          </w:p>
        </w:tc>
      </w:tr>
    </w:tbl>
    <w:p>
      <w:pPr>
        <w:spacing w:after="20"/>
      </w:pPr>
    </w:p>
    <w:p>
      <w:pPr>
        <w:pStyle w:val="Heading1"/>
      </w:pPr>
      <w:r>
        <w:t>6. Техника / диспетчеризация / ТОиР / топливо</w:t>
      </w:r>
    </w:p>
    <w:p>
      <w:r>
        <w:t>Государственная политика обновления парка подтверждает, что переход на «полностью новую» технику одномоментно нереалистичен; платформа должна поддерживать длительный смешанный парк. [S7][S8]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1685"/>
        <w:gridCol w:w="1685"/>
        <w:gridCol w:w="1685"/>
        <w:gridCol w:w="1685"/>
        <w:gridCol w:w="1685"/>
        <w:gridCol w:w="1685"/>
      </w:tblGrid>
      <w:tr>
        <w:trPr>
          <w:tblHeader w:val="true"/>
          <w:cantSplit/>
          <w:cantSplit/>
        </w:trPr>
        <w:tc>
          <w:tcPr>
            <w:tcW w:type="dxa" w:w="8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67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Проблема / root cause</w:t>
            </w:r>
          </w:p>
        </w:tc>
        <w:tc>
          <w:tcPr>
            <w:tcW w:type="dxa" w:w="244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Последствие</w:t>
            </w:r>
          </w:p>
        </w:tc>
        <w:tc>
          <w:tcPr>
            <w:tcW w:type="dxa" w:w="33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Product response</w:t>
            </w:r>
          </w:p>
        </w:tc>
        <w:tc>
          <w:tcPr>
            <w:tcW w:type="dxa" w:w="19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KPI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Оценка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MCH-01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Операторские назначения и фактическое использование техники меняются в течение смены.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Неверная ответственность/учет.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QR/NFC asset identification + assignment timeline.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Неидентифицированные machine-hours.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S3/F3/B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MCH-02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GPS сам по себе не доказывает выполнение технологической операции.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Ложное автозакрытие задания.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GPS as evidence only; domain completion separately.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Ошибочные auto-completions.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S4/F3/B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MCH-03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Телематика разных производителей не имеет общего семантического слоя.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Vendor lock-in, разные dashboards.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Normalized telemetry/evidence contract.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Доля источников через canonical model.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S3/F3/B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MCH-04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ТОиР часто реагирует на поломку, а не на накопленные сигналы и историю.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Незапланированные простои.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Asset history + maintenance requests + evidence/anomaly.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MTBF/MTTR; unplanned downtime.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S4/F2/B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MCH-05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Старую технику невозможно быстро подключить по штатному API.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Цифровой контур охватывает только новую часть парка.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RetrofitNode, external counter/current/GPS/manual.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% legacy assets visible.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S4/F3/A/B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MCH-06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Топливный факт трудно отличить от шума датчика или перелива.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Спорные списания/аномалии.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Fuel jump → evidence/anomaly → confirmation/reconciliation.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Unresolved fuel anomalies.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S4/F2/B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MCH-07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Нет единого lifecycle оборудования от эксплуатации до ремонта.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История разнесена по GPS, 1С, механикам.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Canonical Equipment + maintenance links + external accounting refs.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Время поиска истории актива.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S3/F3/B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MCH-08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Сезонная нагрузка делает минуты простоя дороже обычного.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Потеря агротехнического окна.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Operational alerts + mobile maintenance + spare/issue context.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Downtime during critical window.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S4/F2/C</w:t>
            </w:r>
          </w:p>
        </w:tc>
      </w:tr>
    </w:tbl>
    <w:p>
      <w:pPr>
        <w:spacing w:after="20"/>
      </w:pPr>
    </w:p>
    <w:p>
      <w:pPr>
        <w:pStyle w:val="Heading1"/>
      </w:pPr>
      <w:r>
        <w:t>7. Весовая / внутренняя логистика / транспорт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1685"/>
        <w:gridCol w:w="1685"/>
        <w:gridCol w:w="1685"/>
        <w:gridCol w:w="1685"/>
        <w:gridCol w:w="1685"/>
        <w:gridCol w:w="1685"/>
      </w:tblGrid>
      <w:tr>
        <w:trPr>
          <w:tblHeader w:val="true"/>
          <w:cantSplit/>
          <w:cantSplit/>
        </w:trPr>
        <w:tc>
          <w:tcPr>
            <w:tcW w:type="dxa" w:w="8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67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Проблема / root cause</w:t>
            </w:r>
          </w:p>
        </w:tc>
        <w:tc>
          <w:tcPr>
            <w:tcW w:type="dxa" w:w="244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Последствие</w:t>
            </w:r>
          </w:p>
        </w:tc>
        <w:tc>
          <w:tcPr>
            <w:tcW w:type="dxa" w:w="33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Product response</w:t>
            </w:r>
          </w:p>
        </w:tc>
        <w:tc>
          <w:tcPr>
            <w:tcW w:type="dxa" w:w="19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KPI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Оценка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WGH-01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Вес с терминала переписывается вручную в журнал/1С.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Опечатки и двойной ввод.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WeightReading → Weighing workflow → canonical transaction.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Доля автоматизированных взвешиваний.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S4/F4/B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WGH-02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Неочевидно, какое взвешивание относится к какой партии/машине/рейсу.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Ошибочная traceability.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QR/vehicle/task context + pairing gross/tare.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Unmatched weighings.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S4/F3/B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WGH-03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Повторное/исправленное взвешивание затирает предыдущую цифру.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Нельзя расследовать расхождение.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Immutable readings + correction workflow.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Corrections with full audit.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S4/F2/B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WGH-04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Очередь на весовой видна только физически.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Простой транспорта и комбайнов.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Queue/appointment/status timestamps.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Среднее queue time.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S3/F3/C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WGH-05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Весовая может потерять WAN, хотя производство/приемка продолжаются.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Бумажный fallback.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Local Server + offline/local terminal integration.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Операции при WAN outage.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S4/F2/A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LOG-01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Рейс и партия отслеживаются в разных системах.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Нет единого статуса «где груз».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Shipment/Trip linked to batch/weighing/warehouse.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Unknown shipment status.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S3/F3/B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LOG-02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Фактические задержки доставки не попадают в аналитику причин.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Планирование опирается на идеальные времена.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Operational timestamps + delay reasons.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P50/P95 actual cycle time.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S2/F3/C</w:t>
            </w:r>
          </w:p>
        </w:tc>
      </w:tr>
    </w:tbl>
    <w:p>
      <w:pPr>
        <w:spacing w:after="20"/>
      </w:pPr>
    </w:p>
    <w:p>
      <w:pPr>
        <w:pStyle w:val="Heading1"/>
      </w:pPr>
      <w:r>
        <w:t>8. Склад / партии / запасы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1685"/>
        <w:gridCol w:w="1685"/>
        <w:gridCol w:w="1685"/>
        <w:gridCol w:w="1685"/>
        <w:gridCol w:w="1685"/>
        <w:gridCol w:w="1685"/>
      </w:tblGrid>
      <w:tr>
        <w:trPr>
          <w:tblHeader w:val="true"/>
          <w:cantSplit/>
          <w:cantSplit/>
        </w:trPr>
        <w:tc>
          <w:tcPr>
            <w:tcW w:type="dxa" w:w="8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67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Проблема / root cause</w:t>
            </w:r>
          </w:p>
        </w:tc>
        <w:tc>
          <w:tcPr>
            <w:tcW w:type="dxa" w:w="244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Последствие</w:t>
            </w:r>
          </w:p>
        </w:tc>
        <w:tc>
          <w:tcPr>
            <w:tcW w:type="dxa" w:w="33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Product response</w:t>
            </w:r>
          </w:p>
        </w:tc>
        <w:tc>
          <w:tcPr>
            <w:tcW w:type="dxa" w:w="19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KPI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Оценка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WH-01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Складская партия и агрономическая/производственная партия получают разные ID.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Traceability рвется.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Canonical Batch/Lot ID + aliases.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Доля партий со сквозной lineage.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S4/F3/B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WH-02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Фактическое место партии известно кладовщику, но не системе.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Поиск/ошибочная выдача.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QR locations + directed moves.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Время поиска партии.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S3/F3/B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WH-03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Остаток исправляют прямой корректировкой без доказательства причины.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Потеря аудита.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Inventory count → variance → approved adjustment.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Unexplained adjustments.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S4/F2/B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WH-04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Качество партии меняется после лаборатории, но доступность не блокируется согласованно.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Риск выдачи quarantine/rejected партии.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QualityDisposition + stock restrictions.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Blocked-invalid issues.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S4/F2/B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WH-05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Единицы измерения и пересчеты создают расхождения.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kg/t/pcs не сходятся с 1С.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Canonical UoM + explicit conversion rules.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Conversion errors.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S3/F3/B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WH-06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Складские движения создаются из «датчика уровня» напрямую.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Ложные движения из-за шума/калибровки.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Sensor evidence → candidate/reconciliation, not stock fact.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Auto-movement false positives.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S4/F2/B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WH-07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Номенклатура дублируется между складом, 1С и производством.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Сложные интеграции и отчеты.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Golden Material + accountingCode sourced from 1C.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Duplicate material rate.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S4/F3/B</w:t>
            </w:r>
          </w:p>
        </w:tc>
      </w:tr>
    </w:tbl>
    <w:p>
      <w:pPr>
        <w:spacing w:after="20"/>
      </w:pPr>
    </w:p>
    <w:p>
      <w:pPr>
        <w:pStyle w:val="Heading1"/>
      </w:pPr>
      <w:r>
        <w:t>9. Производство / MES-lite / OEE / retrofit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1685"/>
        <w:gridCol w:w="1685"/>
        <w:gridCol w:w="1685"/>
        <w:gridCol w:w="1685"/>
        <w:gridCol w:w="1685"/>
        <w:gridCol w:w="1685"/>
      </w:tblGrid>
      <w:tr>
        <w:trPr>
          <w:tblHeader w:val="true"/>
          <w:cantSplit/>
          <w:cantSplit/>
        </w:trPr>
        <w:tc>
          <w:tcPr>
            <w:tcW w:type="dxa" w:w="8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67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Проблема / root cause</w:t>
            </w:r>
          </w:p>
        </w:tc>
        <w:tc>
          <w:tcPr>
            <w:tcW w:type="dxa" w:w="244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Последствие</w:t>
            </w:r>
          </w:p>
        </w:tc>
        <w:tc>
          <w:tcPr>
            <w:tcW w:type="dxa" w:w="33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Product response</w:t>
            </w:r>
          </w:p>
        </w:tc>
        <w:tc>
          <w:tcPr>
            <w:tcW w:type="dxa" w:w="19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KPI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Оценка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MES-01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ProductionOrder путается с фактическим ProductionRun.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План воспринимается как факт.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Separate order/run state machines.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Runs without order/fact mismatch.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S4/F3/B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MES-02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RUN PLC путают с реальным выпуском.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OEE и production facts становятся неверными.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PLC state != evidence != derived state != ProductionRun.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State/fact reconciliation errors.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S4/F4/B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MES-03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Старый станок не имеет PLC.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MES-проект откладывается до модернизации.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Manual-first + retrofit maturity levels R0–R4.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% equipment covered.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S4/F3/A/B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MES-04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Причины простоев вводят в конце смены «по памяти».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Pareto потерь недостоверно.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Immediate mobile prompt + quick reason buttons + later confirmation.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% downtime classified &lt;10 min after event.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S4/F4/B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MES-05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Microstops не фиксируются или учитываются дважды.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OEE и root cause искажены.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Interval model + versioned OEE policy.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Reconciled loss minutes.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S3/F4/B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MES-06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Ideal speed/cycle не версионируется.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Исторический OEE меняется задним числом.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Versioned ideal rate and OeePolicy.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Reproducible KPI %.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S4/F2/B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MES-07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Выпуск и расход материалов не связаны по партии.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Нет genealogy/recall.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MaterialConsumption/ProductionOutput with canonical batches.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Trace completeness.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S4/F3/B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MES-08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Поздний lab result меняет качество уже выпущенной партии.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Операционные и финальные KPI расходятся.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PROVISIONAL vs FINAL quality/OEE.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Late-disposition reconciliation time.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S4/F2/B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MES-09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Оборудование разных поколений требует разных интеграций.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Каждая линия превращается в custom project.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Signal mapping profiles + protocol adapters.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Time to onboard equipment.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S4/F3/B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MES-10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SCADA/PLC/IoT пытаются напрямую писать бизнес-таблицы.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Слабый audit и опасные побочные эффекты.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Evidence pipeline + domain commands.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Direct-write violations = 0.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S4/F3/B</w:t>
            </w:r>
          </w:p>
        </w:tc>
      </w:tr>
    </w:tbl>
    <w:p>
      <w:pPr>
        <w:spacing w:after="20"/>
      </w:pPr>
    </w:p>
    <w:p>
      <w:pPr>
        <w:pStyle w:val="Heading1"/>
      </w:pPr>
      <w:r>
        <w:t>10. Quality / Lab / traceability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1685"/>
        <w:gridCol w:w="1685"/>
        <w:gridCol w:w="1685"/>
        <w:gridCol w:w="1685"/>
        <w:gridCol w:w="1685"/>
        <w:gridCol w:w="1685"/>
      </w:tblGrid>
      <w:tr>
        <w:trPr>
          <w:tblHeader w:val="true"/>
          <w:cantSplit/>
          <w:cantSplit/>
        </w:trPr>
        <w:tc>
          <w:tcPr>
            <w:tcW w:type="dxa" w:w="8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67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Проблема / root cause</w:t>
            </w:r>
          </w:p>
        </w:tc>
        <w:tc>
          <w:tcPr>
            <w:tcW w:type="dxa" w:w="244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Последствие</w:t>
            </w:r>
          </w:p>
        </w:tc>
        <w:tc>
          <w:tcPr>
            <w:tcW w:type="dxa" w:w="33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Product response</w:t>
            </w:r>
          </w:p>
        </w:tc>
        <w:tc>
          <w:tcPr>
            <w:tcW w:type="dxa" w:w="19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KPI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Оценка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QLT-01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Проба не имеет надежной связи с партией/местом/временем.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Lab result сложно применить к правильному объекту.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QR sample + source links.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Orphan samples.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S4/F2/B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QLT-02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Лаборатория и склад используют разные статусы качества.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Партия может быть выдана преждевременно.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Canonical QualityDisposition.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Unauthorized release count.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S4/F2/B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QLT-03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Фото/акт/сертификат лежат отдельно от business fact.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Долгое расследование.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Object storage attachment linked to entity/event.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Evidence retrieval time.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S2/F3/B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TRC-01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Recall требует ручного обхода документов и людей.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Большое время реакции.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Graph-like genealogy query over canonical links.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Recall query time.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S4/F1/B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TRC-02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Split/merge/rework уничтожают простую «один lot → один lot» модель.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Неполная lineage.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Quantity-aware split/merge/rework genealogy.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Lineage completeness.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S4/F2/B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TRC-03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External status считают частью identity партии.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Внешняя система блокирует внутренний учет.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ExternalStatus separated from canonical identity.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Core workflow availability during external outage.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S4/F2/B</w:t>
            </w:r>
          </w:p>
        </w:tc>
      </w:tr>
    </w:tbl>
    <w:p>
      <w:pPr>
        <w:spacing w:after="20"/>
      </w:pPr>
    </w:p>
    <w:p>
      <w:pPr>
        <w:pStyle w:val="Heading1"/>
      </w:pPr>
      <w:r>
        <w:t>11. 1С / ФГИС / внешние системы / интеграции</w:t>
      </w:r>
    </w:p>
    <w:p>
      <w:r>
        <w:t>Государственная стратегия предусматривает дальнейшее развитие и консолидацию цифровых систем АПК, поэтому интеграционный слой должен проектироваться на изменение внешнего контура, а не на «вечный» endpoint. [S1][S2]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1685"/>
        <w:gridCol w:w="1685"/>
        <w:gridCol w:w="1685"/>
        <w:gridCol w:w="1685"/>
        <w:gridCol w:w="1685"/>
        <w:gridCol w:w="1685"/>
      </w:tblGrid>
      <w:tr>
        <w:trPr>
          <w:tblHeader w:val="true"/>
          <w:cantSplit/>
          <w:cantSplit/>
        </w:trPr>
        <w:tc>
          <w:tcPr>
            <w:tcW w:type="dxa" w:w="8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67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Проблема / root cause</w:t>
            </w:r>
          </w:p>
        </w:tc>
        <w:tc>
          <w:tcPr>
            <w:tcW w:type="dxa" w:w="244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Последствие</w:t>
            </w:r>
          </w:p>
        </w:tc>
        <w:tc>
          <w:tcPr>
            <w:tcW w:type="dxa" w:w="33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Product response</w:t>
            </w:r>
          </w:p>
        </w:tc>
        <w:tc>
          <w:tcPr>
            <w:tcW w:type="dxa" w:w="19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KPI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Оценка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INT-01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1С уже содержит бухгалтерские коды и документы; платформа рискует создать второй ERP.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Дублирование и конфликт владения.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Attribute-level SoT + adapter + reconciliation.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Conflicts per 1000 syncs.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S4/F4/B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INT-02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Операционный факт нужен сейчас, а 1С может синхронизироваться позже.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Полевой/цеховой процесс зависит от ERP availability.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Local canonical fact, async 1C exchange.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Core availability during 1C outage.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S4/F3/B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INT-03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Государственные системы и их интерфейсы эволюционируют.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Жесткая интеграция быстро устаревает.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Provider abstraction + versioned adapters.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Upgrade lead time.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S4/F2/A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INT-04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Один объект может иметь несколько внешних идентификаторов.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Дубли и неверный update.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ExternalIdentity mapping with provenance.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Duplicate external mappings.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S4/F3/B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INT-05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Повтор доставки сообщения воспринимается как новый факт.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Дубли документов/движений.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Idempotency keys + inbox/outbox.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Duplicate business facts = 0.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S4/F3/B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INT-06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Внешняя система временно недоступна.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Пользователь не может завершить локальную работу.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Retry/dead-letter/reconciliation; no core block.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Blocked local workflows.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S4/F3/B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INT-07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ФГИС/ВетИС требуют качественных справочников и регистрационных данных.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Ошибки синхронизации и ручное исправление.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Validation + staging + mapping dashboard.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Rejected integrations.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S3/F2/A/B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INT-08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Интеграционный конфликт решается last-write-wins.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Тихая потеря правильного значения.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Conflict object + policy/manual resolution.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Silent overwrites = 0.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S4/F2/B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INT-09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Один API пытаются использовать как внутреннюю БД-схему.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Сильная связанность модулей.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Versioned public contracts + module ownership.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Breaking integration defects.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S3/F2/B</w:t>
            </w:r>
          </w:p>
        </w:tc>
      </w:tr>
    </w:tbl>
    <w:p>
      <w:pPr>
        <w:spacing w:after="20"/>
      </w:pPr>
    </w:p>
    <w:p>
      <w:pPr>
        <w:pStyle w:val="Heading1"/>
      </w:pPr>
      <w:r>
        <w:t>12. Данные / Master Data / Source of Truth / Data Quality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1685"/>
        <w:gridCol w:w="1685"/>
        <w:gridCol w:w="1685"/>
        <w:gridCol w:w="1685"/>
        <w:gridCol w:w="1685"/>
        <w:gridCol w:w="1685"/>
      </w:tblGrid>
      <w:tr>
        <w:trPr>
          <w:tblHeader w:val="true"/>
          <w:cantSplit/>
          <w:cantSplit/>
        </w:trPr>
        <w:tc>
          <w:tcPr>
            <w:tcW w:type="dxa" w:w="8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67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Проблема / root cause</w:t>
            </w:r>
          </w:p>
        </w:tc>
        <w:tc>
          <w:tcPr>
            <w:tcW w:type="dxa" w:w="244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Последствие</w:t>
            </w:r>
          </w:p>
        </w:tc>
        <w:tc>
          <w:tcPr>
            <w:tcW w:type="dxa" w:w="33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Product response</w:t>
            </w:r>
          </w:p>
        </w:tc>
        <w:tc>
          <w:tcPr>
            <w:tcW w:type="dxa" w:w="19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KPI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Оценка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DAT-01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Одна сущность имеет противоречивые атрибуты из разных источников.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Невозможно ответить «какое значение правильное».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Attribute-level SoT + provenance.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Attributes without source %.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S4/F3/B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DAT-02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Raw данные смешиваются с business facts.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Невозможно пересчитать и доказать происхождение.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raw/staging/canonical/derived/read model separation.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Lineage coverage.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S4/F3/B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DAT-03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Изменение данных затирает историю.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Нельзя провести расследование.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Versioning/audit/supersession.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Critical edits without audit = 0.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S4/F2/B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DAT-04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Время события заменяется временем получения сервером.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Offline/IoT timeline неверен.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occurredAt/recordedAt/processedAt.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Late event reconciliation.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S4/F3/B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DAT-05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Неизвестное значение подменяют нулем/STOP/пустой строкой.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Ложная определенность.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Explicit UNKNOWN/NULL semantics.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Unknown coercion defects.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S3/F3/B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DAT-06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Дубли master data не управляются как процесс.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Интеграции разрастаются aliases.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Duplicate candidate → merge → redirect → lineage.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Merge cycle time.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S3/F2/B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DAT-07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Качество данных не показывается рядом с KPI.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Руководитель доверяет цифре одинаково при 95% и 40% evidence.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Data completeness/confidence next to metrics.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Metrics with quality indicator %.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S3/F3/B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DAT-08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Retention очищает данные без учета юридической/аудит потребности.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Потеря доказательств.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Retention classes + Legal Hold.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Illegal deletion incidents = 0.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S4/F1/B</w:t>
            </w:r>
          </w:p>
        </w:tc>
      </w:tr>
    </w:tbl>
    <w:p>
      <w:pPr>
        <w:spacing w:after="20"/>
      </w:pPr>
    </w:p>
    <w:p>
      <w:pPr>
        <w:pStyle w:val="Heading1"/>
      </w:pPr>
      <w:r>
        <w:t>13. Кадры / UX / change management / security</w:t>
      </w:r>
    </w:p>
    <w:p>
      <w:r>
        <w:t>Кадровая напряженность усиливает ценность автоматизации рутинных действий. В 2024–2026 годах Банк России неоднократно относил сельское хозяйство и производство к секторам, испытывающим дефицит персонала. [S3][S4]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1685"/>
        <w:gridCol w:w="1685"/>
        <w:gridCol w:w="1685"/>
        <w:gridCol w:w="1685"/>
        <w:gridCol w:w="1685"/>
        <w:gridCol w:w="1685"/>
      </w:tblGrid>
      <w:tr>
        <w:trPr>
          <w:tblHeader w:val="true"/>
          <w:cantSplit/>
          <w:cantSplit/>
        </w:trPr>
        <w:tc>
          <w:tcPr>
            <w:tcW w:type="dxa" w:w="8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67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Проблема / root cause</w:t>
            </w:r>
          </w:p>
        </w:tc>
        <w:tc>
          <w:tcPr>
            <w:tcW w:type="dxa" w:w="244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Последствие</w:t>
            </w:r>
          </w:p>
        </w:tc>
        <w:tc>
          <w:tcPr>
            <w:tcW w:type="dxa" w:w="33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Product response</w:t>
            </w:r>
          </w:p>
        </w:tc>
        <w:tc>
          <w:tcPr>
            <w:tcW w:type="dxa" w:w="19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KPI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Оценка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PEO-01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Сотрудники перегружены и воспринимают новую систему как дополнительную отчетность.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Низкое adoption.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Replace steps, do not add parallel steps.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Time-on-task before/after.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S4/F4/A/B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PEO-02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Сложные формы требуют обучения и приводят к обходу приложения.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WhatsApp/Excel/shadow records.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Role-based mobile UX, presets, scanning.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Completion rate in app.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S3/F4/B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PEO-03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Один логин используется сменой/бригадой.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Нет персонального audit.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Fast auth/device binding/role shift; no shared accounts.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Shared-account incidents.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S4/F3/A/B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PEO-04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Мастер/агроном исправляет данные за подчиненных без причины.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Audit теряет смысл.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Correction workflow + reason + permission.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Corrections without reason = 0.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S4/F2/B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PEO-05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Пользователь не понимает, почему система не дает завершить действие.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Сопротивление и звонки администратору.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Actionable validation messages + offline explanation.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Support tickets per workflow.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S2/F3/C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SEC-01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Полевые/цеховые устройства физически доступны многим людям.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Риск утечки/неверных действий.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Device security, short sessions, local encrypted store.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Security incidents.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S4/F2/B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SEC-02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Интеграционные секреты копируются в конфиги/скрипты.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Компрометация внешних систем.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Secret management + rotation + audit.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Secrets in repo = 0.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S4/F2/B</w:t>
            </w:r>
          </w:p>
        </w:tc>
      </w:tr>
    </w:tbl>
    <w:p>
      <w:pPr>
        <w:spacing w:after="20"/>
      </w:pPr>
    </w:p>
    <w:p>
      <w:pPr>
        <w:pStyle w:val="Heading1"/>
      </w:pPr>
      <w:r>
        <w:t>14. Экономика внедрения / TCO / ROI</w:t>
      </w:r>
    </w:p>
    <w:p>
      <w:r>
        <w:t>Рост затрат на ключевые статьи усиливает требования к доказуемому эффекту цифровизации: экономия должна быть выражена в часах, рублях, снижении простоев, потерь и ручных операций. [S9]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1685"/>
        <w:gridCol w:w="1685"/>
        <w:gridCol w:w="1685"/>
        <w:gridCol w:w="1685"/>
        <w:gridCol w:w="1685"/>
        <w:gridCol w:w="1685"/>
      </w:tblGrid>
      <w:tr>
        <w:trPr>
          <w:tblHeader w:val="true"/>
          <w:cantSplit/>
          <w:cantSplit/>
        </w:trPr>
        <w:tc>
          <w:tcPr>
            <w:tcW w:type="dxa" w:w="8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67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Проблема / root cause</w:t>
            </w:r>
          </w:p>
        </w:tc>
        <w:tc>
          <w:tcPr>
            <w:tcW w:type="dxa" w:w="244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Последствие</w:t>
            </w:r>
          </w:p>
        </w:tc>
        <w:tc>
          <w:tcPr>
            <w:tcW w:type="dxa" w:w="33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Product response</w:t>
            </w:r>
          </w:p>
        </w:tc>
        <w:tc>
          <w:tcPr>
            <w:tcW w:type="dxa" w:w="19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KPI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4"/>
              </w:rPr>
              <w:t>Оценка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ECO-01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Внедрение оценивают по количеству модулей, а не по потерям процесса.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ROI не доказан.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Baseline study + benefit ledger.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Verified annual benefit.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S4/F1/B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ECO-02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Интеграция/обследование каждой машины становится отдельным проектом.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Высокая стоимость масштабирования.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Reusable profiles/adapters/retrofit templates.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Cost per onboarded asset.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S4/F2/B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ECO-03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Покупка датчиков начинается до определения бизнес-вопроса.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Телеметрия есть, эффекта нет.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Evidence use-case first; hardware later.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% sensors tied to KPI/workflow.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S3/F2/B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ECO-04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Автоматизируется редкий процесс, а ежедневная рутина остается ручной.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Плохая отдача команды разработки.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Frequency × severity prioritization.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Hours saved/month.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S3/F3/B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ECO-05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Система требует постоянный cloud и дорогой канал.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Рост TCO удаленных площадок.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Local Server + async cloud.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WAN-independent uptime.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S4/F3/A/B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ECO-06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Для небольшого хозяйства enterprise-процесс слишком тяжел.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Отказ от продукта.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Profile-based simplification without separate domain.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Time-to-first-value by profile.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S3/F2/C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ECO-07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Данные сложно экспортировать/интегрировать, возникает vendor lock-in.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Риск закупки и долгой миграции.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API-first + standard GIS/data exports.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Export/API coverage.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S3/F1/B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ECO-08</w:t>
            </w:r>
          </w:p>
        </w:tc>
        <w:tc>
          <w:tcPr>
            <w:tcW w:type="dxa" w:w="36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Польза от аналитики приходит после сезона, когда исправить процесс нельзя.</w:t>
            </w:r>
          </w:p>
        </w:tc>
        <w:tc>
          <w:tcPr>
            <w:tcW w:type="dxa" w:w="244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Отчет есть, действия нет.</w:t>
            </w:r>
          </w:p>
        </w:tc>
        <w:tc>
          <w:tcPr>
            <w:tcW w:type="dxa" w:w="33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Operational alerts/tasks during process.</w:t>
            </w:r>
          </w:p>
        </w:tc>
        <w:tc>
          <w:tcPr>
            <w:tcW w:type="dxa" w:w="19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Signal-to-action time.</w:t>
            </w:r>
          </w:p>
        </w:tc>
        <w:tc>
          <w:tcPr>
            <w:tcW w:type="dxa" w:w="12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4"/>
              </w:rPr>
              <w:t>S3/F3/B</w:t>
            </w:r>
          </w:p>
        </w:tc>
      </w:tr>
    </w:tbl>
    <w:p>
      <w:pPr>
        <w:spacing w:after="20"/>
      </w:pPr>
    </w:p>
    <w:p>
      <w:pPr>
        <w:pStyle w:val="Heading1"/>
      </w:pPr>
      <w:r>
        <w:t>15. Анти-паттерны автоматизации, которых платформа должна избегать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2527"/>
        <w:gridCol w:w="2527"/>
        <w:gridCol w:w="2527"/>
        <w:gridCol w:w="2527"/>
      </w:tblGrid>
      <w:tr>
        <w:trPr>
          <w:tblHeader w:val="true"/>
          <w:cantSplit/>
          <w:cantSplit/>
        </w:trPr>
        <w:tc>
          <w:tcPr>
            <w:tcW w:type="dxa" w:w="8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0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Анти-паттерн</w:t>
            </w:r>
          </w:p>
        </w:tc>
        <w:tc>
          <w:tcPr>
            <w:tcW w:type="dxa" w:w="396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Почему опасно</w:t>
            </w:r>
          </w:p>
        </w:tc>
        <w:tc>
          <w:tcPr>
            <w:tcW w:type="dxa" w:w="460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Правило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AP-01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«Сначала подключим все датчики»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Замораживает внедрение на старом оборудовании.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Начать с manual workflow, подключать evidence по мере готовности.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AP-02</w:t>
            </w:r>
          </w:p>
        </w:tc>
        <w:tc>
          <w:tcPr>
            <w:tcW w:type="dxa" w:w="302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«Все данные мастерит 1С»</w:t>
            </w:r>
          </w:p>
        </w:tc>
        <w:tc>
          <w:tcPr>
            <w:tcW w:type="dxa" w:w="396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ERP не является источником каждого оперативного факта.</w:t>
            </w:r>
          </w:p>
        </w:tc>
        <w:tc>
          <w:tcPr>
            <w:tcW w:type="dxa" w:w="46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SoT на уровне атрибута.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AP-03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«Без интернета ничего не сохраняем»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Неприемлемо для поля/удаленной площадки.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Offline local transaction journal.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AP-04</w:t>
            </w:r>
          </w:p>
        </w:tc>
        <w:tc>
          <w:tcPr>
            <w:tcW w:type="dxa" w:w="302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«GPS = выполненная работа»</w:t>
            </w:r>
          </w:p>
        </w:tc>
        <w:tc>
          <w:tcPr>
            <w:tcW w:type="dxa" w:w="396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GPS лишь наблюдение.</w:t>
            </w:r>
          </w:p>
        </w:tc>
        <w:tc>
          <w:tcPr>
            <w:tcW w:type="dxa" w:w="46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Evidence + domain confirmation/rules.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AP-05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«Датчик уровня = складское движение»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Измерение не равно хозяйственной операции.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Candidate/reconciliation.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AP-06</w:t>
            </w:r>
          </w:p>
        </w:tc>
        <w:tc>
          <w:tcPr>
            <w:tcW w:type="dxa" w:w="302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«AI сам исправит справочник/простой»</w:t>
            </w:r>
          </w:p>
        </w:tc>
        <w:tc>
          <w:tcPr>
            <w:tcW w:type="dxa" w:w="396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Неконтролируемая мутация бизнес-фактов.</w:t>
            </w:r>
          </w:p>
        </w:tc>
        <w:tc>
          <w:tcPr>
            <w:tcW w:type="dxa" w:w="46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Recommendation with approval/domain command.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AP-07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«Сделаем отдельный справочник материалов для MES»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Создает параллельный домен.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Canonical master data reused everywhere.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AP-08</w:t>
            </w:r>
          </w:p>
        </w:tc>
        <w:tc>
          <w:tcPr>
            <w:tcW w:type="dxa" w:w="302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«Один большой универсальный экран»</w:t>
            </w:r>
          </w:p>
        </w:tc>
        <w:tc>
          <w:tcPr>
            <w:tcW w:type="dxa" w:w="396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Плохо для мобильного оператора.</w:t>
            </w:r>
          </w:p>
        </w:tc>
        <w:tc>
          <w:tcPr>
            <w:tcW w:type="dxa" w:w="46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Role/task-specific mobile flows.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AP-09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«Последний записавший победил»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Тихая потеря данных при sync/integration.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Explicit conflict resolution.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AP-10</w:t>
            </w:r>
          </w:p>
        </w:tc>
        <w:tc>
          <w:tcPr>
            <w:tcW w:type="dxa" w:w="302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«KPI без формулы и provenance»</w:t>
            </w:r>
          </w:p>
        </w:tc>
        <w:tc>
          <w:tcPr>
            <w:tcW w:type="dxa" w:w="396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Цифра не воспроизводится.</w:t>
            </w:r>
          </w:p>
        </w:tc>
        <w:tc>
          <w:tcPr>
            <w:tcW w:type="dxa" w:w="46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Formula Registry + policy/version + inputs.</w:t>
            </w:r>
          </w:p>
        </w:tc>
      </w:tr>
      <w:tr>
        <w:trPr>
          <w:cantSplit/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AP-11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«Cloud — скрытый master»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Нарушает LOCAL_PRIMARY и устойчивость.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Cloud async replica/analytics only.</w:t>
            </w:r>
          </w:p>
        </w:tc>
      </w:tr>
      <w:tr>
        <w:trPr>
          <w:cantSplit/>
          <w:cantSplit/>
        </w:trPr>
        <w:tc>
          <w:tcPr>
            <w:tcW w:type="dxa" w:w="8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AP-12</w:t>
            </w:r>
          </w:p>
        </w:tc>
        <w:tc>
          <w:tcPr>
            <w:tcW w:type="dxa" w:w="302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«Демонстрация на идеальных данных»</w:t>
            </w:r>
          </w:p>
        </w:tc>
        <w:tc>
          <w:tcPr>
            <w:tcW w:type="dxa" w:w="396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Реальный клиент сталкивается с дублями/offline/старыми активами.</w:t>
            </w:r>
          </w:p>
        </w:tc>
        <w:tc>
          <w:tcPr>
            <w:tcW w:type="dxa" w:w="46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Demo/QA datasets with conflicts and degraded modes.</w:t>
            </w:r>
          </w:p>
        </w:tc>
      </w:tr>
    </w:tbl>
    <w:p>
      <w:pPr>
        <w:spacing w:after="20"/>
      </w:pPr>
    </w:p>
    <w:p>
      <w:pPr>
        <w:pStyle w:val="Heading1"/>
      </w:pPr>
      <w:r>
        <w:t>16. Матрица «проблема → capability → измеримый эффект»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3370"/>
        <w:gridCol w:w="3370"/>
        <w:gridCol w:w="3370"/>
      </w:tblGrid>
      <w:tr>
        <w:trPr>
          <w:tblHeader w:val="true"/>
          <w:cantSplit/>
          <w:cantSplit/>
        </w:trPr>
        <w:tc>
          <w:tcPr>
            <w:tcW w:type="dxa" w:w="30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Problem family</w:t>
            </w:r>
          </w:p>
        </w:tc>
        <w:tc>
          <w:tcPr>
            <w:tcW w:type="dxa" w:w="48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48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Effect KPI</w:t>
            </w:r>
          </w:p>
        </w:tc>
      </w:tr>
      <w:tr>
        <w:trPr>
          <w:cantSplit/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Повторный ввод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QR/context capture, canonical facts, 1C/FGIS adapters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Время операции; количество повторных вводов; error rate</w:t>
            </w:r>
          </w:p>
        </w:tc>
      </w:tr>
      <w:tr>
        <w:trPr>
          <w:cantSplit/>
          <w:cantSplit/>
        </w:trPr>
        <w:tc>
          <w:tcPr>
            <w:tcW w:type="dxa" w:w="302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Нет связи</w:t>
            </w:r>
          </w:p>
        </w:tc>
        <w:tc>
          <w:tcPr>
            <w:tcW w:type="dxa" w:w="48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Offline mobile + Local Server + store-and-forward</w:t>
            </w:r>
          </w:p>
        </w:tc>
        <w:tc>
          <w:tcPr>
            <w:tcW w:type="dxa" w:w="48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% workflows без WAN; sync recovery time</w:t>
            </w:r>
          </w:p>
        </w:tc>
      </w:tr>
      <w:tr>
        <w:trPr>
          <w:cantSplit/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Неизвестная причина простоя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state intervals + fast reason UX + evidence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% classified downtime; downtime Pareto completeness</w:t>
            </w:r>
          </w:p>
        </w:tc>
      </w:tr>
      <w:tr>
        <w:trPr>
          <w:cantSplit/>
          <w:cantSplit/>
        </w:trPr>
        <w:tc>
          <w:tcPr>
            <w:tcW w:type="dxa" w:w="302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Потеря traceability</w:t>
            </w:r>
          </w:p>
        </w:tc>
        <w:tc>
          <w:tcPr>
            <w:tcW w:type="dxa" w:w="48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Batch genealogy</w:t>
            </w:r>
          </w:p>
        </w:tc>
        <w:tc>
          <w:tcPr>
            <w:tcW w:type="dxa" w:w="48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Recall query time; lineage completeness</w:t>
            </w:r>
          </w:p>
        </w:tc>
      </w:tr>
      <w:tr>
        <w:trPr>
          <w:cantSplit/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Legacy equipment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RetrofitNode + external sensors + manual fallback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Cost/time to onboard; coverage %</w:t>
            </w:r>
          </w:p>
        </w:tc>
      </w:tr>
      <w:tr>
        <w:trPr>
          <w:cantSplit/>
          <w:cantSplit/>
        </w:trPr>
        <w:tc>
          <w:tcPr>
            <w:tcW w:type="dxa" w:w="302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Конфликт данных</w:t>
            </w:r>
          </w:p>
        </w:tc>
        <w:tc>
          <w:tcPr>
            <w:tcW w:type="dxa" w:w="48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SoT + provenance + reconciliation</w:t>
            </w:r>
          </w:p>
        </w:tc>
        <w:tc>
          <w:tcPr>
            <w:tcW w:type="dxa" w:w="48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Conflict resolution time; silent overwrites</w:t>
            </w:r>
          </w:p>
        </w:tc>
      </w:tr>
      <w:tr>
        <w:trPr>
          <w:cantSplit/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Грязные master data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Golden Record + duplicate/merge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Duplicate rate; rejected integrations</w:t>
            </w:r>
          </w:p>
        </w:tc>
      </w:tr>
      <w:tr>
        <w:trPr>
          <w:cantSplit/>
          <w:cantSplit/>
        </w:trPr>
        <w:tc>
          <w:tcPr>
            <w:tcW w:type="dxa" w:w="302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Позднее обнаружение поля</w:t>
            </w:r>
          </w:p>
        </w:tc>
        <w:tc>
          <w:tcPr>
            <w:tcW w:type="dxa" w:w="48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Remote sensing → scouting workflow</w:t>
            </w:r>
          </w:p>
        </w:tc>
        <w:tc>
          <w:tcPr>
            <w:tcW w:type="dxa" w:w="48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Detection-to-inspection time</w:t>
            </w:r>
          </w:p>
        </w:tc>
      </w:tr>
      <w:tr>
        <w:trPr>
          <w:cantSplit/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Складские расхождения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count/variance workflow + evidence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Unexplained variance %</w:t>
            </w:r>
          </w:p>
        </w:tc>
      </w:tr>
      <w:tr>
        <w:trPr>
          <w:cantSplit/>
          <w:cantSplit/>
        </w:trPr>
        <w:tc>
          <w:tcPr>
            <w:tcW w:type="dxa" w:w="302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Необоснованный KPI</w:t>
            </w:r>
          </w:p>
        </w:tc>
        <w:tc>
          <w:tcPr>
            <w:tcW w:type="dxa" w:w="48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Formula Registry + versioned policies</w:t>
            </w:r>
          </w:p>
        </w:tc>
        <w:tc>
          <w:tcPr>
            <w:tcW w:type="dxa" w:w="48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Reproducibility test pass %</w:t>
            </w:r>
          </w:p>
        </w:tc>
      </w:tr>
      <w:tr>
        <w:trPr>
          <w:cantSplit/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Перегруженный персонал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mobile-first low-input flows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Actions/user/hour; taps per task</w:t>
            </w:r>
          </w:p>
        </w:tc>
      </w:tr>
      <w:tr>
        <w:trPr>
          <w:cantSplit/>
          <w:cantSplit/>
        </w:trPr>
        <w:tc>
          <w:tcPr>
            <w:tcW w:type="dxa" w:w="302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Высокий TCO интеграций</w:t>
            </w:r>
          </w:p>
        </w:tc>
        <w:tc>
          <w:tcPr>
            <w:tcW w:type="dxa" w:w="48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standard adapters + mapping profiles</w:t>
            </w:r>
          </w:p>
        </w:tc>
        <w:tc>
          <w:tcPr>
            <w:tcW w:type="dxa" w:w="489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Integration lead time and support cost</w:t>
            </w:r>
          </w:p>
        </w:tc>
      </w:tr>
    </w:tbl>
    <w:p>
      <w:pPr>
        <w:spacing w:after="20"/>
      </w:pPr>
    </w:p>
    <w:p>
      <w:pPr>
        <w:pStyle w:val="Heading1"/>
      </w:pPr>
      <w:r>
        <w:t>17. Предварительная продуктовая приоритизация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3370"/>
        <w:gridCol w:w="3370"/>
        <w:gridCol w:w="3370"/>
      </w:tblGrid>
      <w:tr>
        <w:trPr>
          <w:tblHeader w:val="true"/>
          <w:cantSplit/>
          <w:cantSplit/>
        </w:trPr>
        <w:tc>
          <w:tcPr>
            <w:tcW w:type="dxa" w:w="15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Уровень</w:t>
            </w:r>
          </w:p>
        </w:tc>
        <w:tc>
          <w:tcPr>
            <w:tcW w:type="dxa" w:w="66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Что должно попасть</w:t>
            </w:r>
          </w:p>
        </w:tc>
        <w:tc>
          <w:tcPr>
            <w:tcW w:type="dxa" w:w="475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Почему</w:t>
            </w:r>
          </w:p>
        </w:tc>
      </w:tr>
      <w:tr>
        <w:trPr>
          <w:cantSplit/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MVP / P0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Mobile offline core; organization/users; fields/tasks; equipment; weighing; warehouse batches; audit; sync; basic 1C adapter; QR.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Убирает бумагу и повторный ввод в ежедневных операциях.</w:t>
            </w:r>
          </w:p>
        </w:tc>
      </w:tr>
      <w:tr>
        <w:trPr>
          <w:cantSplit/>
          <w:cantSplit/>
        </w:trPr>
        <w:tc>
          <w:tcPr>
            <w:tcW w:type="dxa" w:w="15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V1 / P1</w:t>
            </w:r>
          </w:p>
        </w:tc>
        <w:tc>
          <w:tcPr>
            <w:tcW w:type="dxa" w:w="662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Full traceability; GIS versions/import; production orders/runs; downtime; OEE basic; quality holds; maintenance; external-system reconciliation.</w:t>
            </w:r>
          </w:p>
        </w:tc>
        <w:tc>
          <w:tcPr>
            <w:tcW w:type="dxa" w:w="475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Связывает поле со складом и производством и делает потери измеримыми.</w:t>
            </w:r>
          </w:p>
        </w:tc>
      </w:tr>
      <w:tr>
        <w:trPr>
          <w:cantSplit/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V1.x / P2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RetrofitNode; counters/current sensors; Modbus/OPC UA read-only; satellite pipeline/scouting; advanced Data Quality.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Повышает полноту фактов без требования заменить оборудование.</w:t>
            </w:r>
          </w:p>
        </w:tc>
      </w:tr>
      <w:tr>
        <w:trPr>
          <w:cantSplit/>
          <w:cantSplit/>
        </w:trPr>
        <w:tc>
          <w:tcPr>
            <w:tcW w:type="dxa" w:w="158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V2</w:t>
            </w:r>
          </w:p>
        </w:tc>
        <w:tc>
          <w:tcPr>
            <w:tcW w:type="dxa" w:w="662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AI root-cause assistant; dynamic bottleneck; predictive maintenance; prescription maps; richer cross-site analytics.</w:t>
            </w:r>
          </w:p>
        </w:tc>
        <w:tc>
          <w:tcPr>
            <w:tcW w:type="dxa" w:w="475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Использует уже качественный operational dataset; не создает фундамент с нуля.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4C7E7"/>
          <w:left w:val="single" w:sz="6" w:color="B4C7E7"/>
          <w:bottom w:val="single" w:sz="6" w:color="B4C7E7"/>
          <w:right w:val="single" w:sz="6" w:color="B4C7E7"/>
          <w:insideH w:val="single" w:sz="6" w:color="B4C7E7"/>
          <w:insideV w:val="single" w:sz="6" w:color="B4C7E7"/>
        </w:tblBorders>
      </w:tblPr>
      <w:tblGrid>
        <w:gridCol w:w="10109"/>
      </w:tblGrid>
      <w:tr>
        <w:trPr>
          <w:cantSplit/>
        </w:trPr>
        <w:tc>
          <w:tcPr>
            <w:tcW w:type="dxa" w:w="10109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/>
              <w:spacing w:after="40"/>
            </w:pPr>
            <w:r>
              <w:rPr>
                <w:b/>
                <w:color w:val="17365D"/>
              </w:rPr>
              <w:t>Приоритетный запрет</w:t>
            </w:r>
          </w:p>
          <w:p>
            <w:pPr>
              <w:keepLines/>
              <w:spacing w:after="0"/>
            </w:pPr>
            <w:r>
              <w:t>AI, сложные спутниковые модели и продвинутый IoT не должны задерживать выпуск базового offline operational core. Они дают ценность только после появления стабильных canonical facts.</w:t>
            </w:r>
          </w:p>
        </w:tc>
      </w:tr>
    </w:tbl>
    <w:p>
      <w:pPr>
        <w:spacing w:after="20"/>
      </w:pPr>
    </w:p>
    <w:p>
      <w:pPr>
        <w:pStyle w:val="Heading1"/>
      </w:pPr>
      <w:r>
        <w:t>18. Программа полевого исследования: как проверить гипотезы</w:t>
      </w:r>
    </w:p>
    <w:p>
      <w:r>
        <w:t>До фиксации финального product backlog необходимо пройти минимум три типа предприятий: растениеводческое хозяйство без производства, вертикально интегрированное хозяйство со складом/весовой и предприятие с переработкой/линиями. Желательно включить малое/среднее и крупное предприятие.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2527"/>
        <w:gridCol w:w="2527"/>
        <w:gridCol w:w="2527"/>
        <w:gridCol w:w="2527"/>
      </w:tblGrid>
      <w:tr>
        <w:trPr>
          <w:tblHeader w:val="true"/>
          <w:cantSplit/>
          <w:cantSplit/>
        </w:trPr>
        <w:tc>
          <w:tcPr>
            <w:tcW w:type="dxa" w:w="187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331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Метод</w:t>
            </w:r>
          </w:p>
        </w:tc>
        <w:tc>
          <w:tcPr>
            <w:tcW w:type="dxa" w:w="25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Минимум</w:t>
            </w:r>
          </w:p>
        </w:tc>
        <w:tc>
          <w:tcPr>
            <w:tcW w:type="dxa" w:w="50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Выход</w:t>
            </w:r>
          </w:p>
        </w:tc>
      </w:tr>
      <w:tr>
        <w:trPr>
          <w:cantSplit/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Desk research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Нормативы, формы, интеграции, процессы предприятия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1–2 дня/тип предприятия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Process map и список обязательных данных.</w:t>
            </w:r>
          </w:p>
        </w:tc>
      </w:tr>
      <w:tr>
        <w:trPr>
          <w:cantSplit/>
          <w:cantSplit/>
        </w:trPr>
        <w:tc>
          <w:tcPr>
            <w:tcW w:type="dxa" w:w="18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Интервью руководства</w:t>
            </w:r>
          </w:p>
        </w:tc>
        <w:tc>
          <w:tcPr>
            <w:tcW w:type="dxa" w:w="331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Директор, собственник, главный инженер/агроном</w:t>
            </w:r>
          </w:p>
        </w:tc>
        <w:tc>
          <w:tcPr>
            <w:tcW w:type="dxa" w:w="259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2–3 роли/предприятие</w:t>
            </w:r>
          </w:p>
        </w:tc>
        <w:tc>
          <w:tcPr>
            <w:tcW w:type="dxa" w:w="504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Top losses, KPI, ограничения внедрения.</w:t>
            </w:r>
          </w:p>
        </w:tc>
      </w:tr>
      <w:tr>
        <w:trPr>
          <w:cantSplit/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Contextual inquiry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Наблюдение прямо на рабочем месте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1 полная смена/ключевой процесс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Реальные действия, обходы, бумага, мессенджеры.</w:t>
            </w:r>
          </w:p>
        </w:tc>
      </w:tr>
      <w:tr>
        <w:trPr>
          <w:cantSplit/>
          <w:cantSplit/>
        </w:trPr>
        <w:tc>
          <w:tcPr>
            <w:tcW w:type="dxa" w:w="18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Artifact review</w:t>
            </w:r>
          </w:p>
        </w:tc>
        <w:tc>
          <w:tcPr>
            <w:tcW w:type="dxa" w:w="331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Журналы, Excel, формы, скриншоты 1С/ФГИС</w:t>
            </w:r>
          </w:p>
        </w:tc>
        <w:tc>
          <w:tcPr>
            <w:tcW w:type="dxa" w:w="259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10–20 артефактов</w:t>
            </w:r>
          </w:p>
        </w:tc>
        <w:tc>
          <w:tcPr>
            <w:tcW w:type="dxa" w:w="504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Duplicate entry map.</w:t>
            </w:r>
          </w:p>
        </w:tc>
      </w:tr>
      <w:tr>
        <w:trPr>
          <w:cantSplit/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Time &amp; motion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Замер конкретных операций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30+ наблюдений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Baseline seconds/taps/waiting.</w:t>
            </w:r>
          </w:p>
        </w:tc>
      </w:tr>
      <w:tr>
        <w:trPr>
          <w:cantSplit/>
          <w:cantSplit/>
        </w:trPr>
        <w:tc>
          <w:tcPr>
            <w:tcW w:type="dxa" w:w="18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Data audit</w:t>
            </w:r>
          </w:p>
        </w:tc>
        <w:tc>
          <w:tcPr>
            <w:tcW w:type="dxa" w:w="331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Справочники, партии, equipment IDs</w:t>
            </w:r>
          </w:p>
        </w:tc>
        <w:tc>
          <w:tcPr>
            <w:tcW w:type="dxa" w:w="259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Выборка 500–5000 записей</w:t>
            </w:r>
          </w:p>
        </w:tc>
        <w:tc>
          <w:tcPr>
            <w:tcW w:type="dxa" w:w="504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Duplicate/missing/conflict metrics.</w:t>
            </w:r>
          </w:p>
        </w:tc>
      </w:tr>
      <w:tr>
        <w:trPr>
          <w:cantSplit/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Prototype test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Mobile clickable/working prototype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5–8 пользователей/роль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Task completion and error rate.</w:t>
            </w:r>
          </w:p>
        </w:tc>
      </w:tr>
      <w:tr>
        <w:trPr>
          <w:cantSplit/>
          <w:cantSplit/>
        </w:trPr>
        <w:tc>
          <w:tcPr>
            <w:tcW w:type="dxa" w:w="18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Pilot</w:t>
            </w:r>
          </w:p>
        </w:tc>
        <w:tc>
          <w:tcPr>
            <w:tcW w:type="dxa" w:w="331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Local Server + 2–4 workflows</w:t>
            </w:r>
          </w:p>
        </w:tc>
        <w:tc>
          <w:tcPr>
            <w:tcW w:type="dxa" w:w="259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4–8 недель</w:t>
            </w:r>
          </w:p>
        </w:tc>
        <w:tc>
          <w:tcPr>
            <w:tcW w:type="dxa" w:w="504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Measured benefit and adoption.</w:t>
            </w:r>
          </w:p>
        </w:tc>
      </w:tr>
    </w:tbl>
    <w:p>
      <w:pPr>
        <w:spacing w:after="20"/>
      </w:pPr>
    </w:p>
    <w:p>
      <w:pPr>
        <w:pStyle w:val="Heading1"/>
      </w:pPr>
      <w:r>
        <w:t>19. Интервью: директор / собственник</w:t>
      </w:r>
    </w:p>
    <w:p>
      <w:pPr>
        <w:pStyle w:val="ListNumber"/>
        <w:spacing w:after="20"/>
      </w:pPr>
      <w:r>
        <w:t>Какие три операционные потери сегодня наиболее дорогие: простой, топливо, качество, урожайность, склад, логистика, люди, ошибки учета?</w:t>
      </w:r>
    </w:p>
    <w:p>
      <w:pPr>
        <w:pStyle w:val="ListNumber"/>
        <w:spacing w:after="20"/>
      </w:pPr>
      <w:r>
        <w:t>Какие цифры вы получаете ежедневно, а какие только в конце недели/месяца?</w:t>
      </w:r>
    </w:p>
    <w:p>
      <w:pPr>
        <w:pStyle w:val="ListNumber"/>
        <w:spacing w:after="20"/>
      </w:pPr>
      <w:r>
        <w:t>Каким цифрам вы не доверяете и почему?</w:t>
      </w:r>
    </w:p>
    <w:p>
      <w:pPr>
        <w:pStyle w:val="ListNumber"/>
        <w:spacing w:after="20"/>
      </w:pPr>
      <w:r>
        <w:t>Какие решения требуют звонков нескольким людям для восстановления факта?</w:t>
      </w:r>
    </w:p>
    <w:p>
      <w:pPr>
        <w:pStyle w:val="ListNumber"/>
        <w:spacing w:after="20"/>
      </w:pPr>
      <w:r>
        <w:t>Где один и тот же факт вводится в две или более системы?</w:t>
      </w:r>
    </w:p>
    <w:p>
      <w:pPr>
        <w:pStyle w:val="ListNumber"/>
        <w:spacing w:after="20"/>
      </w:pPr>
      <w:r>
        <w:t>Что происходит при отсутствии интернета на сутки?</w:t>
      </w:r>
    </w:p>
    <w:p>
      <w:pPr>
        <w:pStyle w:val="ListNumber"/>
        <w:spacing w:after="20"/>
      </w:pPr>
      <w:r>
        <w:t>Какие процессы нельзя останавливать из-за недоступности 1С/ФГИС?</w:t>
      </w:r>
    </w:p>
    <w:p>
      <w:pPr>
        <w:pStyle w:val="ListNumber"/>
        <w:spacing w:after="20"/>
      </w:pPr>
      <w:r>
        <w:t>Как сегодня измеряется эффект от внедрения IT/телематики?</w:t>
      </w:r>
    </w:p>
    <w:p>
      <w:pPr>
        <w:pStyle w:val="ListNumber"/>
        <w:spacing w:after="20"/>
      </w:pPr>
      <w:r>
        <w:t>Какой результат за 90 дней сделал бы пилот однозначно полезным?</w:t>
      </w:r>
    </w:p>
    <w:p>
      <w:pPr>
        <w:pStyle w:val="Heading1"/>
      </w:pPr>
      <w:r>
        <w:t>20. Интервью: агроном / диспетчер / механизатор</w:t>
      </w:r>
    </w:p>
    <w:p>
      <w:pPr>
        <w:pStyle w:val="ListNumber"/>
        <w:spacing w:after="20"/>
      </w:pPr>
      <w:r>
        <w:t>Как появляется задание и сколько раз его переписывают/пересылают?</w:t>
      </w:r>
    </w:p>
    <w:p>
      <w:pPr>
        <w:pStyle w:val="ListNumber"/>
        <w:spacing w:after="20"/>
      </w:pPr>
      <w:r>
        <w:t>Как меняется задание из-за погоды и кто узнает об изменении первым?</w:t>
      </w:r>
    </w:p>
    <w:p>
      <w:pPr>
        <w:pStyle w:val="ListNumber"/>
        <w:spacing w:after="20"/>
      </w:pPr>
      <w:r>
        <w:t>Что оператор вводит руками до, во время и после работы?</w:t>
      </w:r>
    </w:p>
    <w:p>
      <w:pPr>
        <w:pStyle w:val="ListNumber"/>
        <w:spacing w:after="20"/>
      </w:pPr>
      <w:r>
        <w:t>Что происходит в зоне без мобильной связи?</w:t>
      </w:r>
    </w:p>
    <w:p>
      <w:pPr>
        <w:pStyle w:val="ListNumber"/>
        <w:spacing w:after="20"/>
      </w:pPr>
      <w:r>
        <w:t>Какие фото/голосовые сообщения отправляются в мессенджеры и зачем?</w:t>
      </w:r>
    </w:p>
    <w:p>
      <w:pPr>
        <w:pStyle w:val="ListNumber"/>
        <w:spacing w:after="20"/>
      </w:pPr>
      <w:r>
        <w:t>Как проверяется фактическая площадь и качество выполнения?</w:t>
      </w:r>
    </w:p>
    <w:p>
      <w:pPr>
        <w:pStyle w:val="ListNumber"/>
        <w:spacing w:after="20"/>
      </w:pPr>
      <w:r>
        <w:t>Когда GPS полезен, а когда вводит в заблуждение?</w:t>
      </w:r>
    </w:p>
    <w:p>
      <w:pPr>
        <w:pStyle w:val="ListNumber"/>
        <w:spacing w:after="20"/>
      </w:pPr>
      <w:r>
        <w:t>Как фиксируются неисправность, заправка, смена оператора и простой?</w:t>
      </w:r>
    </w:p>
    <w:p>
      <w:pPr>
        <w:pStyle w:val="ListNumber"/>
        <w:spacing w:after="20"/>
      </w:pPr>
      <w:r>
        <w:t>Какой экран/действие вы бы не стали использовать в кабине?</w:t>
      </w:r>
    </w:p>
    <w:p>
      <w:pPr>
        <w:pStyle w:val="Heading1"/>
      </w:pPr>
      <w:r>
        <w:t>21. Интервью: весовая / склад / лаборатория</w:t>
      </w:r>
    </w:p>
    <w:p>
      <w:pPr>
        <w:pStyle w:val="ListNumber"/>
        <w:spacing w:after="20"/>
      </w:pPr>
      <w:r>
        <w:t>Откуда берутся машина, контрагент, партия и назначение рейса?</w:t>
      </w:r>
    </w:p>
    <w:p>
      <w:pPr>
        <w:pStyle w:val="ListNumber"/>
        <w:spacing w:after="20"/>
      </w:pPr>
      <w:r>
        <w:t>Какие значения переписываются с весового терминала вручную?</w:t>
      </w:r>
    </w:p>
    <w:p>
      <w:pPr>
        <w:pStyle w:val="ListNumber"/>
        <w:spacing w:after="20"/>
      </w:pPr>
      <w:r>
        <w:t>Что делать при повторном взвешивании или ошибке номера машины?</w:t>
      </w:r>
    </w:p>
    <w:p>
      <w:pPr>
        <w:pStyle w:val="ListNumber"/>
        <w:spacing w:after="20"/>
      </w:pPr>
      <w:r>
        <w:t>Как партия маркируется физически и в системе?</w:t>
      </w:r>
    </w:p>
    <w:p>
      <w:pPr>
        <w:pStyle w:val="ListNumber"/>
        <w:spacing w:after="20"/>
      </w:pPr>
      <w:r>
        <w:t>Какие расхождения остатков считаются «нормальными» и кто их утверждает?</w:t>
      </w:r>
    </w:p>
    <w:p>
      <w:pPr>
        <w:pStyle w:val="ListNumber"/>
        <w:spacing w:after="20"/>
      </w:pPr>
      <w:r>
        <w:t>Как лабораторный результат блокирует/разрешает партию?</w:t>
      </w:r>
    </w:p>
    <w:p>
      <w:pPr>
        <w:pStyle w:val="ListNumber"/>
        <w:spacing w:after="20"/>
      </w:pPr>
      <w:r>
        <w:t>Как быстро найти, куда ушла конкретная входящая партия?</w:t>
      </w:r>
    </w:p>
    <w:p>
      <w:pPr>
        <w:pStyle w:val="ListNumber"/>
        <w:spacing w:after="20"/>
      </w:pPr>
      <w:r>
        <w:t>Что происходит при недоступности 1С/внешней системы?</w:t>
      </w:r>
    </w:p>
    <w:p>
      <w:pPr>
        <w:pStyle w:val="Heading1"/>
      </w:pPr>
      <w:r>
        <w:t>22. Интервью: производство / мастер / технолог / механик</w:t>
      </w:r>
    </w:p>
    <w:p>
      <w:pPr>
        <w:pStyle w:val="ListNumber"/>
        <w:spacing w:after="20"/>
      </w:pPr>
      <w:r>
        <w:t>Что реально означает RUN на вашей линии и как отличить RUN без выпуска?</w:t>
      </w:r>
    </w:p>
    <w:p>
      <w:pPr>
        <w:pStyle w:val="ListNumber"/>
        <w:spacing w:after="20"/>
      </w:pPr>
      <w:r>
        <w:t>Какие простои видны автоматически, а какие известны только оператору?</w:t>
      </w:r>
    </w:p>
    <w:p>
      <w:pPr>
        <w:pStyle w:val="ListNumber"/>
        <w:spacing w:after="20"/>
      </w:pPr>
      <w:r>
        <w:t>Какие microstops чаще всего игнорируются?</w:t>
      </w:r>
    </w:p>
    <w:p>
      <w:pPr>
        <w:pStyle w:val="ListNumber"/>
        <w:spacing w:after="20"/>
      </w:pPr>
      <w:r>
        <w:t>Когда и кто указывает причину простоя?</w:t>
      </w:r>
    </w:p>
    <w:p>
      <w:pPr>
        <w:pStyle w:val="ListNumber"/>
        <w:spacing w:after="20"/>
      </w:pPr>
      <w:r>
        <w:t>Как задается идеальная производительность и меняется ли она по продукту?</w:t>
      </w:r>
    </w:p>
    <w:p>
      <w:pPr>
        <w:pStyle w:val="ListNumber"/>
        <w:spacing w:after="20"/>
      </w:pPr>
      <w:r>
        <w:t>Какие станки не имеют PLC/API и как сегодня считают их работу?</w:t>
      </w:r>
    </w:p>
    <w:p>
      <w:pPr>
        <w:pStyle w:val="ListNumber"/>
        <w:spacing w:after="20"/>
      </w:pPr>
      <w:r>
        <w:t>Как связаны расход сырья, выпуск, брак, rework и лаборатория?</w:t>
      </w:r>
    </w:p>
    <w:p>
      <w:pPr>
        <w:pStyle w:val="ListNumber"/>
        <w:spacing w:after="20"/>
      </w:pPr>
      <w:r>
        <w:t>Какие проблемы приводят к заявке ТОиР и как заявка связана с фактическим простоем?</w:t>
      </w:r>
    </w:p>
    <w:p>
      <w:pPr>
        <w:pStyle w:val="ListNumber"/>
        <w:spacing w:after="20"/>
      </w:pPr>
      <w:r>
        <w:t>Какие сигналы можно безопасно читать без вмешательства в PLC?</w:t>
      </w:r>
    </w:p>
    <w:p>
      <w:pPr>
        <w:pStyle w:val="Heading1"/>
      </w:pPr>
      <w:r>
        <w:t>23. Checklist наблюдения на предприятии</w:t>
      </w:r>
    </w:p>
    <w:p>
      <w:pPr>
        <w:pStyle w:val="ListBullet"/>
        <w:spacing w:after="20"/>
      </w:pPr>
      <w:r>
        <w:t>Считать каждый случай, когда сотрудник переписывает значение с экрана/бумаги в другой экран.</w:t>
      </w:r>
    </w:p>
    <w:p>
      <w:pPr>
        <w:pStyle w:val="ListBullet"/>
        <w:spacing w:after="20"/>
      </w:pPr>
      <w:r>
        <w:t>Фиксировать все Excel/бумажные журналы/мессенджеры, используемые как operational system.</w:t>
      </w:r>
    </w:p>
    <w:p>
      <w:pPr>
        <w:pStyle w:val="ListBullet"/>
        <w:spacing w:after="20"/>
      </w:pPr>
      <w:r>
        <w:t>Замерить время от возникновения события до появления записи в официальной системе.</w:t>
      </w:r>
    </w:p>
    <w:p>
      <w:pPr>
        <w:pStyle w:val="ListBullet"/>
        <w:spacing w:after="20"/>
      </w:pPr>
      <w:r>
        <w:t>Отмечать места без устойчивого LAN/WAN/LTE.</w:t>
      </w:r>
    </w:p>
    <w:p>
      <w:pPr>
        <w:pStyle w:val="ListBullet"/>
        <w:spacing w:after="20"/>
      </w:pPr>
      <w:r>
        <w:t>Фиксировать идентификаторы на физических объектах: таблички, номера, QR, рукописные метки.</w:t>
      </w:r>
    </w:p>
    <w:p>
      <w:pPr>
        <w:pStyle w:val="ListBullet"/>
        <w:spacing w:after="20"/>
      </w:pPr>
      <w:r>
        <w:t>Наблюдать исправления: кто может исправить, остается ли история, указывается ли причина.</w:t>
      </w:r>
    </w:p>
    <w:p>
      <w:pPr>
        <w:pStyle w:val="ListBullet"/>
        <w:spacing w:after="20"/>
      </w:pPr>
      <w:r>
        <w:t>Отмечать все ожидания: материал, лаборатория, ремонт, весовая, документ, разрешение.</w:t>
      </w:r>
    </w:p>
    <w:p>
      <w:pPr>
        <w:pStyle w:val="ListBullet"/>
        <w:spacing w:after="20"/>
      </w:pPr>
      <w:r>
        <w:t>Сравнить фактическое состояние оборудования с тем, что показывает SCADA/телематика.</w:t>
      </w:r>
    </w:p>
    <w:p>
      <w:pPr>
        <w:pStyle w:val="ListBullet"/>
        <w:spacing w:after="20"/>
      </w:pPr>
      <w:r>
        <w:t>Проверить, какие данные вводятся в конце смены «из памяти».</w:t>
      </w:r>
    </w:p>
    <w:p>
      <w:pPr>
        <w:pStyle w:val="ListBullet"/>
        <w:spacing w:after="20"/>
      </w:pPr>
      <w:r>
        <w:t>Собрать 20 реальных ошибок/исключений, а не только happy path.</w:t>
      </w:r>
    </w:p>
    <w:p>
      <w:pPr>
        <w:pStyle w:val="Heading1"/>
      </w:pPr>
      <w:r>
        <w:t>24. Baseline metrics до пилота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3370"/>
        <w:gridCol w:w="3370"/>
        <w:gridCol w:w="3370"/>
      </w:tblGrid>
      <w:tr>
        <w:trPr>
          <w:tblHeader w:val="true"/>
          <w:cantSplit/>
          <w:cantSplit/>
        </w:trPr>
        <w:tc>
          <w:tcPr>
            <w:tcW w:type="dxa" w:w="100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7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Метрика</w:t>
            </w:r>
          </w:p>
        </w:tc>
        <w:tc>
          <w:tcPr>
            <w:tcW w:type="dxa" w:w="835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Что измерять</w:t>
            </w:r>
          </w:p>
        </w:tc>
      </w:tr>
      <w:tr>
        <w:trPr>
          <w:cantSplit/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M-01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Manual touches per fact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Сколько ручных вводов проходит вес/партия/выпуск до финального учета.</w:t>
            </w:r>
          </w:p>
        </w:tc>
      </w:tr>
      <w:tr>
        <w:trPr>
          <w:cantSplit/>
          <w:cantSplit/>
        </w:trPr>
        <w:tc>
          <w:tcPr>
            <w:tcW w:type="dxa" w:w="10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M-02</w:t>
            </w:r>
          </w:p>
        </w:tc>
        <w:tc>
          <w:tcPr>
            <w:tcW w:type="dxa" w:w="37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Time-to-record</w:t>
            </w:r>
          </w:p>
        </w:tc>
        <w:tc>
          <w:tcPr>
            <w:tcW w:type="dxa" w:w="835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Время от события до canonical record.</w:t>
            </w:r>
          </w:p>
        </w:tc>
      </w:tr>
      <w:tr>
        <w:trPr>
          <w:cantSplit/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M-03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Offline failure rate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Доля операций, которые невозможно завершить без сети.</w:t>
            </w:r>
          </w:p>
        </w:tc>
      </w:tr>
      <w:tr>
        <w:trPr>
          <w:cantSplit/>
          <w:cantSplit/>
        </w:trPr>
        <w:tc>
          <w:tcPr>
            <w:tcW w:type="dxa" w:w="10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M-04</w:t>
            </w:r>
          </w:p>
        </w:tc>
        <w:tc>
          <w:tcPr>
            <w:tcW w:type="dxa" w:w="37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Duplicate master rate</w:t>
            </w:r>
          </w:p>
        </w:tc>
        <w:tc>
          <w:tcPr>
            <w:tcW w:type="dxa" w:w="835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Дубли материалов/контрагентов/активов.</w:t>
            </w:r>
          </w:p>
        </w:tc>
      </w:tr>
      <w:tr>
        <w:trPr>
          <w:cantSplit/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M-05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Reconciliation time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Часы на сверку платформы/1С/ФГИС/склада.</w:t>
            </w:r>
          </w:p>
        </w:tc>
      </w:tr>
      <w:tr>
        <w:trPr>
          <w:cantSplit/>
          <w:cantSplit/>
        </w:trPr>
        <w:tc>
          <w:tcPr>
            <w:tcW w:type="dxa" w:w="10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M-06</w:t>
            </w:r>
          </w:p>
        </w:tc>
        <w:tc>
          <w:tcPr>
            <w:tcW w:type="dxa" w:w="37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Unclassified downtime</w:t>
            </w:r>
          </w:p>
        </w:tc>
        <w:tc>
          <w:tcPr>
            <w:tcW w:type="dxa" w:w="835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% downtime minutes без причины.</w:t>
            </w:r>
          </w:p>
        </w:tc>
      </w:tr>
      <w:tr>
        <w:trPr>
          <w:cantSplit/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M-07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Traceability resolution time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Время ответа «откуда эта партия / куда она ушла».</w:t>
            </w:r>
          </w:p>
        </w:tc>
      </w:tr>
      <w:tr>
        <w:trPr>
          <w:cantSplit/>
          <w:cantSplit/>
        </w:trPr>
        <w:tc>
          <w:tcPr>
            <w:tcW w:type="dxa" w:w="10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M-08</w:t>
            </w:r>
          </w:p>
        </w:tc>
        <w:tc>
          <w:tcPr>
            <w:tcW w:type="dxa" w:w="37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Queue/waiting time</w:t>
            </w:r>
          </w:p>
        </w:tc>
        <w:tc>
          <w:tcPr>
            <w:tcW w:type="dxa" w:w="835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Весовая, материал, lab, ремонт.</w:t>
            </w:r>
          </w:p>
        </w:tc>
      </w:tr>
      <w:tr>
        <w:trPr>
          <w:cantSplit/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M-09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Mobile task duration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Секунды/taps на типовую операцию.</w:t>
            </w:r>
          </w:p>
        </w:tc>
      </w:tr>
      <w:tr>
        <w:trPr>
          <w:cantSplit/>
          <w:cantSplit/>
        </w:trPr>
        <w:tc>
          <w:tcPr>
            <w:tcW w:type="dxa" w:w="10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M-10</w:t>
            </w:r>
          </w:p>
        </w:tc>
        <w:tc>
          <w:tcPr>
            <w:tcW w:type="dxa" w:w="37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Data completeness</w:t>
            </w:r>
          </w:p>
        </w:tc>
        <w:tc>
          <w:tcPr>
            <w:tcW w:type="dxa" w:w="835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% KPI windows с достаточными inputs.</w:t>
            </w:r>
          </w:p>
        </w:tc>
      </w:tr>
      <w:tr>
        <w:trPr>
          <w:cantSplit/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M-11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Integration rejects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Ошибки/1000 обменов.</w:t>
            </w:r>
          </w:p>
        </w:tc>
      </w:tr>
      <w:tr>
        <w:trPr>
          <w:cantSplit/>
          <w:cantSplit/>
        </w:trPr>
        <w:tc>
          <w:tcPr>
            <w:tcW w:type="dxa" w:w="10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M-12</w:t>
            </w:r>
          </w:p>
        </w:tc>
        <w:tc>
          <w:tcPr>
            <w:tcW w:type="dxa" w:w="374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Operator adoption</w:t>
            </w:r>
          </w:p>
        </w:tc>
        <w:tc>
          <w:tcPr>
            <w:tcW w:type="dxa" w:w="835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Доля фактов, введенных через целевой workflow, а не обходным путем.</w:t>
            </w:r>
          </w:p>
        </w:tc>
      </w:tr>
    </w:tbl>
    <w:p>
      <w:pPr>
        <w:spacing w:after="20"/>
      </w:pPr>
    </w:p>
    <w:p>
      <w:pPr>
        <w:pStyle w:val="Heading1"/>
      </w:pPr>
      <w:r>
        <w:t>25. Research backlog: гипотезы, которые нельзя считать доказанными без полевой выборки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3370"/>
        <w:gridCol w:w="3370"/>
        <w:gridCol w:w="3370"/>
      </w:tblGrid>
      <w:tr>
        <w:trPr>
          <w:tblHeader w:val="true"/>
          <w:cantSplit/>
          <w:cantSplit/>
        </w:trPr>
        <w:tc>
          <w:tcPr>
            <w:tcW w:type="dxa" w:w="100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72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Гипотеза</w:t>
            </w:r>
          </w:p>
        </w:tc>
        <w:tc>
          <w:tcPr>
            <w:tcW w:type="dxa" w:w="475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Как проверить</w:t>
            </w:r>
          </w:p>
        </w:tc>
      </w:tr>
      <w:tr>
        <w:trPr>
          <w:cantSplit/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H-01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Очередь на весовой — один из основных источников потери времени уборочной логистики.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Замер на 3+ предприятиях в сезон.</w:t>
            </w:r>
          </w:p>
        </w:tc>
      </w:tr>
      <w:tr>
        <w:trPr>
          <w:cantSplit/>
          <w:cantSplit/>
        </w:trPr>
        <w:tc>
          <w:tcPr>
            <w:tcW w:type="dxa" w:w="10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H-02</w:t>
            </w:r>
          </w:p>
        </w:tc>
        <w:tc>
          <w:tcPr>
            <w:tcW w:type="dxa" w:w="720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Голосовой ввод заметно полезнее клавиатуры для механизаторов/мастеров.</w:t>
            </w:r>
          </w:p>
        </w:tc>
        <w:tc>
          <w:tcPr>
            <w:tcW w:type="dxa" w:w="475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A/B prototype in real noise conditions.</w:t>
            </w:r>
          </w:p>
        </w:tc>
      </w:tr>
      <w:tr>
        <w:trPr>
          <w:cantSplit/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H-03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NDVI anomaly workflow сокращает время до обследования и дает экономический эффект.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Сравнить anomaly vs conventional scouting on one season.</w:t>
            </w:r>
          </w:p>
        </w:tc>
      </w:tr>
      <w:tr>
        <w:trPr>
          <w:cantSplit/>
          <w:cantSplit/>
        </w:trPr>
        <w:tc>
          <w:tcPr>
            <w:tcW w:type="dxa" w:w="10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H-04</w:t>
            </w:r>
          </w:p>
        </w:tc>
        <w:tc>
          <w:tcPr>
            <w:tcW w:type="dxa" w:w="720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Три внешних сигнала (run/current/counter) дают достаточную точность OEE на большей части legacy линий.</w:t>
            </w:r>
          </w:p>
        </w:tc>
        <w:tc>
          <w:tcPr>
            <w:tcW w:type="dxa" w:w="475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Retrofit pilots across 5 machine types.</w:t>
            </w:r>
          </w:p>
        </w:tc>
      </w:tr>
      <w:tr>
        <w:trPr>
          <w:cantSplit/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H-05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В большинстве хозяйств основной конфликт master data — между 1С и локальными Excel, а не между ФГИС.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Data audit 10 enterprises.</w:t>
            </w:r>
          </w:p>
        </w:tc>
      </w:tr>
      <w:tr>
        <w:trPr>
          <w:cantSplit/>
          <w:cantSplit/>
        </w:trPr>
        <w:tc>
          <w:tcPr>
            <w:tcW w:type="dxa" w:w="10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H-06</w:t>
            </w:r>
          </w:p>
        </w:tc>
        <w:tc>
          <w:tcPr>
            <w:tcW w:type="dxa" w:w="720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Пользователь примет обязательную причину простоя, если классификация занимает &lt;=10 секунд.</w:t>
            </w:r>
          </w:p>
        </w:tc>
        <w:tc>
          <w:tcPr>
            <w:tcW w:type="dxa" w:w="475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Usability test with operators.</w:t>
            </w:r>
          </w:p>
        </w:tc>
      </w:tr>
      <w:tr>
        <w:trPr>
          <w:cantSplit/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H-07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Offline период 14 дней практически нужен только полю, а не заводской площадке.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Connectivity interviews + logs.</w:t>
            </w:r>
          </w:p>
        </w:tc>
      </w:tr>
      <w:tr>
        <w:trPr>
          <w:cantSplit/>
          <w:cantSplit/>
        </w:trPr>
        <w:tc>
          <w:tcPr>
            <w:tcW w:type="dxa" w:w="10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H-08</w:t>
            </w:r>
          </w:p>
        </w:tc>
        <w:tc>
          <w:tcPr>
            <w:tcW w:type="dxa" w:w="720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Точный material balance дает больший ROI производству, чем «расширенный OEE dashboard».</w:t>
            </w:r>
          </w:p>
        </w:tc>
        <w:tc>
          <w:tcPr>
            <w:tcW w:type="dxa" w:w="475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Compare loss cases and management interviews.</w:t>
            </w:r>
          </w:p>
        </w:tc>
      </w:tr>
      <w:tr>
        <w:trPr>
          <w:cantSplit/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H-09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QR является оптимальным первым идентификатором, NFC/RFID нужны выборочно.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Task timing by environment.</w:t>
            </w:r>
          </w:p>
        </w:tc>
      </w:tr>
      <w:tr>
        <w:trPr>
          <w:cantSplit/>
          <w:cantSplit/>
        </w:trPr>
        <w:tc>
          <w:tcPr>
            <w:tcW w:type="dxa" w:w="1008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H-10</w:t>
            </w:r>
          </w:p>
        </w:tc>
        <w:tc>
          <w:tcPr>
            <w:tcW w:type="dxa" w:w="720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Малые хозяйства готовы к Local Server только если его обслуживание близко к appliance-модели.</w:t>
            </w:r>
          </w:p>
        </w:tc>
        <w:tc>
          <w:tcPr>
            <w:tcW w:type="dxa" w:w="475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Commercial/IT interviews.</w:t>
            </w:r>
          </w:p>
        </w:tc>
      </w:tr>
    </w:tbl>
    <w:p>
      <w:pPr>
        <w:spacing w:after="20"/>
      </w:pPr>
    </w:p>
    <w:p>
      <w:pPr>
        <w:pStyle w:val="Heading1"/>
      </w:pPr>
      <w:r>
        <w:t>26. Артефакты, которые должны выйти из исследования</w:t>
      </w:r>
    </w:p>
    <w:p>
      <w:pPr>
        <w:pStyle w:val="ListBullet"/>
        <w:spacing w:after="20"/>
      </w:pPr>
      <w:r>
        <w:t>Pain Registry с подтвержденной частотой/стоимостью и ссылками на интервью/наблюдения.</w:t>
      </w:r>
    </w:p>
    <w:p>
      <w:pPr>
        <w:pStyle w:val="ListBullet"/>
        <w:spacing w:after="20"/>
      </w:pPr>
      <w:r>
        <w:t>Current-state process maps для 10–15 ключевых workflows.</w:t>
      </w:r>
    </w:p>
    <w:p>
      <w:pPr>
        <w:pStyle w:val="ListBullet"/>
        <w:spacing w:after="20"/>
      </w:pPr>
      <w:r>
        <w:t>Duplicate Entry Map: где одно поле вводится повторно и зачем.</w:t>
      </w:r>
    </w:p>
    <w:p>
      <w:pPr>
        <w:pStyle w:val="ListBullet"/>
        <w:spacing w:after="20"/>
      </w:pPr>
      <w:r>
        <w:t>Connectivity Map: LAN/WAN/LTE dead zones и реальный offline window.</w:t>
      </w:r>
    </w:p>
    <w:p>
      <w:pPr>
        <w:pStyle w:val="ListBullet"/>
        <w:spacing w:after="20"/>
      </w:pPr>
      <w:r>
        <w:t>Master Data Conflict Report по Material/Counterparty/Equipment/Field/Batch.</w:t>
      </w:r>
    </w:p>
    <w:p>
      <w:pPr>
        <w:pStyle w:val="ListBullet"/>
        <w:spacing w:after="20"/>
      </w:pPr>
      <w:r>
        <w:t>Hardware Landscape: PLC/protocol/manual/retrofit readiness по активам.</w:t>
      </w:r>
    </w:p>
    <w:p>
      <w:pPr>
        <w:pStyle w:val="ListBullet"/>
        <w:spacing w:after="20"/>
      </w:pPr>
      <w:r>
        <w:t>Time &amp; Motion baseline с P50/P95 по пользовательским операциям.</w:t>
      </w:r>
    </w:p>
    <w:p>
      <w:pPr>
        <w:pStyle w:val="ListBullet"/>
        <w:spacing w:after="20"/>
      </w:pPr>
      <w:r>
        <w:t>Integration Failure Catalog для 1С/ФГИС/лаборатории/весовой/оборудования.</w:t>
      </w:r>
    </w:p>
    <w:p>
      <w:pPr>
        <w:pStyle w:val="ListBullet"/>
        <w:spacing w:after="20"/>
      </w:pPr>
      <w:r>
        <w:t>Economic Benefit Model с консервативным/базовым/оптимистичным сценарием.</w:t>
      </w:r>
    </w:p>
    <w:p>
      <w:pPr>
        <w:pStyle w:val="ListBullet"/>
        <w:spacing w:after="20"/>
      </w:pPr>
      <w:r>
        <w:t>Validated MVP cut — список проблем, которые пилот действительно обязан решить.</w:t>
      </w:r>
    </w:p>
    <w:p>
      <w:pPr>
        <w:pStyle w:val="Heading1"/>
      </w:pPr>
      <w:r>
        <w:t>27. Критерии успеха пилота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3370"/>
        <w:gridCol w:w="3370"/>
        <w:gridCol w:w="3370"/>
      </w:tblGrid>
      <w:tr>
        <w:trPr>
          <w:tblHeader w:val="true"/>
          <w:cantSplit/>
          <w:cantSplit/>
        </w:trPr>
        <w:tc>
          <w:tcPr>
            <w:tcW w:type="dxa" w:w="187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Направление</w:t>
            </w:r>
          </w:p>
        </w:tc>
        <w:tc>
          <w:tcPr>
            <w:tcW w:type="dxa" w:w="756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Пример целевого критерия (уточняется baseline)</w:t>
            </w:r>
          </w:p>
        </w:tc>
        <w:tc>
          <w:tcPr>
            <w:tcW w:type="dxa" w:w="345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Почему важно</w:t>
            </w:r>
          </w:p>
        </w:tc>
      </w:tr>
      <w:tr>
        <w:trPr>
          <w:cantSplit/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Manual input</w:t>
            </w:r>
          </w:p>
        </w:tc>
        <w:tc>
          <w:tcPr>
            <w:tcW w:type="dxa" w:w="75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Сократить повторный ввод выбранных фактов не менее чем на 50%.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Проверяет центральную продуктовую гипотезу.</w:t>
            </w:r>
          </w:p>
        </w:tc>
      </w:tr>
      <w:tr>
        <w:trPr>
          <w:cantSplit/>
          <w:cantSplit/>
        </w:trPr>
        <w:tc>
          <w:tcPr>
            <w:tcW w:type="dxa" w:w="18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Offline</w:t>
            </w:r>
          </w:p>
        </w:tc>
        <w:tc>
          <w:tcPr>
            <w:tcW w:type="dxa" w:w="756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100% выбранных критических мобильных workflows продолжают сохраняться без WAN.</w:t>
            </w:r>
          </w:p>
        </w:tc>
        <w:tc>
          <w:tcPr>
            <w:tcW w:type="dxa" w:w="345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Проверяет архитектуру, а не demo mode.</w:t>
            </w:r>
          </w:p>
        </w:tc>
      </w:tr>
      <w:tr>
        <w:trPr>
          <w:cantSplit/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Sync</w:t>
            </w:r>
          </w:p>
        </w:tc>
        <w:tc>
          <w:tcPr>
            <w:tcW w:type="dxa" w:w="75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Нет потерянных business facts; конфликты видимы и разрешимы.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Доверие к offline-first.</w:t>
            </w:r>
          </w:p>
        </w:tc>
      </w:tr>
      <w:tr>
        <w:trPr>
          <w:cantSplit/>
          <w:cantSplit/>
        </w:trPr>
        <w:tc>
          <w:tcPr>
            <w:tcW w:type="dxa" w:w="18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Traceability</w:t>
            </w:r>
          </w:p>
        </w:tc>
        <w:tc>
          <w:tcPr>
            <w:tcW w:type="dxa" w:w="756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Forward/backward query по golden production chain &lt; 1 минуты для пользователя.</w:t>
            </w:r>
          </w:p>
        </w:tc>
        <w:tc>
          <w:tcPr>
            <w:tcW w:type="dxa" w:w="345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Проверяет сквозную модель.</w:t>
            </w:r>
          </w:p>
        </w:tc>
      </w:tr>
      <w:tr>
        <w:trPr>
          <w:cantSplit/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Downtime</w:t>
            </w:r>
          </w:p>
        </w:tc>
        <w:tc>
          <w:tcPr>
            <w:tcW w:type="dxa" w:w="75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Классифицировано &gt;= 90% выбранных downtime minutes или доказана другая достижимая baseline-цель.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Качество OEE причин.</w:t>
            </w:r>
          </w:p>
        </w:tc>
      </w:tr>
      <w:tr>
        <w:trPr>
          <w:cantSplit/>
          <w:cantSplit/>
        </w:trPr>
        <w:tc>
          <w:tcPr>
            <w:tcW w:type="dxa" w:w="18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Data quality</w:t>
            </w:r>
          </w:p>
        </w:tc>
        <w:tc>
          <w:tcPr>
            <w:tcW w:type="dxa" w:w="756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Снижены дубли/отклонения выбранного master data класса.</w:t>
            </w:r>
          </w:p>
        </w:tc>
        <w:tc>
          <w:tcPr>
            <w:tcW w:type="dxa" w:w="345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Проверяет governance.</w:t>
            </w:r>
          </w:p>
        </w:tc>
      </w:tr>
      <w:tr>
        <w:trPr>
          <w:cantSplit/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Integration</w:t>
            </w:r>
          </w:p>
        </w:tc>
        <w:tc>
          <w:tcPr>
            <w:tcW w:type="dxa" w:w="75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Недоступность 1С/внешнего сервиса не останавливает локальный operational workflow.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LOCAL_PRIMARY.</w:t>
            </w:r>
          </w:p>
        </w:tc>
      </w:tr>
      <w:tr>
        <w:trPr>
          <w:cantSplit/>
          <w:cantSplit/>
        </w:trPr>
        <w:tc>
          <w:tcPr>
            <w:tcW w:type="dxa" w:w="1872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Adoption</w:t>
            </w:r>
          </w:p>
        </w:tc>
        <w:tc>
          <w:tcPr>
            <w:tcW w:type="dxa" w:w="756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Целевой workflow выполняется в платформе без параллельного бумажного дубля после периода стабилизации.</w:t>
            </w:r>
          </w:p>
        </w:tc>
        <w:tc>
          <w:tcPr>
            <w:tcW w:type="dxa" w:w="3456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Реальное внедрение.</w:t>
            </w:r>
          </w:p>
        </w:tc>
      </w:tr>
      <w:tr>
        <w:trPr>
          <w:cantSplit/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Economics</w:t>
            </w:r>
          </w:p>
        </w:tc>
        <w:tc>
          <w:tcPr>
            <w:tcW w:type="dxa" w:w="75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Получен измеримый эффект в часах/простоях/ошибках/потерях; стоимость эффекта фиксируется.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Решение о масштабировании.</w:t>
            </w:r>
          </w:p>
        </w:tc>
      </w:tr>
    </w:tbl>
    <w:p>
      <w:pPr>
        <w:spacing w:after="20"/>
      </w:pPr>
    </w:p>
    <w:p>
      <w:pPr>
        <w:pStyle w:val="Heading1"/>
      </w:pPr>
      <w:r>
        <w:t>28. Acceptance criteria документа №29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5054"/>
        <w:gridCol w:w="5054"/>
      </w:tblGrid>
      <w:tr>
        <w:trPr>
          <w:tblHeader w:val="true"/>
          <w:cantSplit/>
          <w:cantSplit/>
        </w:trPr>
        <w:tc>
          <w:tcPr>
            <w:tcW w:type="dxa" w:w="14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16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Критерий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AT29-001</w:t>
            </w:r>
          </w:p>
        </w:tc>
        <w:tc>
          <w:tcPr>
            <w:tcW w:type="dxa" w:w="116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Для каждой high-priority проблемы указан observable symptom, а не абстрактный лозунг.</w:t>
            </w:r>
          </w:p>
        </w:tc>
      </w:tr>
      <w:tr>
        <w:trPr>
          <w:cantSplit/>
          <w:cantSplit/>
        </w:trPr>
        <w:tc>
          <w:tcPr>
            <w:tcW w:type="dxa" w:w="144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AT29-002</w:t>
            </w:r>
          </w:p>
        </w:tc>
        <w:tc>
          <w:tcPr>
            <w:tcW w:type="dxa" w:w="116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Подтвержденные внешние факты отделены от продуктовых гипотез.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AT29-003</w:t>
            </w:r>
          </w:p>
        </w:tc>
        <w:tc>
          <w:tcPr>
            <w:tcW w:type="dxa" w:w="116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Каждая проблема связана минимум с одним измеримым KPI.</w:t>
            </w:r>
          </w:p>
        </w:tc>
      </w:tr>
      <w:tr>
        <w:trPr>
          <w:cantSplit/>
          <w:cantSplit/>
        </w:trPr>
        <w:tc>
          <w:tcPr>
            <w:tcW w:type="dxa" w:w="144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AT29-004</w:t>
            </w:r>
          </w:p>
        </w:tc>
        <w:tc>
          <w:tcPr>
            <w:tcW w:type="dxa" w:w="116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Offline-first обоснован операционным контекстом, а не только архитектурным предпочтением.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AT29-005</w:t>
            </w:r>
          </w:p>
        </w:tc>
        <w:tc>
          <w:tcPr>
            <w:tcW w:type="dxa" w:w="116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Hardware не является prerequisite ни для field core, ни для MES-lite core.</w:t>
            </w:r>
          </w:p>
        </w:tc>
      </w:tr>
      <w:tr>
        <w:trPr>
          <w:cantSplit/>
          <w:cantSplit/>
        </w:trPr>
        <w:tc>
          <w:tcPr>
            <w:tcW w:type="dxa" w:w="144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AT29-006</w:t>
            </w:r>
          </w:p>
        </w:tc>
        <w:tc>
          <w:tcPr>
            <w:tcW w:type="dxa" w:w="116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1С/ФГИС рассматриваются как внешние контуры с явным Source of Truth.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AT29-007</w:t>
            </w:r>
          </w:p>
        </w:tc>
        <w:tc>
          <w:tcPr>
            <w:tcW w:type="dxa" w:w="116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AI не используется как способ скрыть плохое качество canonical data.</w:t>
            </w:r>
          </w:p>
        </w:tc>
      </w:tr>
      <w:tr>
        <w:trPr>
          <w:cantSplit/>
          <w:cantSplit/>
        </w:trPr>
        <w:tc>
          <w:tcPr>
            <w:tcW w:type="dxa" w:w="144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AT29-008</w:t>
            </w:r>
          </w:p>
        </w:tc>
        <w:tc>
          <w:tcPr>
            <w:tcW w:type="dxa" w:w="116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GPS/IoT measurement не приравниваются к business fact без domain rule.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AT29-009</w:t>
            </w:r>
          </w:p>
        </w:tc>
        <w:tc>
          <w:tcPr>
            <w:tcW w:type="dxa" w:w="116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Research plan включает наблюдение рабочих смен, а не только интервью менеджмента.</w:t>
            </w:r>
          </w:p>
        </w:tc>
      </w:tr>
      <w:tr>
        <w:trPr>
          <w:cantSplit/>
          <w:cantSplit/>
        </w:trPr>
        <w:tc>
          <w:tcPr>
            <w:tcW w:type="dxa" w:w="144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AT29-010</w:t>
            </w:r>
          </w:p>
        </w:tc>
        <w:tc>
          <w:tcPr>
            <w:tcW w:type="dxa" w:w="116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Есть time-and-motion baseline до пилота.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AT29-011</w:t>
            </w:r>
          </w:p>
        </w:tc>
        <w:tc>
          <w:tcPr>
            <w:tcW w:type="dxa" w:w="116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Есть Data Quality audit реальных master data.</w:t>
            </w:r>
          </w:p>
        </w:tc>
      </w:tr>
      <w:tr>
        <w:trPr>
          <w:cantSplit/>
          <w:cantSplit/>
        </w:trPr>
        <w:tc>
          <w:tcPr>
            <w:tcW w:type="dxa" w:w="144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AT29-012</w:t>
            </w:r>
          </w:p>
        </w:tc>
        <w:tc>
          <w:tcPr>
            <w:tcW w:type="dxa" w:w="116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Есть connectivity/offline audit.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AT29-013</w:t>
            </w:r>
          </w:p>
        </w:tc>
        <w:tc>
          <w:tcPr>
            <w:tcW w:type="dxa" w:w="116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Есть hardware landscape/retrofit audit.</w:t>
            </w:r>
          </w:p>
        </w:tc>
      </w:tr>
      <w:tr>
        <w:trPr>
          <w:cantSplit/>
          <w:cantSplit/>
        </w:trPr>
        <w:tc>
          <w:tcPr>
            <w:tcW w:type="dxa" w:w="144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AT29-014</w:t>
            </w:r>
          </w:p>
        </w:tc>
        <w:tc>
          <w:tcPr>
            <w:tcW w:type="dxa" w:w="116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Пилот имеет измеримые exit criteria.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AT29-015</w:t>
            </w:r>
          </w:p>
        </w:tc>
        <w:tc>
          <w:tcPr>
            <w:tcW w:type="dxa" w:w="116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Результаты исследования могут изменить roadmap; roadmap не считается неприкосновенным.</w:t>
            </w:r>
          </w:p>
        </w:tc>
      </w:tr>
      <w:tr>
        <w:trPr>
          <w:cantSplit/>
          <w:cantSplit/>
        </w:trPr>
        <w:tc>
          <w:tcPr>
            <w:tcW w:type="dxa" w:w="144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AT29-016</w:t>
            </w:r>
          </w:p>
        </w:tc>
        <w:tc>
          <w:tcPr>
            <w:tcW w:type="dxa" w:w="116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Ни одна C-гипотеза не превращается в обязательную feature без проверки или отдельного бизнес-решения.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AT29-017</w:t>
            </w:r>
          </w:p>
        </w:tc>
        <w:tc>
          <w:tcPr>
            <w:tcW w:type="dxa" w:w="116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Исследование охватывает не только растениеводство, но и весовую, склад и производство.</w:t>
            </w:r>
          </w:p>
        </w:tc>
      </w:tr>
      <w:tr>
        <w:trPr>
          <w:cantSplit/>
          <w:cantSplit/>
        </w:trPr>
        <w:tc>
          <w:tcPr>
            <w:tcW w:type="dxa" w:w="144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AT29-018</w:t>
            </w:r>
          </w:p>
        </w:tc>
        <w:tc>
          <w:tcPr>
            <w:tcW w:type="dxa" w:w="116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Исследование фиксирует bypass channels: бумага, Excel, мессенджеры, устные звонки.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AT29-019</w:t>
            </w:r>
          </w:p>
        </w:tc>
        <w:tc>
          <w:tcPr>
            <w:tcW w:type="dxa" w:w="116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Для каждого bypass case определено, должен ли продукт заменить его или оставить как внешний канал.</w:t>
            </w:r>
          </w:p>
        </w:tc>
      </w:tr>
      <w:tr>
        <w:trPr>
          <w:cantSplit/>
          <w:cantSplit/>
        </w:trPr>
        <w:tc>
          <w:tcPr>
            <w:tcW w:type="dxa" w:w="1440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AT29-020</w:t>
            </w:r>
          </w:p>
        </w:tc>
        <w:tc>
          <w:tcPr>
            <w:tcW w:type="dxa" w:w="11664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 w:line="240" w:lineRule="auto"/>
            </w:pPr>
            <w:r>
              <w:rPr>
                <w:rFonts w:ascii="Aptos" w:hAnsi="Aptos"/>
                <w:sz w:val="15"/>
              </w:rPr>
              <w:t>Определено, какие процессы должны работать при недоступности cloud, 1С и внешних API.</w:t>
            </w:r>
          </w:p>
        </w:tc>
      </w:tr>
    </w:tbl>
    <w:p>
      <w:pPr>
        <w:spacing w:after="20"/>
      </w:pPr>
    </w:p>
    <w:p>
      <w:pPr>
        <w:pStyle w:val="Heading1"/>
      </w:pPr>
      <w:r>
        <w:t>29. Definition of Done №29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E0E7"/>
          <w:left w:val="single" w:sz="4" w:color="D9E0E7"/>
          <w:bottom w:val="single" w:sz="4" w:color="D9E0E7"/>
          <w:right w:val="single" w:sz="4" w:color="D9E0E7"/>
          <w:insideH w:val="single" w:sz="4" w:color="D9E0E7"/>
          <w:insideV w:val="single" w:sz="4" w:color="D9E0E7"/>
        </w:tblBorders>
      </w:tblPr>
      <w:tblGrid>
        <w:gridCol w:w="10109"/>
      </w:tblGrid>
      <w:tr>
        <w:trPr>
          <w:cantSplit/>
        </w:trPr>
        <w:tc>
          <w:tcPr>
            <w:tcW w:type="dxa" w:w="10109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  <w:spacing w:after="0"/>
            </w:pPr>
            <w:r>
              <w:t>№29 считается завершенным не после написания текста, а после появления evidence pack:</w:t>
              <w:br/>
              <w:br/>
              <w:t>research/</w:t>
              <w:br/>
              <w:t xml:space="preserve">  interviews/</w:t>
              <w:br/>
              <w:t xml:space="preserve">  observations/</w:t>
              <w:br/>
              <w:t xml:space="preserve">  artifacts/</w:t>
              <w:br/>
              <w:t xml:space="preserve">  time-motion/</w:t>
              <w:br/>
              <w:t xml:space="preserve">  data-audit/</w:t>
              <w:br/>
              <w:t xml:space="preserve">  connectivity/</w:t>
              <w:br/>
              <w:t xml:space="preserve">  hardware-landscape/</w:t>
              <w:br/>
              <w:t xml:space="preserve">  pain-registry/</w:t>
              <w:br/>
              <w:t xml:space="preserve">  benefit-model/</w:t>
              <w:br/>
              <w:t xml:space="preserve">  validated-backlog/</w:t>
              <w:br/>
              <w:br/>
              <w:t>Каждая проблема: evidence → impact → capability → KPI → priority.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4C7E7"/>
          <w:left w:val="single" w:sz="6" w:color="B4C7E7"/>
          <w:bottom w:val="single" w:sz="6" w:color="B4C7E7"/>
          <w:right w:val="single" w:sz="6" w:color="B4C7E7"/>
          <w:insideH w:val="single" w:sz="6" w:color="B4C7E7"/>
          <w:insideV w:val="single" w:sz="6" w:color="B4C7E7"/>
        </w:tblBorders>
      </w:tblPr>
      <w:tblGrid>
        <w:gridCol w:w="10109"/>
      </w:tblGrid>
      <w:tr>
        <w:trPr>
          <w:cantSplit/>
        </w:trPr>
        <w:tc>
          <w:tcPr>
            <w:tcW w:type="dxa" w:w="10109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/>
              <w:spacing w:after="40"/>
            </w:pPr>
            <w:r>
              <w:rPr>
                <w:b/>
                <w:color w:val="17365D"/>
              </w:rPr>
              <w:t>Главный итог №29</w:t>
            </w:r>
          </w:p>
          <w:p>
            <w:pPr>
              <w:keepLines/>
              <w:spacing w:after="0"/>
            </w:pPr>
            <w:r>
              <w:t>Платформа должна выигрывать не количеством экранов или датчиков. Она должна убирать ручной перенос фактов, сохранять работу без сети, соединять физическую цепочку с canonical data и делать потери измеримыми. Технологии подключаются только там, где улучшают эти показатели.</w:t>
            </w:r>
          </w:p>
        </w:tc>
      </w:tr>
    </w:tbl>
    <w:p>
      <w:pPr>
        <w:spacing w:after="20"/>
      </w:pPr>
    </w:p>
    <w:p>
      <w:pPr>
        <w:pStyle w:val="Heading1"/>
      </w:pPr>
      <w:r>
        <w:t>30. Источники и внешние основания</w:t>
      </w:r>
    </w:p>
    <w:p>
      <w:r>
        <w:t>Дата проверки источников: 26.09.2026. В документе ссылки вида [Sx] относятся к перечню ниже. Региональные примеры не экстраполируются автоматически на всю страну; они используются как подтверждение существования соответствующего операционного фактора.</w:t>
      </w:r>
    </w:p>
    <w:p>
      <w:pPr>
        <w:spacing w:after="80"/>
      </w:pPr>
      <w:r>
        <w:rPr>
          <w:b/>
          <w:color w:val="17365D"/>
        </w:rPr>
        <w:t xml:space="preserve">[S1] </w:t>
      </w:r>
      <w:r>
        <w:t xml:space="preserve">Правительство РФ. Изменения в стратегическое направление цифровой трансформации АПК и рыбохозяйственного комплекса до 2030 года. Распоряжение от 06.03.2026 №436-р. </w:t>
      </w:r>
      <w:hyperlink r:id="rId11">
        <w:r>
          <w:rPr>
            <w:color w:val="0563C1"/>
            <w:u w:val="single"/>
          </w:rPr>
          <w:t>Открыть источник</w:t>
        </w:r>
      </w:hyperlink>
    </w:p>
    <w:p>
      <w:pPr>
        <w:spacing w:after="80"/>
      </w:pPr>
      <w:r>
        <w:rPr>
          <w:b/>
          <w:color w:val="17365D"/>
        </w:rPr>
        <w:t xml:space="preserve">[S2] </w:t>
      </w:r>
      <w:r>
        <w:t xml:space="preserve">Правительство РФ. О развитии единой цифровой платформы АПК и поэтапном переносе государственных систем; план запуска до конца 2026 года. </w:t>
      </w:r>
      <w:hyperlink r:id="rId12">
        <w:r>
          <w:rPr>
            <w:color w:val="0563C1"/>
            <w:u w:val="single"/>
          </w:rPr>
          <w:t>Открыть источник</w:t>
        </w:r>
      </w:hyperlink>
    </w:p>
    <w:p>
      <w:pPr>
        <w:spacing w:after="80"/>
      </w:pPr>
      <w:r>
        <w:rPr>
          <w:b/>
          <w:color w:val="17365D"/>
        </w:rPr>
        <w:t xml:space="preserve">[S3] </w:t>
      </w:r>
      <w:r>
        <w:t xml:space="preserve">Банк России. Мониторинг рынка труда: к концу 2024 года дефицит кадров отмечали 69% предприятий; проблема затрагивала сельское хозяйство и производство. </w:t>
      </w:r>
      <w:hyperlink r:id="rId13">
        <w:r>
          <w:rPr>
            <w:color w:val="0563C1"/>
            <w:u w:val="single"/>
          </w:rPr>
          <w:t>Открыть источник</w:t>
        </w:r>
      </w:hyperlink>
    </w:p>
    <w:p>
      <w:pPr>
        <w:spacing w:after="80"/>
      </w:pPr>
      <w:r>
        <w:rPr>
          <w:b/>
          <w:color w:val="17365D"/>
        </w:rPr>
        <w:t xml:space="preserve">[S4] </w:t>
      </w:r>
      <w:r>
        <w:t xml:space="preserve">Банк России. Региональные материалы 2025–2026 годов о сохраняющемся дефиците квалифицированных специалистов в сельском хозяйстве и производстве. </w:t>
      </w:r>
      <w:hyperlink r:id="rId14">
        <w:r>
          <w:rPr>
            <w:color w:val="0563C1"/>
            <w:u w:val="single"/>
          </w:rPr>
          <w:t>Открыть источник</w:t>
        </w:r>
      </w:hyperlink>
    </w:p>
    <w:p>
      <w:pPr>
        <w:spacing w:after="80"/>
      </w:pPr>
      <w:r>
        <w:rPr>
          <w:b/>
          <w:color w:val="17365D"/>
        </w:rPr>
        <w:t xml:space="preserve">[S5] </w:t>
      </w:r>
      <w:r>
        <w:t xml:space="preserve">Минцифры/публикация на портале Минтранса: с 2020 года интернет появился более чем в 8,5 тыс. малых населенных пунктов по программе УЦН. </w:t>
      </w:r>
      <w:hyperlink r:id="rId15">
        <w:r>
          <w:rPr>
            <w:color w:val="0563C1"/>
            <w:u w:val="single"/>
          </w:rPr>
          <w:t>Открыть источник</w:t>
        </w:r>
      </w:hyperlink>
    </w:p>
    <w:p>
      <w:pPr>
        <w:spacing w:after="80"/>
      </w:pPr>
      <w:r>
        <w:rPr>
          <w:b/>
          <w:color w:val="17365D"/>
        </w:rPr>
        <w:t xml:space="preserve">[S6] </w:t>
      </w:r>
      <w:r>
        <w:t xml:space="preserve">Минцифры/публикация на портале Минтранса: в 2025 году продолжен отбор населенных пунктов для подключения к мобильному интернету в 2026 году. </w:t>
      </w:r>
      <w:hyperlink r:id="rId16">
        <w:r>
          <w:rPr>
            <w:color w:val="0563C1"/>
            <w:u w:val="single"/>
          </w:rPr>
          <w:t>Открыть источник</w:t>
        </w:r>
      </w:hyperlink>
    </w:p>
    <w:p>
      <w:pPr>
        <w:spacing w:after="80"/>
      </w:pPr>
      <w:r>
        <w:rPr>
          <w:b/>
          <w:color w:val="17365D"/>
        </w:rPr>
        <w:t xml:space="preserve">[S7] </w:t>
      </w:r>
      <w:r>
        <w:t xml:space="preserve">Правительство РФ. Стратегические документы по сельхозмашиностроению: для снижения доли техники старше 10 лет требуется ежегодное обновление около 10% парка. </w:t>
      </w:r>
      <w:hyperlink r:id="rId17">
        <w:r>
          <w:rPr>
            <w:color w:val="0563C1"/>
            <w:u w:val="single"/>
          </w:rPr>
          <w:t>Открыть источник</w:t>
        </w:r>
      </w:hyperlink>
    </w:p>
    <w:p>
      <w:pPr>
        <w:spacing w:after="80"/>
      </w:pPr>
      <w:r>
        <w:rPr>
          <w:b/>
          <w:color w:val="17365D"/>
        </w:rPr>
        <w:t xml:space="preserve">[S8] </w:t>
      </w:r>
      <w:r>
        <w:t xml:space="preserve">Правительство РФ. В 2025 году направлено более 4 млрд руб. на приобретение сельхозтехники для лизинга; цель — обновление парка и снижение финансовой нагрузки. </w:t>
      </w:r>
      <w:hyperlink r:id="rId18">
        <w:r>
          <w:rPr>
            <w:color w:val="0563C1"/>
            <w:u w:val="single"/>
          </w:rPr>
          <w:t>Открыть источник</w:t>
        </w:r>
      </w:hyperlink>
    </w:p>
    <w:p>
      <w:pPr>
        <w:spacing w:after="80"/>
      </w:pPr>
      <w:r>
        <w:rPr>
          <w:b/>
          <w:color w:val="17365D"/>
        </w:rPr>
        <w:t xml:space="preserve">[S9] </w:t>
      </w:r>
      <w:r>
        <w:t xml:space="preserve">Банк России. Июнь 2026: в Амурской области отмечен рост издержек аграриев на логистику, семена, удобрения, сельхозтехнику и зарплаты. </w:t>
      </w:r>
      <w:hyperlink r:id="rId19">
        <w:r>
          <w:rPr>
            <w:color w:val="0563C1"/>
            <w:u w:val="single"/>
          </w:rPr>
          <w:t>Открыть источник</w:t>
        </w:r>
      </w:hyperlink>
    </w:p>
    <w:p>
      <w:pPr>
        <w:spacing w:after="80"/>
      </w:pPr>
      <w:r>
        <w:rPr>
          <w:b/>
          <w:color w:val="17365D"/>
        </w:rPr>
        <w:t xml:space="preserve">[S10] </w:t>
      </w:r>
      <w:r>
        <w:t xml:space="preserve">Россельхознадзор. Материал о качестве регистрационных данных пользователей ВетИС и проблемах синхронизации/полноты идентификационных данных (2024). </w:t>
      </w:r>
      <w:hyperlink r:id="rId20">
        <w:r>
          <w:rPr>
            <w:color w:val="0563C1"/>
            <w:u w:val="single"/>
          </w:rPr>
          <w:t>Открыть источник</w:t>
        </w:r>
      </w:hyperlink>
    </w:p>
    <w:p>
      <w:pPr>
        <w:spacing w:after="80"/>
      </w:pPr>
      <w:r>
        <w:rPr>
          <w:b/>
          <w:color w:val="17365D"/>
        </w:rPr>
        <w:t xml:space="preserve">[S11] </w:t>
      </w:r>
      <w:r>
        <w:t xml:space="preserve">Ростовстат. Итоги урожая 2025 года: регион проходил сезон при сложных погодных условиях, включая возвратные заморозки и засуху. </w:t>
      </w:r>
      <w:hyperlink r:id="rId21">
        <w:r>
          <w:rPr>
            <w:color w:val="0563C1"/>
            <w:u w:val="single"/>
          </w:rPr>
          <w:t>Открыть источник</w:t>
        </w:r>
      </w:hyperlink>
    </w:p>
    <w:p>
      <w:pPr>
        <w:spacing w:after="80"/>
      </w:pPr>
      <w:r>
        <w:rPr>
          <w:b/>
          <w:color w:val="17365D"/>
        </w:rPr>
        <w:t xml:space="preserve">[S12] </w:t>
      </w:r>
      <w:r>
        <w:t xml:space="preserve">Росстат. Раздел официальной статистики сельского хозяйства; публикации о технике, урожаях, реализации и финансовом положении. </w:t>
      </w:r>
      <w:hyperlink r:id="rId22">
        <w:r>
          <w:rPr>
            <w:color w:val="0563C1"/>
            <w:u w:val="single"/>
          </w:rPr>
          <w:t>Открыть источник</w:t>
        </w:r>
      </w:hyperlink>
    </w:p>
    <w:p>
      <w:pPr>
        <w:pStyle w:val="Heading1"/>
      </w:pPr>
      <w:r>
        <w:t>31. Ограничения исследования</w:t>
      </w:r>
    </w:p>
    <w:p>
      <w:pPr>
        <w:pStyle w:val="ListBullet"/>
        <w:spacing w:after="20"/>
      </w:pPr>
      <w:r>
        <w:t>Документ не заменяет интервью с конкретным сегментом: зерновое хозяйство, молочное производство, переработка и комбикормовый завод имеют разные loss structures.</w:t>
      </w:r>
    </w:p>
    <w:p>
      <w:pPr>
        <w:pStyle w:val="ListBullet"/>
        <w:spacing w:after="20"/>
      </w:pPr>
      <w:r>
        <w:t>Региональные статистические примеры подтверждают наличие проблемы, но не задают национальную частоту или финансовый эффект.</w:t>
      </w:r>
    </w:p>
    <w:p>
      <w:pPr>
        <w:pStyle w:val="ListBullet"/>
        <w:spacing w:after="20"/>
      </w:pPr>
      <w:r>
        <w:t>Цифровой государственный контур меняется; конкретные API и обязательность интеграций должны перепроверяться в Integration Specification перед релизом.</w:t>
      </w:r>
    </w:p>
    <w:p>
      <w:pPr>
        <w:pStyle w:val="ListBullet"/>
        <w:spacing w:after="20"/>
      </w:pPr>
      <w:r>
        <w:t>Экономический эффект нельзя честно оценить без baseline конкретного предприятия.</w:t>
      </w:r>
    </w:p>
    <w:p>
      <w:pPr>
        <w:pStyle w:val="ListBullet"/>
        <w:spacing w:after="20"/>
      </w:pPr>
      <w:r>
        <w:t>Пользовательские проблемы необходимо проверять наблюдением на рабочем месте: интервью часто недооценивает повторный ввод, ожидания и shadow-processes.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Страница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Документ №29  |  Research: реальные проблемы российского АПК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59" w:right="259"/>
    </w:pPr>
    <w:rPr>
      <w:rFonts w:ascii="Consolas" w:hAnsi="Consolas" w:eastAsia="Consolas"/>
      <w:sz w:val="16"/>
    </w:rPr>
  </w:style>
  <w:style w:type="paragraph" w:customStyle="1" w:styleId="Small">
    <w:name w:val="Small"/>
    <w:rPr>
      <w:rFonts w:ascii="Aptos" w:hAnsi="Aptos"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overnment.ru/docs/all/163744/" TargetMode="External"/><Relationship Id="rId12" Type="http://schemas.openxmlformats.org/officeDocument/2006/relationships/hyperlink" Target="https://government.ru/dep_news/58022/" TargetMode="External"/><Relationship Id="rId13" Type="http://schemas.openxmlformats.org/officeDocument/2006/relationships/hyperlink" Target="https://www.cbr.ru/collection/collection/file/55066/report_01022025.pdf" TargetMode="External"/><Relationship Id="rId14" Type="http://schemas.openxmlformats.org/officeDocument/2006/relationships/hyperlink" Target="https://www.cbr.ru/press/regevent/?id=65108" TargetMode="External"/><Relationship Id="rId15" Type="http://schemas.openxmlformats.org/officeDocument/2006/relationships/hyperlink" Target="https://mintrans.gov.ru/press-center/branch-news/7298" TargetMode="External"/><Relationship Id="rId16" Type="http://schemas.openxmlformats.org/officeDocument/2006/relationships/hyperlink" Target="https://mintrans.gov.ru/press-center/branch-news/7615" TargetMode="External"/><Relationship Id="rId17" Type="http://schemas.openxmlformats.org/officeDocument/2006/relationships/hyperlink" Target="https://government.ru/docs/all/157663/" TargetMode="External"/><Relationship Id="rId18" Type="http://schemas.openxmlformats.org/officeDocument/2006/relationships/hyperlink" Target="https://government.ru/docs/54623/" TargetMode="External"/><Relationship Id="rId19" Type="http://schemas.openxmlformats.org/officeDocument/2006/relationships/hyperlink" Target="https://www.cbr.ru/press/regevent/?id=68934" TargetMode="External"/><Relationship Id="rId20" Type="http://schemas.openxmlformats.org/officeDocument/2006/relationships/hyperlink" Target="https://old.fsvps.gov.ru/fsvps/news/48572.html" TargetMode="External"/><Relationship Id="rId21" Type="http://schemas.openxmlformats.org/officeDocument/2006/relationships/hyperlink" Target="https://61.rosstat.gov.ru/folder/42181/document/282301" TargetMode="External"/><Relationship Id="rId22" Type="http://schemas.openxmlformats.org/officeDocument/2006/relationships/hyperlink" Target="https://rosstat.gov.ru/enterprise_econom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 №29 — Research: реальные проблемы российского АПК</dc:title>
  <dc:subject>Problem Discovery / Evidence / Product Implications / Research Program</dc:subject>
  <dc:creator>Project Specification</dc:creator>
  <cp:keywords>АПК, agriculture, research, offline-first, MES, IoT, 1С, ФГИС, GIS, traceability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