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C4D" w:rsidRPr="009D0890" w:rsidRDefault="00EE1C4D" w:rsidP="00EE1C4D">
      <w:pPr>
        <w:pStyle w:val="1"/>
        <w:numPr>
          <w:ilvl w:val="0"/>
          <w:numId w:val="0"/>
        </w:numPr>
        <w:ind w:left="709"/>
      </w:pPr>
      <w:r w:rsidRPr="002258A4">
        <w:rPr>
          <w:bCs/>
        </w:rPr>
        <w:t>Моделирование бизнес-процессов в нотации BPMN</w:t>
      </w:r>
    </w:p>
    <w:p w:rsidR="00EE1C4D" w:rsidRPr="003120CC" w:rsidRDefault="00EE1C4D" w:rsidP="00EE1C4D">
      <w:pPr>
        <w:pStyle w:val="a3"/>
        <w:rPr>
          <w:szCs w:val="28"/>
        </w:rPr>
      </w:pPr>
      <w:r w:rsidRPr="003120CC">
        <w:rPr>
          <w:szCs w:val="28"/>
        </w:rPr>
        <w:t>Для визуализации и анализа бизнес-процессов в рамках проекта была выбрана нотация BPMN (</w:t>
      </w:r>
      <w:proofErr w:type="spellStart"/>
      <w:r w:rsidRPr="003120CC">
        <w:rPr>
          <w:szCs w:val="28"/>
        </w:rPr>
        <w:t>Business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Process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Model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and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Notation</w:t>
      </w:r>
      <w:proofErr w:type="spellEnd"/>
      <w:r w:rsidRPr="003120CC">
        <w:rPr>
          <w:szCs w:val="28"/>
        </w:rPr>
        <w:t xml:space="preserve">). BPMN представляет собой стандарт моделирования, разработанный </w:t>
      </w:r>
      <w:proofErr w:type="spellStart"/>
      <w:r w:rsidRPr="003120CC">
        <w:rPr>
          <w:szCs w:val="28"/>
        </w:rPr>
        <w:t>Object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Management</w:t>
      </w:r>
      <w:proofErr w:type="spellEnd"/>
      <w:r w:rsidRPr="003120CC">
        <w:rPr>
          <w:szCs w:val="28"/>
        </w:rPr>
        <w:t xml:space="preserve"> </w:t>
      </w:r>
      <w:proofErr w:type="spellStart"/>
      <w:r w:rsidRPr="003120CC">
        <w:rPr>
          <w:szCs w:val="28"/>
        </w:rPr>
        <w:t>Group</w:t>
      </w:r>
      <w:proofErr w:type="spellEnd"/>
      <w:r w:rsidRPr="003120CC">
        <w:rPr>
          <w:szCs w:val="28"/>
        </w:rPr>
        <w:t xml:space="preserve"> (OMG), который обеспечивает единообразное графическое представление бизнес-процессов и понятен как техническим специалистам, так и представителям бизнеса.</w:t>
      </w:r>
    </w:p>
    <w:p w:rsidR="00EE1C4D" w:rsidRPr="003120CC" w:rsidRDefault="00EE1C4D" w:rsidP="00EE1C4D">
      <w:pPr>
        <w:pStyle w:val="a3"/>
        <w:rPr>
          <w:szCs w:val="28"/>
        </w:rPr>
      </w:pPr>
      <w:r w:rsidRPr="003120CC">
        <w:rPr>
          <w:szCs w:val="28"/>
        </w:rPr>
        <w:t xml:space="preserve">Основными элементами нотации являются события (начальные, промежуточные и конечные), задачи, шлюзы для ветвления логики, а также пулы и дорожки, позволяющие разграничивать ответственность между участниками процесса. BPMN поддерживает </w:t>
      </w:r>
      <w:proofErr w:type="gramStart"/>
      <w:r w:rsidRPr="003120CC">
        <w:rPr>
          <w:szCs w:val="28"/>
        </w:rPr>
        <w:t>описание</w:t>
      </w:r>
      <w:proofErr w:type="gramEnd"/>
      <w:r w:rsidRPr="003120CC">
        <w:rPr>
          <w:szCs w:val="28"/>
        </w:rPr>
        <w:t xml:space="preserve"> как простых последовательных процессов, так и сложных сценариев с параллельными ветвями, интеграцией с внешними системами и обработкой исключительных ситуаций. Использование данной нотации позволяет формализовать требования, выявить узкие места и согласовать понимание процесса между вс</w:t>
      </w:r>
      <w:r>
        <w:rPr>
          <w:szCs w:val="28"/>
        </w:rPr>
        <w:t>еми заинтересованными сторонами</w:t>
      </w:r>
      <w:bookmarkStart w:id="0" w:name="_GoBack"/>
      <w:bookmarkEnd w:id="0"/>
      <w:r>
        <w:rPr>
          <w:szCs w:val="28"/>
        </w:rPr>
        <w:t>.</w:t>
      </w:r>
    </w:p>
    <w:p w:rsidR="00EE1C4D" w:rsidRDefault="00EE1C4D" w:rsidP="00EE1C4D">
      <w:pPr>
        <w:pStyle w:val="a3"/>
        <w:rPr>
          <w:szCs w:val="28"/>
        </w:rPr>
      </w:pPr>
      <w:r w:rsidRPr="003120CC">
        <w:rPr>
          <w:szCs w:val="28"/>
        </w:rPr>
        <w:t>В рамках практики были разработаны две диаграммы, описывающие процесс бронирования отелей для сервиса туроператора.</w:t>
      </w:r>
    </w:p>
    <w:p w:rsidR="00EE1C4D" w:rsidRDefault="00EE1C4D" w:rsidP="00EE1C4D">
      <w:pPr>
        <w:pStyle w:val="a3"/>
        <w:rPr>
          <w:szCs w:val="28"/>
        </w:rPr>
      </w:pPr>
      <w:r w:rsidRPr="002258A4">
        <w:rPr>
          <w:szCs w:val="28"/>
        </w:rPr>
        <w:t xml:space="preserve">Основная диаграмма (Рисунок </w:t>
      </w:r>
      <w:r>
        <w:rPr>
          <w:szCs w:val="28"/>
        </w:rPr>
        <w:t>1</w:t>
      </w:r>
      <w:r w:rsidRPr="002258A4">
        <w:rPr>
          <w:szCs w:val="28"/>
        </w:rPr>
        <w:t xml:space="preserve">) отражает процесс на верхнем уровне и включает три пула: «Клиент», «Система» и «Смежная система». Процесс начинается с получения запроса от клиента на бронирование отеля. Система выполняет </w:t>
      </w:r>
      <w:proofErr w:type="spellStart"/>
      <w:r w:rsidRPr="002258A4">
        <w:rPr>
          <w:szCs w:val="28"/>
        </w:rPr>
        <w:t>валидацию</w:t>
      </w:r>
      <w:proofErr w:type="spellEnd"/>
      <w:r w:rsidRPr="002258A4">
        <w:rPr>
          <w:szCs w:val="28"/>
        </w:rPr>
        <w:t xml:space="preserve"> входных данных </w:t>
      </w:r>
      <w:r>
        <w:rPr>
          <w:szCs w:val="28"/>
        </w:rPr>
        <w:t>–</w:t>
      </w:r>
      <w:r w:rsidRPr="00577FB3">
        <w:rPr>
          <w:szCs w:val="28"/>
        </w:rPr>
        <w:t xml:space="preserve"> </w:t>
      </w:r>
      <w:r w:rsidRPr="002258A4">
        <w:rPr>
          <w:szCs w:val="28"/>
        </w:rPr>
        <w:t xml:space="preserve">проверяет корректность указанных дат, города и количества гостей. При обнаружении ошибок формируется сообщение для клиента с указанием причины. При успешной </w:t>
      </w:r>
      <w:proofErr w:type="spellStart"/>
      <w:r w:rsidRPr="002258A4">
        <w:rPr>
          <w:szCs w:val="28"/>
        </w:rPr>
        <w:t>валидации</w:t>
      </w:r>
      <w:proofErr w:type="spellEnd"/>
      <w:r w:rsidRPr="002258A4">
        <w:rPr>
          <w:szCs w:val="28"/>
        </w:rPr>
        <w:t xml:space="preserve"> система направляет запрос в смежную систему поставщика для получения информации о наличии свободных номеров. После обработки полученного ответа система проверяет наличие номеров: если подходящие номера не найдены, клиент получает соответствующее уведомление, в случае наличия номеров система формирует и отправляет клиенту список доступных вариантов. Клиент выбирает подходящий номер, после чего процесс </w:t>
      </w:r>
      <w:r w:rsidRPr="002258A4">
        <w:rPr>
          <w:szCs w:val="28"/>
        </w:rPr>
        <w:lastRenderedPageBreak/>
        <w:t xml:space="preserve">переходит к этапу бронирования, вынесенному на отдельную диаграмму (Рисунок </w:t>
      </w:r>
      <w:r>
        <w:rPr>
          <w:szCs w:val="28"/>
        </w:rPr>
        <w:t>2</w:t>
      </w:r>
      <w:r w:rsidRPr="002258A4">
        <w:rPr>
          <w:szCs w:val="28"/>
        </w:rPr>
        <w:t>).</w:t>
      </w:r>
    </w:p>
    <w:p w:rsidR="00EE1C4D" w:rsidRDefault="00EE1C4D" w:rsidP="00EE1C4D">
      <w:pPr>
        <w:pStyle w:val="a3"/>
        <w:ind w:firstLine="0"/>
        <w:jc w:val="center"/>
        <w:rPr>
          <w:szCs w:val="28"/>
        </w:rPr>
      </w:pPr>
      <w:r w:rsidRPr="009C6F03">
        <w:rPr>
          <w:szCs w:val="28"/>
        </w:rPr>
        <w:drawing>
          <wp:inline distT="0" distB="0" distL="0" distR="0" wp14:anchorId="03CA749D" wp14:editId="08E86170">
            <wp:extent cx="5939790" cy="245647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4D" w:rsidRPr="009D0890" w:rsidRDefault="00EE1C4D" w:rsidP="00EE1C4D">
      <w:pPr>
        <w:pStyle w:val="a4"/>
        <w:rPr>
          <w:szCs w:val="28"/>
        </w:rPr>
      </w:pPr>
      <w:r w:rsidRPr="009D0890">
        <w:rPr>
          <w:szCs w:val="28"/>
        </w:rPr>
        <w:t xml:space="preserve">Рисунок 1 – </w:t>
      </w:r>
      <w:r w:rsidRPr="00661BA2">
        <w:rPr>
          <w:szCs w:val="28"/>
        </w:rPr>
        <w:t>Основная диаграмма процесса бронирования отеля</w:t>
      </w:r>
    </w:p>
    <w:p w:rsidR="00EE1C4D" w:rsidRDefault="00EE1C4D" w:rsidP="00EE1C4D">
      <w:pPr>
        <w:pStyle w:val="a3"/>
        <w:ind w:firstLine="0"/>
        <w:jc w:val="center"/>
        <w:rPr>
          <w:szCs w:val="28"/>
        </w:rPr>
      </w:pPr>
      <w:r w:rsidRPr="009C6F03">
        <w:rPr>
          <w:szCs w:val="28"/>
        </w:rPr>
        <w:drawing>
          <wp:inline distT="0" distB="0" distL="0" distR="0" wp14:anchorId="1726A412" wp14:editId="4070FC0A">
            <wp:extent cx="5939790" cy="3116106"/>
            <wp:effectExtent l="0" t="0" r="381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4D" w:rsidRPr="002258A4" w:rsidRDefault="00EE1C4D" w:rsidP="00EE1C4D">
      <w:pPr>
        <w:pStyle w:val="a4"/>
        <w:rPr>
          <w:szCs w:val="28"/>
        </w:rPr>
      </w:pPr>
      <w:r w:rsidRPr="009D0890">
        <w:rPr>
          <w:szCs w:val="28"/>
        </w:rPr>
        <w:t xml:space="preserve">Рисунок </w:t>
      </w:r>
      <w:r>
        <w:rPr>
          <w:szCs w:val="28"/>
        </w:rPr>
        <w:t>2</w:t>
      </w:r>
      <w:r w:rsidRPr="009D0890">
        <w:rPr>
          <w:szCs w:val="28"/>
        </w:rPr>
        <w:t xml:space="preserve"> – </w:t>
      </w:r>
      <w:r w:rsidRPr="00661BA2">
        <w:rPr>
          <w:szCs w:val="28"/>
        </w:rPr>
        <w:t xml:space="preserve">Детальная диаграмма </w:t>
      </w:r>
      <w:proofErr w:type="spellStart"/>
      <w:r w:rsidRPr="00661BA2">
        <w:rPr>
          <w:szCs w:val="28"/>
        </w:rPr>
        <w:t>подпроцесса</w:t>
      </w:r>
      <w:proofErr w:type="spellEnd"/>
      <w:r w:rsidRPr="00661BA2">
        <w:rPr>
          <w:szCs w:val="28"/>
        </w:rPr>
        <w:t xml:space="preserve"> бронирования</w:t>
      </w:r>
    </w:p>
    <w:p w:rsidR="00EE1C4D" w:rsidRPr="002258A4" w:rsidRDefault="00EE1C4D" w:rsidP="00EE1C4D">
      <w:pPr>
        <w:pStyle w:val="a3"/>
        <w:rPr>
          <w:szCs w:val="28"/>
        </w:rPr>
      </w:pPr>
      <w:r w:rsidRPr="002258A4">
        <w:rPr>
          <w:szCs w:val="28"/>
        </w:rPr>
        <w:t xml:space="preserve">Детальная диаграмма раскрывает внутреннюю логику этапа бронирования. Система формирует и отправляет клиенту форму для заполнения информации </w:t>
      </w:r>
      <w:proofErr w:type="gramStart"/>
      <w:r w:rsidRPr="002258A4">
        <w:rPr>
          <w:szCs w:val="28"/>
        </w:rPr>
        <w:t>о</w:t>
      </w:r>
      <w:proofErr w:type="gramEnd"/>
      <w:r w:rsidRPr="002258A4">
        <w:rPr>
          <w:szCs w:val="28"/>
        </w:rPr>
        <w:t xml:space="preserve"> всех гостях, клиент заполняет данные и отправляет их обратно, после чего система проверяет заполнение обязательных полей. При обнаружении ошибок клиенту направляется сообщение с указанием некорректных полей. Затем система перенаправляет </w:t>
      </w:r>
      <w:r w:rsidRPr="002258A4">
        <w:rPr>
          <w:szCs w:val="28"/>
        </w:rPr>
        <w:lastRenderedPageBreak/>
        <w:t>клиента на внешний платёжный шлюз для проведения транзакции, платёжная система обрабатывает оплату и возвращает статус операции. При неуспешном платеже клиент получает уведомление об ошибке. После успешной оплаты система формирует запрос на резервирование выбранного номера и направляет его в смежную систему поставщика, который подтверждает резервирование или возвращает отказ. В случае отказа система инициирует возврат денежных средств и уведомляет клиента. При успешном резервировании система генерирует подтверждение бронирования и направляет его клиенту по электронной почте, после чего процесс считается завершённым.</w:t>
      </w:r>
    </w:p>
    <w:p w:rsidR="00EE1C4D" w:rsidRPr="002258A4" w:rsidRDefault="00EE1C4D" w:rsidP="00EE1C4D">
      <w:pPr>
        <w:pStyle w:val="a3"/>
        <w:rPr>
          <w:szCs w:val="28"/>
        </w:rPr>
      </w:pPr>
      <w:r w:rsidRPr="002258A4">
        <w:rPr>
          <w:szCs w:val="28"/>
        </w:rPr>
        <w:t xml:space="preserve">На обеих диаграммах взаимодействие между участниками осуществляется через потоки сообщений, обозначаемые пунктирными линиями, а внутренняя логика системы </w:t>
      </w:r>
      <w:r>
        <w:rPr>
          <w:szCs w:val="28"/>
        </w:rPr>
        <w:t>–</w:t>
      </w:r>
      <w:r w:rsidRPr="00577FB3">
        <w:rPr>
          <w:szCs w:val="28"/>
        </w:rPr>
        <w:t xml:space="preserve"> </w:t>
      </w:r>
      <w:r w:rsidRPr="002258A4">
        <w:rPr>
          <w:szCs w:val="28"/>
        </w:rPr>
        <w:t>через потоки управления, обозначаемые сплошными линиями. Исключающие шлюзы используются для ветвления по условиям, что позволяет корректно обрабатывать как успешные сценарии, так и ошибки. Разработанные диаграммы позволяют наглядно представить логику работы сервиса, выявить точки интеграции с внешними системами и служат основой для дальнейшей разработки и тестирования.</w:t>
      </w:r>
    </w:p>
    <w:p w:rsidR="00C36F70" w:rsidRDefault="00C36F70"/>
    <w:sectPr w:rsidR="00C36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8237B4"/>
    <w:multiLevelType w:val="multilevel"/>
    <w:tmpl w:val="B5A29060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3.%2.%1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8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C4D"/>
    <w:rsid w:val="00C36F70"/>
    <w:rsid w:val="00EE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Р_Заголовок отчета 1"/>
    <w:basedOn w:val="a"/>
    <w:next w:val="a3"/>
    <w:qFormat/>
    <w:rsid w:val="00EE1C4D"/>
    <w:pPr>
      <w:numPr>
        <w:numId w:val="1"/>
      </w:numPr>
      <w:tabs>
        <w:tab w:val="clear" w:pos="709"/>
        <w:tab w:val="num" w:pos="993"/>
      </w:tabs>
      <w:spacing w:after="240" w:line="360" w:lineRule="auto"/>
      <w:ind w:left="709"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ПР_Заголовок отчета 2"/>
    <w:basedOn w:val="1"/>
    <w:qFormat/>
    <w:rsid w:val="00EE1C4D"/>
    <w:pPr>
      <w:numPr>
        <w:ilvl w:val="1"/>
      </w:numPr>
      <w:tabs>
        <w:tab w:val="left" w:pos="1276"/>
      </w:tabs>
      <w:spacing w:before="120" w:after="120"/>
      <w:ind w:left="709" w:firstLine="0"/>
    </w:pPr>
  </w:style>
  <w:style w:type="paragraph" w:customStyle="1" w:styleId="a3">
    <w:name w:val="ПР_Абзац"/>
    <w:basedOn w:val="a"/>
    <w:qFormat/>
    <w:rsid w:val="00EE1C4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4">
    <w:name w:val="ПР_подрисуночная надпись"/>
    <w:basedOn w:val="a3"/>
    <w:next w:val="a3"/>
    <w:qFormat/>
    <w:rsid w:val="00EE1C4D"/>
    <w:pPr>
      <w:spacing w:after="240"/>
      <w:ind w:firstLine="0"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EE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1C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Р_Заголовок отчета 1"/>
    <w:basedOn w:val="a"/>
    <w:next w:val="a3"/>
    <w:qFormat/>
    <w:rsid w:val="00EE1C4D"/>
    <w:pPr>
      <w:numPr>
        <w:numId w:val="1"/>
      </w:numPr>
      <w:tabs>
        <w:tab w:val="clear" w:pos="709"/>
        <w:tab w:val="num" w:pos="993"/>
      </w:tabs>
      <w:spacing w:after="240" w:line="360" w:lineRule="auto"/>
      <w:ind w:left="709"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ПР_Заголовок отчета 2"/>
    <w:basedOn w:val="1"/>
    <w:qFormat/>
    <w:rsid w:val="00EE1C4D"/>
    <w:pPr>
      <w:numPr>
        <w:ilvl w:val="1"/>
      </w:numPr>
      <w:tabs>
        <w:tab w:val="left" w:pos="1276"/>
      </w:tabs>
      <w:spacing w:before="120" w:after="120"/>
      <w:ind w:left="709" w:firstLine="0"/>
    </w:pPr>
  </w:style>
  <w:style w:type="paragraph" w:customStyle="1" w:styleId="a3">
    <w:name w:val="ПР_Абзац"/>
    <w:basedOn w:val="a"/>
    <w:qFormat/>
    <w:rsid w:val="00EE1C4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4">
    <w:name w:val="ПР_подрисуночная надпись"/>
    <w:basedOn w:val="a3"/>
    <w:next w:val="a3"/>
    <w:qFormat/>
    <w:rsid w:val="00EE1C4D"/>
    <w:pPr>
      <w:spacing w:after="240"/>
      <w:ind w:firstLine="0"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EE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1C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Дашенька</dc:creator>
  <cp:lastModifiedBy>Дашенька</cp:lastModifiedBy>
  <cp:revision>1</cp:revision>
  <dcterms:created xsi:type="dcterms:W3CDTF">2026-06-26T18:50:00Z</dcterms:created>
  <dcterms:modified xsi:type="dcterms:W3CDTF">2026-06-26T18:51:00Z</dcterms:modified>
</cp:coreProperties>
</file>