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300"/>
        <w:gridCol w:w="6854"/>
        <w:gridCol w:w="1350"/>
      </w:tblGrid>
      <w:tr w:rsidR="005705CB" w:rsidRPr="005705CB" w:rsidTr="005705CB">
        <w:trPr>
          <w:tblCellSpacing w:w="0" w:type="dxa"/>
        </w:trPr>
        <w:tc>
          <w:tcPr>
            <w:tcW w:w="75" w:type="dxa"/>
            <w:vAlign w:val="center"/>
            <w:hideMark/>
          </w:tcPr>
          <w:p w:rsidR="005705CB" w:rsidRPr="005705CB" w:rsidRDefault="005705CB" w:rsidP="005705CB">
            <w:pPr>
              <w:spacing w:after="0" w:line="240" w:lineRule="auto"/>
              <w:rPr>
                <w:rFonts w:ascii="Arial" w:eastAsia="Times New Roman" w:hAnsi="Arial" w:cs="Arial"/>
                <w:sz w:val="17"/>
                <w:szCs w:val="17"/>
                <w:lang w:eastAsia="es-ES"/>
              </w:rPr>
            </w:pPr>
            <w:r w:rsidRPr="005705CB">
              <w:rPr>
                <w:rFonts w:ascii="Times New Roman" w:eastAsia="Times New Roman" w:hAnsi="Times New Roman" w:cs="Times New Roman"/>
                <w:sz w:val="24"/>
                <w:szCs w:val="24"/>
                <w:lang w:eastAsia="es-ES"/>
              </w:rPr>
              <w:pict/>
            </w:r>
          </w:p>
        </w:tc>
        <w:tc>
          <w:tcPr>
            <w:tcW w:w="0" w:type="auto"/>
            <w:vAlign w:val="center"/>
            <w:hideMark/>
          </w:tcPr>
          <w:p w:rsidR="005705CB" w:rsidRPr="005705CB" w:rsidRDefault="005705CB" w:rsidP="005705CB">
            <w:pPr>
              <w:spacing w:after="0" w:line="240" w:lineRule="auto"/>
              <w:rPr>
                <w:rFonts w:ascii="Arial" w:eastAsia="Times New Roman" w:hAnsi="Arial" w:cs="Arial"/>
                <w:sz w:val="17"/>
                <w:szCs w:val="17"/>
                <w:lang w:eastAsia="es-ES"/>
              </w:rPr>
            </w:pPr>
            <w:r>
              <w:rPr>
                <w:rFonts w:ascii="Arial" w:eastAsia="Times New Roman" w:hAnsi="Arial" w:cs="Arial"/>
                <w:noProof/>
                <w:sz w:val="17"/>
                <w:szCs w:val="17"/>
                <w:lang w:eastAsia="es-ES"/>
              </w:rPr>
              <w:drawing>
                <wp:inline distT="0" distB="0" distL="0" distR="0">
                  <wp:extent cx="3219450" cy="447675"/>
                  <wp:effectExtent l="19050" t="0" r="0" b="0"/>
                  <wp:docPr id="2" name="Imagen 2" descr="http://eol1.errepar.com/eol/Novedades/img/logo_nove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ol1.errepar.com/eol/Novedades/img/logo_novedades.jpg"/>
                          <pic:cNvPicPr>
                            <a:picLocks noChangeAspect="1" noChangeArrowheads="1"/>
                          </pic:cNvPicPr>
                        </pic:nvPicPr>
                        <pic:blipFill>
                          <a:blip r:embed="rId4"/>
                          <a:srcRect/>
                          <a:stretch>
                            <a:fillRect/>
                          </a:stretch>
                        </pic:blipFill>
                        <pic:spPr bwMode="auto">
                          <a:xfrm>
                            <a:off x="0" y="0"/>
                            <a:ext cx="3219450" cy="447675"/>
                          </a:xfrm>
                          <a:prstGeom prst="rect">
                            <a:avLst/>
                          </a:prstGeom>
                          <a:noFill/>
                          <a:ln w="9525">
                            <a:noFill/>
                            <a:miter lim="800000"/>
                            <a:headEnd/>
                            <a:tailEnd/>
                          </a:ln>
                        </pic:spPr>
                      </pic:pic>
                    </a:graphicData>
                  </a:graphic>
                </wp:inline>
              </w:drawing>
            </w:r>
          </w:p>
        </w:tc>
        <w:tc>
          <w:tcPr>
            <w:tcW w:w="1350" w:type="dxa"/>
            <w:vAlign w:val="center"/>
            <w:hideMark/>
          </w:tcPr>
          <w:p w:rsidR="005705CB" w:rsidRPr="005705CB" w:rsidRDefault="005705CB" w:rsidP="005705CB">
            <w:pPr>
              <w:spacing w:after="0" w:line="240" w:lineRule="auto"/>
              <w:rPr>
                <w:rFonts w:ascii="Arial" w:eastAsia="Times New Roman" w:hAnsi="Arial" w:cs="Arial"/>
                <w:sz w:val="17"/>
                <w:szCs w:val="17"/>
                <w:lang w:eastAsia="es-ES"/>
              </w:rPr>
            </w:pPr>
            <w:r>
              <w:rPr>
                <w:rFonts w:ascii="Arial" w:eastAsia="Times New Roman" w:hAnsi="Arial" w:cs="Arial"/>
                <w:noProof/>
                <w:color w:val="008000"/>
                <w:sz w:val="17"/>
                <w:szCs w:val="17"/>
                <w:lang w:eastAsia="es-ES"/>
              </w:rPr>
              <w:drawing>
                <wp:inline distT="0" distB="0" distL="0" distR="0">
                  <wp:extent cx="762000" cy="247650"/>
                  <wp:effectExtent l="19050" t="0" r="0" b="0"/>
                  <wp:docPr id="3" name="Imagen 3" descr="http://eol1.errepar.com/eol/Novedades/img/btn_printer_up.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ol1.errepar.com/eol/Novedades/img/btn_printer_up.gif">
                            <a:hlinkClick r:id="rId5"/>
                          </pic:cNvPr>
                          <pic:cNvPicPr>
                            <a:picLocks noChangeAspect="1" noChangeArrowheads="1"/>
                          </pic:cNvPicPr>
                        </pic:nvPicPr>
                        <pic:blipFill>
                          <a:blip r:embed="rId6"/>
                          <a:srcRect/>
                          <a:stretch>
                            <a:fillRect/>
                          </a:stretch>
                        </pic:blipFill>
                        <pic:spPr bwMode="auto">
                          <a:xfrm>
                            <a:off x="0" y="0"/>
                            <a:ext cx="762000" cy="247650"/>
                          </a:xfrm>
                          <a:prstGeom prst="rect">
                            <a:avLst/>
                          </a:prstGeom>
                          <a:noFill/>
                          <a:ln w="9525">
                            <a:noFill/>
                            <a:miter lim="800000"/>
                            <a:headEnd/>
                            <a:tailEnd/>
                          </a:ln>
                        </pic:spPr>
                      </pic:pic>
                    </a:graphicData>
                  </a:graphic>
                </wp:inline>
              </w:drawing>
            </w:r>
          </w:p>
        </w:tc>
      </w:tr>
    </w:tbl>
    <w:p w:rsidR="005705CB" w:rsidRPr="005705CB" w:rsidRDefault="005705CB" w:rsidP="005705CB">
      <w:pPr>
        <w:spacing w:after="240" w:line="240" w:lineRule="auto"/>
        <w:rPr>
          <w:rFonts w:ascii="Arial" w:eastAsia="Times New Roman" w:hAnsi="Arial" w:cs="Arial"/>
          <w:sz w:val="17"/>
          <w:szCs w:val="17"/>
          <w:lang w:eastAsia="es-ES"/>
        </w:rPr>
      </w:pPr>
    </w:p>
    <w:p w:rsidR="005705CB" w:rsidRPr="005705CB" w:rsidRDefault="005705CB" w:rsidP="005705CB">
      <w:pPr>
        <w:spacing w:after="0" w:line="240" w:lineRule="auto"/>
        <w:rPr>
          <w:rFonts w:ascii="Arial" w:eastAsia="Times New Roman" w:hAnsi="Arial" w:cs="Arial"/>
          <w:sz w:val="17"/>
          <w:szCs w:val="17"/>
          <w:lang w:eastAsia="es-ES"/>
        </w:rPr>
      </w:pPr>
      <w:r w:rsidRPr="005705CB">
        <w:rPr>
          <w:rFonts w:ascii="Tahoma" w:eastAsia="Times New Roman" w:hAnsi="Tahoma" w:cs="Tahoma"/>
          <w:b/>
          <w:bCs/>
          <w:color w:val="000000"/>
          <w:sz w:val="23"/>
          <w:szCs w:val="23"/>
          <w:lang w:eastAsia="es-ES"/>
        </w:rPr>
        <w:t>RESOLUCIÓN GENERAL (</w:t>
      </w:r>
      <w:proofErr w:type="spellStart"/>
      <w:r w:rsidRPr="005705CB">
        <w:rPr>
          <w:rFonts w:ascii="Tahoma" w:eastAsia="Times New Roman" w:hAnsi="Tahoma" w:cs="Tahoma"/>
          <w:b/>
          <w:bCs/>
          <w:color w:val="000000"/>
          <w:sz w:val="23"/>
          <w:szCs w:val="23"/>
          <w:lang w:eastAsia="es-ES"/>
        </w:rPr>
        <w:t>Adm</w:t>
      </w:r>
      <w:proofErr w:type="spellEnd"/>
      <w:r w:rsidRPr="005705CB">
        <w:rPr>
          <w:rFonts w:ascii="Tahoma" w:eastAsia="Times New Roman" w:hAnsi="Tahoma" w:cs="Tahoma"/>
          <w:b/>
          <w:bCs/>
          <w:color w:val="000000"/>
          <w:sz w:val="23"/>
          <w:szCs w:val="23"/>
          <w:lang w:eastAsia="es-ES"/>
        </w:rPr>
        <w:t xml:space="preserve">. Fed. Ingresos Públicos) 3188 </w:t>
      </w:r>
    </w:p>
    <w:p w:rsidR="005705CB" w:rsidRPr="005705CB" w:rsidRDefault="005705CB" w:rsidP="005705CB">
      <w:pPr>
        <w:spacing w:after="0" w:line="240" w:lineRule="auto"/>
        <w:rPr>
          <w:rFonts w:ascii="Arial" w:eastAsia="Times New Roman" w:hAnsi="Arial" w:cs="Arial"/>
          <w:b/>
          <w:bCs/>
          <w:sz w:val="17"/>
          <w:szCs w:val="17"/>
          <w:lang w:eastAsia="es-ES"/>
        </w:rPr>
      </w:pPr>
      <w:r w:rsidRPr="005705CB">
        <w:rPr>
          <w:rFonts w:ascii="Arial" w:eastAsia="Times New Roman" w:hAnsi="Arial" w:cs="Arial"/>
          <w:b/>
          <w:bCs/>
          <w:sz w:val="17"/>
          <w:szCs w:val="17"/>
          <w:lang w:eastAsia="es-ES"/>
        </w:rPr>
        <w:t xml:space="preserve">Facturación y Registración. Factura electrónica. Sujetos incorporados al régimen mediante notificación por parte de la AFIP. Nuevas disposiciones relacionadas con los datos a suministrar en la solicitud de autorización de emisión de comprobantes </w:t>
      </w:r>
    </w:p>
    <w:p w:rsidR="005705CB" w:rsidRPr="005705CB" w:rsidRDefault="005705CB" w:rsidP="005705CB">
      <w:pPr>
        <w:spacing w:after="0" w:line="240" w:lineRule="auto"/>
        <w:rPr>
          <w:rFonts w:ascii="Arial" w:eastAsia="Times New Roman" w:hAnsi="Arial" w:cs="Arial"/>
          <w:i/>
          <w:iCs/>
          <w:sz w:val="17"/>
          <w:szCs w:val="17"/>
          <w:lang w:eastAsia="es-ES"/>
        </w:rPr>
      </w:pPr>
      <w:r w:rsidRPr="005705CB">
        <w:rPr>
          <w:rFonts w:ascii="Arial" w:eastAsia="Times New Roman" w:hAnsi="Arial" w:cs="Arial"/>
          <w:b/>
          <w:bCs/>
          <w:i/>
          <w:iCs/>
          <w:sz w:val="17"/>
          <w:szCs w:val="17"/>
          <w:lang w:eastAsia="es-ES"/>
        </w:rPr>
        <w:t xml:space="preserve">SUMARIO: </w:t>
      </w:r>
      <w:r w:rsidRPr="005705CB">
        <w:rPr>
          <w:rFonts w:ascii="Arial" w:eastAsia="Times New Roman" w:hAnsi="Arial" w:cs="Arial"/>
          <w:i/>
          <w:iCs/>
          <w:sz w:val="17"/>
          <w:szCs w:val="17"/>
          <w:lang w:eastAsia="es-ES"/>
        </w:rPr>
        <w:t>Se establece que los sujetos incorporados al régimen de facturación electrónica mediante notificación por parte de la AFIP -RG (AFIP) 2904- deberán utilizar los códigos de identificación de productos dispuestos en el Anexo de la citada resolución general y los que se encontrarán disponibles en el sitio Web de la AFIP bajo la denominación "Códigos - Anexo VII - RG 2904".</w:t>
      </w:r>
      <w:r w:rsidRPr="005705CB">
        <w:rPr>
          <w:rFonts w:ascii="Arial" w:eastAsia="Times New Roman" w:hAnsi="Arial" w:cs="Arial"/>
          <w:i/>
          <w:iCs/>
          <w:sz w:val="17"/>
          <w:szCs w:val="17"/>
          <w:lang w:eastAsia="es-ES"/>
        </w:rPr>
        <w:br/>
        <w:t xml:space="preserve">Por otra parte, se incorporan determinados códigos de identificación de productos, aplicables al sector de actividades de terminales portuarias. </w:t>
      </w:r>
    </w:p>
    <w:p w:rsidR="005705CB" w:rsidRPr="005705CB" w:rsidRDefault="005705CB" w:rsidP="005705CB">
      <w:pPr>
        <w:spacing w:after="0" w:line="240" w:lineRule="auto"/>
        <w:rPr>
          <w:rFonts w:ascii="Arial" w:eastAsia="Times New Roman" w:hAnsi="Arial" w:cs="Arial"/>
          <w:sz w:val="17"/>
          <w:szCs w:val="17"/>
          <w:lang w:eastAsia="es-ES"/>
        </w:rPr>
      </w:pPr>
      <w:r w:rsidRPr="005705CB">
        <w:rPr>
          <w:rFonts w:ascii="Arial" w:eastAsia="Times New Roman" w:hAnsi="Arial" w:cs="Arial"/>
          <w:b/>
          <w:bCs/>
          <w:color w:val="000000"/>
          <w:sz w:val="17"/>
          <w:szCs w:val="17"/>
          <w:lang w:eastAsia="es-ES"/>
        </w:rPr>
        <w:t xml:space="preserve">Fecha de Norma: </w:t>
      </w:r>
      <w:r w:rsidRPr="005705CB">
        <w:rPr>
          <w:rFonts w:ascii="Arial" w:eastAsia="Times New Roman" w:hAnsi="Arial" w:cs="Arial"/>
          <w:sz w:val="17"/>
          <w:szCs w:val="17"/>
          <w:lang w:eastAsia="es-ES"/>
        </w:rPr>
        <w:t xml:space="preserve">26/09/2011 </w:t>
      </w:r>
    </w:p>
    <w:p w:rsidR="005705CB" w:rsidRPr="005705CB" w:rsidRDefault="005705CB" w:rsidP="005705CB">
      <w:pPr>
        <w:spacing w:after="0" w:line="240" w:lineRule="auto"/>
        <w:rPr>
          <w:rFonts w:ascii="Arial" w:eastAsia="Times New Roman" w:hAnsi="Arial" w:cs="Arial"/>
          <w:sz w:val="17"/>
          <w:szCs w:val="17"/>
          <w:lang w:eastAsia="es-ES"/>
        </w:rPr>
      </w:pPr>
      <w:r w:rsidRPr="005705CB">
        <w:rPr>
          <w:rFonts w:ascii="Arial" w:eastAsia="Times New Roman" w:hAnsi="Arial" w:cs="Arial"/>
          <w:b/>
          <w:bCs/>
          <w:color w:val="000000"/>
          <w:sz w:val="17"/>
          <w:szCs w:val="17"/>
          <w:lang w:eastAsia="es-ES"/>
        </w:rPr>
        <w:t xml:space="preserve">Boletín Oficial: </w:t>
      </w:r>
      <w:r w:rsidRPr="005705CB">
        <w:rPr>
          <w:rFonts w:ascii="Arial" w:eastAsia="Times New Roman" w:hAnsi="Arial" w:cs="Arial"/>
          <w:sz w:val="17"/>
          <w:szCs w:val="17"/>
          <w:lang w:eastAsia="es-ES"/>
        </w:rPr>
        <w:t xml:space="preserve">29/09/2011 </w:t>
      </w:r>
    </w:p>
    <w:p w:rsidR="005705CB" w:rsidRPr="005705CB" w:rsidRDefault="005705CB" w:rsidP="005705CB">
      <w:pPr>
        <w:spacing w:after="0" w:line="240" w:lineRule="auto"/>
        <w:rPr>
          <w:rFonts w:ascii="Arial" w:eastAsia="Times New Roman" w:hAnsi="Arial" w:cs="Arial"/>
          <w:sz w:val="17"/>
          <w:szCs w:val="17"/>
          <w:lang w:eastAsia="es-ES"/>
        </w:rPr>
      </w:pPr>
      <w:r w:rsidRPr="005705CB">
        <w:rPr>
          <w:rFonts w:ascii="Arial" w:eastAsia="Times New Roman" w:hAnsi="Arial" w:cs="Arial"/>
          <w:b/>
          <w:bCs/>
          <w:color w:val="000000"/>
          <w:sz w:val="17"/>
          <w:szCs w:val="17"/>
          <w:lang w:eastAsia="es-ES"/>
        </w:rPr>
        <w:t xml:space="preserve">Organismo: </w:t>
      </w:r>
      <w:proofErr w:type="spellStart"/>
      <w:r w:rsidRPr="005705CB">
        <w:rPr>
          <w:rFonts w:ascii="Arial" w:eastAsia="Times New Roman" w:hAnsi="Arial" w:cs="Arial"/>
          <w:sz w:val="17"/>
          <w:szCs w:val="17"/>
          <w:lang w:eastAsia="es-ES"/>
        </w:rPr>
        <w:t>Adm</w:t>
      </w:r>
      <w:proofErr w:type="spellEnd"/>
      <w:r w:rsidRPr="005705CB">
        <w:rPr>
          <w:rFonts w:ascii="Arial" w:eastAsia="Times New Roman" w:hAnsi="Arial" w:cs="Arial"/>
          <w:sz w:val="17"/>
          <w:szCs w:val="17"/>
          <w:lang w:eastAsia="es-ES"/>
        </w:rPr>
        <w:t xml:space="preserve">. Fed. Ingresos Públicos </w:t>
      </w:r>
    </w:p>
    <w:p w:rsidR="005705CB" w:rsidRPr="005705CB" w:rsidRDefault="005705CB" w:rsidP="005705CB">
      <w:pPr>
        <w:spacing w:after="0" w:line="240" w:lineRule="auto"/>
        <w:rPr>
          <w:rFonts w:ascii="Arial" w:eastAsia="Times New Roman" w:hAnsi="Arial" w:cs="Arial"/>
          <w:sz w:val="17"/>
          <w:szCs w:val="17"/>
          <w:lang w:eastAsia="es-ES"/>
        </w:rPr>
      </w:pPr>
      <w:r w:rsidRPr="005705CB">
        <w:rPr>
          <w:rFonts w:ascii="Arial" w:eastAsia="Times New Roman" w:hAnsi="Arial" w:cs="Arial"/>
          <w:b/>
          <w:bCs/>
          <w:color w:val="000000"/>
          <w:sz w:val="17"/>
          <w:szCs w:val="17"/>
          <w:lang w:eastAsia="es-ES"/>
        </w:rPr>
        <w:t xml:space="preserve">Jurisdicción: </w:t>
      </w:r>
      <w:r w:rsidRPr="005705CB">
        <w:rPr>
          <w:rFonts w:ascii="Arial" w:eastAsia="Times New Roman" w:hAnsi="Arial" w:cs="Arial"/>
          <w:sz w:val="17"/>
          <w:szCs w:val="17"/>
          <w:lang w:eastAsia="es-ES"/>
        </w:rPr>
        <w:t xml:space="preserve">Nacional </w:t>
      </w:r>
    </w:p>
    <w:p w:rsidR="005705CB" w:rsidRPr="005705CB" w:rsidRDefault="005705CB" w:rsidP="005705CB">
      <w:pPr>
        <w:spacing w:after="0" w:line="240" w:lineRule="auto"/>
        <w:rPr>
          <w:rFonts w:ascii="Arial" w:eastAsia="Times New Roman" w:hAnsi="Arial" w:cs="Arial"/>
          <w:vanish/>
          <w:sz w:val="17"/>
          <w:szCs w:val="17"/>
          <w:lang w:eastAsia="es-ES"/>
        </w:rPr>
      </w:pPr>
      <w:r w:rsidRPr="005705CB">
        <w:rPr>
          <w:rFonts w:ascii="Arial" w:eastAsia="Times New Roman" w:hAnsi="Arial" w:cs="Arial"/>
          <w:b/>
          <w:bCs/>
          <w:vanish/>
          <w:color w:val="000000"/>
          <w:sz w:val="17"/>
          <w:szCs w:val="17"/>
          <w:lang w:eastAsia="es-ES"/>
        </w:rPr>
        <w:t xml:space="preserve">Dictamen: </w:t>
      </w:r>
      <w:r w:rsidRPr="005705CB">
        <w:rPr>
          <w:rFonts w:ascii="Arial" w:eastAsia="Times New Roman" w:hAnsi="Arial" w:cs="Arial"/>
          <w:vanish/>
          <w:sz w:val="17"/>
          <w:szCs w:val="17"/>
          <w:lang w:eastAsia="es-ES"/>
        </w:rPr>
        <w:t xml:space="preserve">3188 </w:t>
      </w:r>
    </w:p>
    <w:p w:rsidR="005705CB" w:rsidRPr="005705CB" w:rsidRDefault="005705CB" w:rsidP="005705CB">
      <w:pPr>
        <w:spacing w:after="0" w:line="240" w:lineRule="auto"/>
        <w:rPr>
          <w:rFonts w:ascii="Arial" w:eastAsia="Times New Roman" w:hAnsi="Arial" w:cs="Arial"/>
          <w:vanish/>
          <w:sz w:val="17"/>
          <w:szCs w:val="17"/>
          <w:lang w:eastAsia="es-ES"/>
        </w:rPr>
      </w:pPr>
      <w:r w:rsidRPr="005705CB">
        <w:rPr>
          <w:rFonts w:ascii="Arial" w:eastAsia="Times New Roman" w:hAnsi="Arial" w:cs="Arial"/>
          <w:b/>
          <w:bCs/>
          <w:vanish/>
          <w:color w:val="000000"/>
          <w:sz w:val="17"/>
          <w:szCs w:val="17"/>
          <w:lang w:eastAsia="es-ES"/>
        </w:rPr>
        <w:t xml:space="preserve">Tribunal: </w:t>
      </w:r>
    </w:p>
    <w:p w:rsidR="005705CB" w:rsidRPr="005705CB" w:rsidRDefault="005705CB" w:rsidP="005705CB">
      <w:pPr>
        <w:spacing w:after="0" w:line="240" w:lineRule="auto"/>
        <w:rPr>
          <w:rFonts w:ascii="Arial" w:eastAsia="Times New Roman" w:hAnsi="Arial" w:cs="Arial"/>
          <w:vanish/>
          <w:sz w:val="17"/>
          <w:szCs w:val="17"/>
          <w:lang w:eastAsia="es-ES"/>
        </w:rPr>
      </w:pPr>
      <w:r w:rsidRPr="005705CB">
        <w:rPr>
          <w:rFonts w:ascii="Arial" w:eastAsia="Times New Roman" w:hAnsi="Arial" w:cs="Arial"/>
          <w:b/>
          <w:bCs/>
          <w:vanish/>
          <w:color w:val="000000"/>
          <w:sz w:val="17"/>
          <w:szCs w:val="17"/>
          <w:lang w:eastAsia="es-ES"/>
        </w:rPr>
        <w:t xml:space="preserve">Parte/s: </w:t>
      </w:r>
    </w:p>
    <w:p w:rsidR="005705CB" w:rsidRPr="005705CB" w:rsidRDefault="005705CB" w:rsidP="005705CB">
      <w:pPr>
        <w:spacing w:after="0" w:line="240" w:lineRule="auto"/>
        <w:rPr>
          <w:rFonts w:ascii="Arial" w:eastAsia="Times New Roman" w:hAnsi="Arial" w:cs="Arial"/>
          <w:vanish/>
          <w:sz w:val="17"/>
          <w:szCs w:val="17"/>
          <w:lang w:eastAsia="es-ES"/>
        </w:rPr>
      </w:pPr>
      <w:r w:rsidRPr="005705CB">
        <w:rPr>
          <w:rFonts w:ascii="Arial" w:eastAsia="Times New Roman" w:hAnsi="Arial" w:cs="Arial"/>
          <w:b/>
          <w:bCs/>
          <w:vanish/>
          <w:color w:val="000000"/>
          <w:sz w:val="17"/>
          <w:szCs w:val="17"/>
          <w:lang w:eastAsia="es-ES"/>
        </w:rPr>
        <w:t xml:space="preserve">Sala: </w:t>
      </w:r>
    </w:p>
    <w:p w:rsidR="005705CB" w:rsidRPr="005705CB" w:rsidRDefault="005705CB" w:rsidP="005705CB">
      <w:pPr>
        <w:spacing w:after="0" w:line="240" w:lineRule="auto"/>
        <w:rPr>
          <w:rFonts w:ascii="Arial" w:eastAsia="Times New Roman" w:hAnsi="Arial" w:cs="Arial"/>
          <w:vanish/>
          <w:sz w:val="17"/>
          <w:szCs w:val="17"/>
          <w:lang w:eastAsia="es-ES"/>
        </w:rPr>
      </w:pPr>
      <w:r w:rsidRPr="005705CB">
        <w:rPr>
          <w:rFonts w:ascii="Arial" w:eastAsia="Times New Roman" w:hAnsi="Arial" w:cs="Arial"/>
          <w:b/>
          <w:bCs/>
          <w:vanish/>
          <w:color w:val="000000"/>
          <w:sz w:val="17"/>
          <w:szCs w:val="17"/>
          <w:lang w:eastAsia="es-ES"/>
        </w:rPr>
        <w:t xml:space="preserve">Fecha: </w:t>
      </w:r>
      <w:r w:rsidRPr="005705CB">
        <w:rPr>
          <w:rFonts w:ascii="Arial" w:eastAsia="Times New Roman" w:hAnsi="Arial" w:cs="Arial"/>
          <w:vanish/>
          <w:sz w:val="17"/>
          <w:szCs w:val="17"/>
          <w:lang w:eastAsia="es-ES"/>
        </w:rPr>
        <w:t xml:space="preserve">26/09/2011 </w:t>
      </w:r>
    </w:p>
    <w:tbl>
      <w:tblPr>
        <w:tblW w:w="4950" w:type="pct"/>
        <w:jc w:val="center"/>
        <w:tblCellSpacing w:w="15" w:type="dxa"/>
        <w:tblCellMar>
          <w:top w:w="15" w:type="dxa"/>
          <w:left w:w="15" w:type="dxa"/>
          <w:bottom w:w="15" w:type="dxa"/>
          <w:right w:w="15" w:type="dxa"/>
        </w:tblCellMar>
        <w:tblLook w:val="04A0"/>
      </w:tblPr>
      <w:tblGrid>
        <w:gridCol w:w="8508"/>
      </w:tblGrid>
      <w:tr w:rsidR="005705CB" w:rsidRPr="005705CB" w:rsidTr="005705CB">
        <w:trPr>
          <w:tblCellSpacing w:w="15" w:type="dxa"/>
          <w:jc w:val="center"/>
        </w:trPr>
        <w:tc>
          <w:tcPr>
            <w:tcW w:w="0" w:type="auto"/>
            <w:vAlign w:val="center"/>
            <w:hideMark/>
          </w:tcPr>
          <w:p w:rsidR="005705CB" w:rsidRPr="005705CB" w:rsidRDefault="005705CB" w:rsidP="005705CB">
            <w:pPr>
              <w:spacing w:after="0" w:line="240" w:lineRule="auto"/>
              <w:jc w:val="both"/>
              <w:rPr>
                <w:rFonts w:ascii="Verdana" w:eastAsia="Times New Roman" w:hAnsi="Verdana" w:cs="Times New Roman"/>
                <w:sz w:val="16"/>
                <w:szCs w:val="16"/>
                <w:lang w:eastAsia="es-ES"/>
              </w:rPr>
            </w:pPr>
            <w:bookmarkStart w:id="0" w:name="textosegun"/>
            <w:bookmarkEnd w:id="0"/>
            <w:r w:rsidRPr="005705CB">
              <w:rPr>
                <w:rFonts w:ascii="Verdana" w:eastAsia="Times New Roman" w:hAnsi="Verdana" w:cs="Times New Roman"/>
                <w:b/>
                <w:bCs/>
                <w:sz w:val="16"/>
                <w:lang w:val="es-AR" w:eastAsia="es-ES"/>
              </w:rPr>
              <w:t xml:space="preserve">Art. 1 - </w:t>
            </w:r>
            <w:proofErr w:type="spellStart"/>
            <w:r w:rsidRPr="005705CB">
              <w:rPr>
                <w:rFonts w:ascii="Verdana" w:eastAsia="Times New Roman" w:hAnsi="Verdana" w:cs="Times New Roman"/>
                <w:sz w:val="16"/>
                <w:szCs w:val="16"/>
                <w:lang w:val="es-AR" w:eastAsia="es-ES"/>
              </w:rPr>
              <w:t>Modifícase</w:t>
            </w:r>
            <w:proofErr w:type="spellEnd"/>
            <w:r w:rsidRPr="005705CB">
              <w:rPr>
                <w:rFonts w:ascii="Verdana" w:eastAsia="Times New Roman" w:hAnsi="Verdana" w:cs="Times New Roman"/>
                <w:sz w:val="16"/>
                <w:szCs w:val="16"/>
                <w:lang w:val="es-AR" w:eastAsia="es-ES"/>
              </w:rPr>
              <w:t xml:space="preserve"> la resolución general 2904, su modificatoria y complementarias, de la forma que se indica seguidamente:</w:t>
            </w:r>
          </w:p>
          <w:p w:rsidR="005705CB" w:rsidRPr="005705CB" w:rsidRDefault="005705CB" w:rsidP="005705CB">
            <w:pPr>
              <w:spacing w:before="80" w:after="0" w:line="240" w:lineRule="auto"/>
              <w:ind w:left="36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 xml:space="preserve">1. </w:t>
            </w:r>
            <w:proofErr w:type="spellStart"/>
            <w:r w:rsidRPr="005705CB">
              <w:rPr>
                <w:rFonts w:ascii="Verdana" w:eastAsia="Times New Roman" w:hAnsi="Verdana" w:cs="Times New Roman"/>
                <w:sz w:val="16"/>
                <w:szCs w:val="16"/>
                <w:lang w:val="es-AR" w:eastAsia="es-ES"/>
              </w:rPr>
              <w:t>Sustitúyese</w:t>
            </w:r>
            <w:proofErr w:type="spellEnd"/>
            <w:r w:rsidRPr="005705CB">
              <w:rPr>
                <w:rFonts w:ascii="Verdana" w:eastAsia="Times New Roman" w:hAnsi="Verdana" w:cs="Times New Roman"/>
                <w:sz w:val="16"/>
                <w:szCs w:val="16"/>
                <w:lang w:val="es-AR" w:eastAsia="es-ES"/>
              </w:rPr>
              <w:t xml:space="preserve"> el último párrafo del artículo 6, por el siguiente:</w:t>
            </w:r>
          </w:p>
          <w:p w:rsidR="005705CB" w:rsidRPr="005705CB" w:rsidRDefault="005705CB" w:rsidP="005705CB">
            <w:pPr>
              <w:spacing w:before="80" w:after="0" w:line="240" w:lineRule="auto"/>
              <w:ind w:left="72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“A los fines de tramitar la solicitud de autorización de emisión los responsables deberán informar además, los datos que se indican en el Anexo VII, utilizando los códigos previstos en el mismo y los que se encontrarán disponibles en el sitio web de esta Administración Federal, bajo la denominación ‘Códigos - Anexo VII - RG 2904’”.</w:t>
            </w:r>
          </w:p>
          <w:p w:rsidR="005705CB" w:rsidRPr="005705CB" w:rsidRDefault="005705CB" w:rsidP="005705CB">
            <w:pPr>
              <w:spacing w:before="80" w:after="0" w:line="240" w:lineRule="auto"/>
              <w:ind w:left="36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 xml:space="preserve">2. </w:t>
            </w:r>
            <w:proofErr w:type="spellStart"/>
            <w:r w:rsidRPr="005705CB">
              <w:rPr>
                <w:rFonts w:ascii="Verdana" w:eastAsia="Times New Roman" w:hAnsi="Verdana" w:cs="Times New Roman"/>
                <w:sz w:val="16"/>
                <w:szCs w:val="16"/>
                <w:lang w:val="es-AR" w:eastAsia="es-ES"/>
              </w:rPr>
              <w:t>Sustitúyese</w:t>
            </w:r>
            <w:proofErr w:type="spellEnd"/>
            <w:r w:rsidRPr="005705CB">
              <w:rPr>
                <w:rFonts w:ascii="Verdana" w:eastAsia="Times New Roman" w:hAnsi="Verdana" w:cs="Times New Roman"/>
                <w:sz w:val="16"/>
                <w:szCs w:val="16"/>
                <w:lang w:val="es-AR" w:eastAsia="es-ES"/>
              </w:rPr>
              <w:t xml:space="preserve"> el Anexo VII.</w:t>
            </w:r>
          </w:p>
          <w:p w:rsidR="005705CB" w:rsidRPr="005705CB" w:rsidRDefault="005705CB" w:rsidP="005705CB">
            <w:pPr>
              <w:spacing w:after="0" w:line="240" w:lineRule="auto"/>
              <w:jc w:val="both"/>
              <w:rPr>
                <w:rFonts w:ascii="Verdana" w:eastAsia="Times New Roman" w:hAnsi="Verdana" w:cs="Times New Roman"/>
                <w:sz w:val="16"/>
                <w:szCs w:val="16"/>
                <w:lang w:eastAsia="es-ES"/>
              </w:rPr>
            </w:pPr>
            <w:r w:rsidRPr="005705CB">
              <w:rPr>
                <w:rFonts w:ascii="Verdana" w:eastAsia="Times New Roman" w:hAnsi="Verdana" w:cs="Times New Roman"/>
                <w:b/>
                <w:bCs/>
                <w:sz w:val="16"/>
                <w:lang w:val="es-AR" w:eastAsia="es-ES"/>
              </w:rPr>
              <w:t xml:space="preserve">Art. 2 - </w:t>
            </w:r>
            <w:proofErr w:type="spellStart"/>
            <w:r w:rsidRPr="005705CB">
              <w:rPr>
                <w:rFonts w:ascii="Verdana" w:eastAsia="Times New Roman" w:hAnsi="Verdana" w:cs="Times New Roman"/>
                <w:sz w:val="16"/>
                <w:szCs w:val="16"/>
                <w:lang w:val="es-AR" w:eastAsia="es-ES"/>
              </w:rPr>
              <w:t>Apruébase</w:t>
            </w:r>
            <w:proofErr w:type="spellEnd"/>
            <w:r w:rsidRPr="005705CB">
              <w:rPr>
                <w:rFonts w:ascii="Verdana" w:eastAsia="Times New Roman" w:hAnsi="Verdana" w:cs="Times New Roman"/>
                <w:sz w:val="16"/>
                <w:szCs w:val="16"/>
                <w:lang w:val="es-AR" w:eastAsia="es-ES"/>
              </w:rPr>
              <w:t xml:space="preserve"> el Anexo que forma parte de la presente.</w:t>
            </w:r>
          </w:p>
          <w:p w:rsidR="005705CB" w:rsidRPr="005705CB" w:rsidRDefault="005705CB" w:rsidP="005705CB">
            <w:pPr>
              <w:spacing w:after="0" w:line="240" w:lineRule="auto"/>
              <w:jc w:val="both"/>
              <w:rPr>
                <w:rFonts w:ascii="Verdana" w:eastAsia="Times New Roman" w:hAnsi="Verdana" w:cs="Times New Roman"/>
                <w:sz w:val="16"/>
                <w:szCs w:val="16"/>
                <w:lang w:eastAsia="es-ES"/>
              </w:rPr>
            </w:pPr>
            <w:r w:rsidRPr="005705CB">
              <w:rPr>
                <w:rFonts w:ascii="Verdana" w:eastAsia="Times New Roman" w:hAnsi="Verdana" w:cs="Times New Roman"/>
                <w:b/>
                <w:bCs/>
                <w:sz w:val="16"/>
                <w:lang w:val="es-AR" w:eastAsia="es-ES"/>
              </w:rPr>
              <w:t xml:space="preserve">Art. 3 - </w:t>
            </w:r>
            <w:r w:rsidRPr="005705CB">
              <w:rPr>
                <w:rFonts w:ascii="Verdana" w:eastAsia="Times New Roman" w:hAnsi="Verdana" w:cs="Times New Roman"/>
                <w:sz w:val="16"/>
                <w:szCs w:val="16"/>
                <w:lang w:val="es-AR" w:eastAsia="es-ES"/>
              </w:rPr>
              <w:t>Las disposiciones de esta resolución general entrarán en vigencia a partir del día de su publicación en el Boletín Oficial, inclusive.</w:t>
            </w:r>
          </w:p>
          <w:p w:rsidR="005705CB" w:rsidRPr="005705CB" w:rsidRDefault="005705CB" w:rsidP="005705CB">
            <w:pPr>
              <w:spacing w:after="0" w:line="240" w:lineRule="auto"/>
              <w:jc w:val="both"/>
              <w:rPr>
                <w:rFonts w:ascii="Verdana" w:eastAsia="Times New Roman" w:hAnsi="Verdana" w:cs="Times New Roman"/>
                <w:sz w:val="16"/>
                <w:szCs w:val="16"/>
                <w:lang w:eastAsia="es-ES"/>
              </w:rPr>
            </w:pPr>
            <w:r w:rsidRPr="005705CB">
              <w:rPr>
                <w:rFonts w:ascii="Verdana" w:eastAsia="Times New Roman" w:hAnsi="Verdana" w:cs="Times New Roman"/>
                <w:b/>
                <w:bCs/>
                <w:sz w:val="16"/>
                <w:lang w:val="es-AR" w:eastAsia="es-ES"/>
              </w:rPr>
              <w:t>Art. 4</w:t>
            </w:r>
            <w:r w:rsidRPr="005705CB">
              <w:rPr>
                <w:rFonts w:ascii="Verdana" w:eastAsia="Times New Roman" w:hAnsi="Verdana" w:cs="Times New Roman"/>
                <w:sz w:val="16"/>
                <w:szCs w:val="16"/>
                <w:lang w:val="es-AR" w:eastAsia="es-ES"/>
              </w:rPr>
              <w:t xml:space="preserve"> - De forma.</w:t>
            </w:r>
          </w:p>
          <w:p w:rsidR="005705CB" w:rsidRPr="005705CB" w:rsidRDefault="005705CB" w:rsidP="005705CB">
            <w:pPr>
              <w:spacing w:after="100" w:line="240" w:lineRule="auto"/>
              <w:jc w:val="center"/>
              <w:rPr>
                <w:rFonts w:ascii="Verdana" w:eastAsia="Times New Roman" w:hAnsi="Verdana" w:cs="Times New Roman"/>
                <w:sz w:val="16"/>
                <w:szCs w:val="16"/>
                <w:lang w:eastAsia="es-ES"/>
              </w:rPr>
            </w:pPr>
            <w:r w:rsidRPr="005705CB">
              <w:rPr>
                <w:rFonts w:ascii="Verdana" w:eastAsia="Times New Roman" w:hAnsi="Verdana" w:cs="Times New Roman"/>
                <w:b/>
                <w:bCs/>
                <w:sz w:val="16"/>
                <w:lang w:val="es-AR" w:eastAsia="es-ES"/>
              </w:rPr>
              <w:t>Anexo al artículo 1</w:t>
            </w:r>
          </w:p>
          <w:p w:rsidR="005705CB" w:rsidRPr="005705CB" w:rsidRDefault="005705CB" w:rsidP="005705CB">
            <w:pPr>
              <w:spacing w:before="200" w:after="100" w:line="240" w:lineRule="auto"/>
              <w:jc w:val="center"/>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Anexo VII - Resolución general 2904, su modificatoria y complementarias</w:t>
            </w:r>
          </w:p>
          <w:p w:rsidR="005705CB" w:rsidRPr="005705CB" w:rsidRDefault="005705CB" w:rsidP="005705CB">
            <w:pPr>
              <w:spacing w:before="200" w:after="100" w:line="240" w:lineRule="auto"/>
              <w:jc w:val="center"/>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Artículo 6</w:t>
            </w:r>
          </w:p>
          <w:p w:rsidR="005705CB" w:rsidRPr="005705CB" w:rsidRDefault="005705CB" w:rsidP="005705CB">
            <w:pPr>
              <w:spacing w:before="80" w:after="0" w:line="240" w:lineRule="auto"/>
              <w:ind w:left="36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A - Datos a suministrar en la solicitud de autorización de emisión de comprobantes electrónicos originales</w:t>
            </w:r>
          </w:p>
          <w:p w:rsidR="005705CB" w:rsidRPr="005705CB" w:rsidRDefault="005705CB" w:rsidP="005705CB">
            <w:pPr>
              <w:spacing w:before="80" w:after="0" w:line="240" w:lineRule="auto"/>
              <w:ind w:left="72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1. Codificación del producto. Los códigos a consignar corresponderán a la estructura provista por la Asociación Argentina de codificación de Productos Comerciales -código-, denominados códigos GTIN 8, GTIN 12 y GTIN 13 así como los que los modifiquen y/o complementen en el futuro, correspondientes a la unidad de consumo minorista o presentación al consumidor final. El precio unitario asociado a los códigos precitados siempre deberá ser mayor de cero (0).</w:t>
            </w:r>
          </w:p>
          <w:p w:rsidR="005705CB" w:rsidRPr="005705CB" w:rsidRDefault="005705CB" w:rsidP="005705CB">
            <w:pPr>
              <w:spacing w:before="80" w:after="0" w:line="240" w:lineRule="auto"/>
              <w:ind w:left="72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2. Unidad de referencia. Cuando la comercialización de los productos se realice en presentaciones distintas a la unidad de consumo minorista o presentación al consumidor final, a la que hace referencia la codificación del producto mencionado en el punto anterior (</w:t>
            </w:r>
            <w:proofErr w:type="spellStart"/>
            <w:r w:rsidRPr="005705CB">
              <w:rPr>
                <w:rFonts w:ascii="Verdana" w:eastAsia="Times New Roman" w:hAnsi="Verdana" w:cs="Times New Roman"/>
                <w:sz w:val="16"/>
                <w:szCs w:val="16"/>
                <w:lang w:val="es-AR" w:eastAsia="es-ES"/>
              </w:rPr>
              <w:t>vgr</w:t>
            </w:r>
            <w:proofErr w:type="spellEnd"/>
            <w:r w:rsidRPr="005705CB">
              <w:rPr>
                <w:rFonts w:ascii="Verdana" w:eastAsia="Times New Roman" w:hAnsi="Verdana" w:cs="Times New Roman"/>
                <w:sz w:val="16"/>
                <w:szCs w:val="16"/>
                <w:lang w:val="es-AR" w:eastAsia="es-ES"/>
              </w:rPr>
              <w:t>. caja, bulto, “pack”, etc.), en el campo Unidad de Referencia se deberá indicar la cantidad de unidades de consumo minorista contenidas en la presentación que se comercializa. En caso que el producto ya se encuentre individualizado en su unidad de consumo minorista, tanto en el código como en el precio y unidad de medida, la unidad de referencia deberá ser igual a uno (1).</w:t>
            </w:r>
          </w:p>
          <w:p w:rsidR="005705CB" w:rsidRPr="005705CB" w:rsidRDefault="005705CB" w:rsidP="005705CB">
            <w:pPr>
              <w:spacing w:before="80" w:after="0" w:line="240" w:lineRule="auto"/>
              <w:ind w:left="72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3. Códigos genéricos. Cuando corresponda emitir comprobantes incluyendo conceptos distintos a los productos que conforman la operatoria comercial principal del contribuyente, deberán utilizarse los códigos de operación consignados en el apartado B del presente Anexo. En el caso de entrega de material promocional y/o muestras, se deberá informar el código genérico correspondiente a “Ventas varias” previsto en el citado apartado.</w:t>
            </w:r>
          </w:p>
          <w:p w:rsidR="005705CB" w:rsidRPr="005705CB" w:rsidRDefault="005705CB" w:rsidP="005705CB">
            <w:pPr>
              <w:spacing w:before="80" w:after="0" w:line="240" w:lineRule="auto"/>
              <w:ind w:left="72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 xml:space="preserve">4. Códigos específicos. Cuando esta Administración Federal incorpore a contribuyentes -Conf. </w:t>
            </w:r>
            <w:proofErr w:type="gramStart"/>
            <w:r w:rsidRPr="005705CB">
              <w:rPr>
                <w:rFonts w:ascii="Verdana" w:eastAsia="Times New Roman" w:hAnsi="Verdana" w:cs="Times New Roman"/>
                <w:sz w:val="16"/>
                <w:szCs w:val="16"/>
                <w:lang w:val="es-AR" w:eastAsia="es-ES"/>
              </w:rPr>
              <w:t>el</w:t>
            </w:r>
            <w:proofErr w:type="gramEnd"/>
            <w:r w:rsidRPr="005705CB">
              <w:rPr>
                <w:rFonts w:ascii="Verdana" w:eastAsia="Times New Roman" w:hAnsi="Verdana" w:cs="Times New Roman"/>
                <w:sz w:val="16"/>
                <w:szCs w:val="16"/>
                <w:lang w:val="es-AR" w:eastAsia="es-ES"/>
              </w:rPr>
              <w:t xml:space="preserve"> procedimiento previsto en el art. 2 de la presente- cuya actividad amerite la asignación de códigos específicos para reflejar la comercialización y/o prestación de servicios, deberán utilizarse los códigos que se indican en el apartado C.</w:t>
            </w:r>
          </w:p>
          <w:p w:rsidR="005705CB" w:rsidRPr="005705CB" w:rsidRDefault="005705CB" w:rsidP="005705CB">
            <w:pPr>
              <w:spacing w:before="80" w:after="0" w:line="240" w:lineRule="auto"/>
              <w:ind w:left="36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B - Códigos genéricos</w:t>
            </w:r>
          </w:p>
          <w:tbl>
            <w:tblPr>
              <w:tblW w:w="0" w:type="auto"/>
              <w:jc w:val="center"/>
              <w:tblCellMar>
                <w:left w:w="0" w:type="dxa"/>
                <w:right w:w="0" w:type="dxa"/>
              </w:tblCellMar>
              <w:tblLook w:val="04A0"/>
            </w:tblPr>
            <w:tblGrid>
              <w:gridCol w:w="1456"/>
              <w:gridCol w:w="3274"/>
            </w:tblGrid>
            <w:tr w:rsidR="005705CB" w:rsidRPr="005705CB">
              <w:trPr>
                <w:jc w:val="center"/>
              </w:trPr>
              <w:tc>
                <w:tcPr>
                  <w:tcW w:w="0" w:type="auto"/>
                  <w:tcBorders>
                    <w:top w:val="single" w:sz="12" w:space="0" w:color="auto"/>
                    <w:left w:val="single" w:sz="12" w:space="0" w:color="auto"/>
                    <w:bottom w:val="single" w:sz="8" w:space="0" w:color="auto"/>
                    <w:right w:val="single" w:sz="8" w:space="0" w:color="auto"/>
                  </w:tcBorders>
                  <w:shd w:val="clear" w:color="auto" w:fill="808080"/>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b/>
                      <w:bCs/>
                      <w:sz w:val="16"/>
                      <w:szCs w:val="16"/>
                      <w:lang w:val="es-AR" w:eastAsia="es-ES"/>
                    </w:rPr>
                    <w:t>CÓDIGO</w:t>
                  </w:r>
                </w:p>
              </w:tc>
              <w:tc>
                <w:tcPr>
                  <w:tcW w:w="0" w:type="auto"/>
                  <w:tcBorders>
                    <w:top w:val="single" w:sz="12" w:space="0" w:color="auto"/>
                    <w:left w:val="nil"/>
                    <w:bottom w:val="single" w:sz="8" w:space="0" w:color="auto"/>
                    <w:right w:val="single" w:sz="12" w:space="0" w:color="auto"/>
                  </w:tcBorders>
                  <w:shd w:val="clear" w:color="auto" w:fill="808080"/>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b/>
                      <w:bCs/>
                      <w:sz w:val="16"/>
                      <w:szCs w:val="16"/>
                      <w:lang w:val="es-AR" w:eastAsia="es-ES"/>
                    </w:rPr>
                    <w:t>DESCRIPCIÓN</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7790001001030</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Descuentos y bonificaciones comerciales</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7790001001047</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Conceptos financieros</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7790001001054</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Ventas varias</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lastRenderedPageBreak/>
                    <w:t>7790001001061</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Bienes de uso</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7790001001078</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Servicios prestados</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7790001001085</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Fletes</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7790001001092</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Alquileres</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7790001001115</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Depósito y servicios de logística</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7790001001122</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Repuestos y accesorios</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7790001001139</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Ajustes impositivos</w:t>
                  </w:r>
                </w:p>
              </w:tc>
            </w:tr>
            <w:tr w:rsidR="005705CB" w:rsidRPr="005705CB">
              <w:trPr>
                <w:jc w:val="center"/>
              </w:trPr>
              <w:tc>
                <w:tcPr>
                  <w:tcW w:w="0" w:type="auto"/>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7790001001146</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Actividades comerciales no codificadas</w:t>
                  </w:r>
                </w:p>
              </w:tc>
            </w:tr>
            <w:tr w:rsidR="005705CB" w:rsidRPr="005705CB">
              <w:trPr>
                <w:jc w:val="center"/>
              </w:trPr>
              <w:tc>
                <w:tcPr>
                  <w:tcW w:w="0" w:type="auto"/>
                  <w:tcBorders>
                    <w:top w:val="nil"/>
                    <w:left w:val="single" w:sz="12" w:space="0" w:color="auto"/>
                    <w:bottom w:val="single" w:sz="12" w:space="0" w:color="auto"/>
                    <w:right w:val="single" w:sz="8"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7790001001153</w:t>
                  </w:r>
                </w:p>
              </w:tc>
              <w:tc>
                <w:tcPr>
                  <w:tcW w:w="0" w:type="auto"/>
                  <w:tcBorders>
                    <w:top w:val="nil"/>
                    <w:left w:val="nil"/>
                    <w:bottom w:val="single" w:sz="12" w:space="0" w:color="auto"/>
                    <w:right w:val="single" w:sz="12" w:space="0" w:color="auto"/>
                  </w:tcBorders>
                  <w:tcMar>
                    <w:top w:w="0" w:type="dxa"/>
                    <w:left w:w="108" w:type="dxa"/>
                    <w:bottom w:w="0" w:type="dxa"/>
                    <w:right w:w="108" w:type="dxa"/>
                  </w:tcMar>
                  <w:vAlign w:val="center"/>
                  <w:hideMark/>
                </w:tcPr>
                <w:p w:rsidR="005705CB" w:rsidRPr="005705CB" w:rsidRDefault="005705CB" w:rsidP="005705CB">
                  <w:pPr>
                    <w:spacing w:after="0" w:line="240" w:lineRule="auto"/>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Venta de material de rezago</w:t>
                  </w:r>
                </w:p>
              </w:tc>
            </w:tr>
          </w:tbl>
          <w:p w:rsidR="005705CB" w:rsidRPr="005705CB" w:rsidRDefault="005705CB" w:rsidP="005705CB">
            <w:pPr>
              <w:spacing w:before="80" w:after="0" w:line="240" w:lineRule="auto"/>
              <w:ind w:left="360"/>
              <w:jc w:val="both"/>
              <w:rPr>
                <w:rFonts w:ascii="Verdana" w:eastAsia="Times New Roman" w:hAnsi="Verdana" w:cs="Times New Roman"/>
                <w:sz w:val="16"/>
                <w:szCs w:val="16"/>
                <w:lang w:eastAsia="es-ES"/>
              </w:rPr>
            </w:pPr>
            <w:r w:rsidRPr="005705CB">
              <w:rPr>
                <w:rFonts w:ascii="Verdana" w:eastAsia="Times New Roman" w:hAnsi="Verdana" w:cs="Times New Roman"/>
                <w:sz w:val="16"/>
                <w:szCs w:val="16"/>
                <w:lang w:val="es-AR" w:eastAsia="es-ES"/>
              </w:rPr>
              <w:t>C - Códigos específicos</w:t>
            </w:r>
          </w:p>
          <w:tbl>
            <w:tblPr>
              <w:tblW w:w="0" w:type="auto"/>
              <w:jc w:val="center"/>
              <w:tblCellMar>
                <w:left w:w="0" w:type="dxa"/>
                <w:right w:w="0" w:type="dxa"/>
              </w:tblCellMar>
              <w:tblLook w:val="04A0"/>
            </w:tblPr>
            <w:tblGrid>
              <w:gridCol w:w="1396"/>
              <w:gridCol w:w="4589"/>
            </w:tblGrid>
            <w:tr w:rsidR="005705CB" w:rsidRPr="005705CB">
              <w:trPr>
                <w:trHeight w:val="20"/>
                <w:jc w:val="center"/>
              </w:trPr>
              <w:tc>
                <w:tcPr>
                  <w:tcW w:w="1396" w:type="dxa"/>
                  <w:tcBorders>
                    <w:top w:val="single" w:sz="12" w:space="0" w:color="auto"/>
                    <w:left w:val="single" w:sz="12" w:space="0" w:color="auto"/>
                    <w:bottom w:val="single" w:sz="8" w:space="0" w:color="auto"/>
                    <w:right w:val="single" w:sz="8" w:space="0" w:color="auto"/>
                  </w:tcBorders>
                  <w:shd w:val="clear" w:color="auto" w:fill="808080"/>
                  <w:vAlign w:val="center"/>
                  <w:hideMark/>
                </w:tcPr>
                <w:p w:rsidR="005705CB" w:rsidRPr="005705CB" w:rsidRDefault="005705CB" w:rsidP="005705CB">
                  <w:pPr>
                    <w:spacing w:after="0" w:line="240" w:lineRule="auto"/>
                    <w:rPr>
                      <w:rFonts w:ascii="Arial" w:eastAsia="Times New Roman" w:hAnsi="Arial" w:cs="Arial"/>
                      <w:sz w:val="2"/>
                      <w:szCs w:val="17"/>
                      <w:lang w:eastAsia="es-ES"/>
                    </w:rPr>
                  </w:pPr>
                </w:p>
              </w:tc>
              <w:tc>
                <w:tcPr>
                  <w:tcW w:w="4589" w:type="dxa"/>
                  <w:tcBorders>
                    <w:top w:val="single" w:sz="12" w:space="0" w:color="auto"/>
                    <w:left w:val="nil"/>
                    <w:bottom w:val="single" w:sz="8" w:space="0" w:color="auto"/>
                    <w:right w:val="single" w:sz="12" w:space="0" w:color="auto"/>
                  </w:tcBorders>
                  <w:shd w:val="clear" w:color="auto" w:fill="808080"/>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b/>
                      <w:bCs/>
                      <w:sz w:val="16"/>
                      <w:szCs w:val="16"/>
                      <w:lang w:val="es-AR" w:eastAsia="es-ES"/>
                    </w:rPr>
                    <w:t>SECTOR: TERMINALES PORTUARIAS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shd w:val="clear" w:color="auto" w:fill="808080"/>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b/>
                      <w:bCs/>
                      <w:sz w:val="16"/>
                      <w:szCs w:val="16"/>
                      <w:lang w:val="es-AR" w:eastAsia="es-ES"/>
                    </w:rPr>
                    <w:t>CÓDIGO</w:t>
                  </w:r>
                </w:p>
              </w:tc>
              <w:tc>
                <w:tcPr>
                  <w:tcW w:w="4589" w:type="dxa"/>
                  <w:tcBorders>
                    <w:top w:val="nil"/>
                    <w:left w:val="nil"/>
                    <w:bottom w:val="single" w:sz="8" w:space="0" w:color="auto"/>
                    <w:right w:val="single" w:sz="12" w:space="0" w:color="auto"/>
                  </w:tcBorders>
                  <w:shd w:val="clear" w:color="auto" w:fill="808080"/>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b/>
                      <w:bCs/>
                      <w:sz w:val="16"/>
                      <w:szCs w:val="16"/>
                      <w:lang w:val="es-AR" w:eastAsia="es-ES"/>
                    </w:rPr>
                    <w:t>DESCRIPCIÓN</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7790001001221</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Administración - otros cargos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7790001001238</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Administración de recepción exportaciones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7790001001245</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Almacenaje a granel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7790001001252</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Almacenaje de automotores y maquinaria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7790001001269</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Almacenaje de contenedores con carga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7790001001276</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Almacenaje de contenedores vacíos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7790001001283</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Almacenaje de mercadería general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7790001001290</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Amarre de buque</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7790001001306</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Calidad de granos - descarga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7790001001313</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Calidad de granos - embarque</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7790001001320</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Cambio de transporte y transbordo</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7790001001337</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Carga - otros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7790001001344</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Carga de automotores y maquinaria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7790001001351</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Carga de contenedores no vacíos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7790001001368</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Carga de contenedores vacíos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7790001001375</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Carga de granel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7790001001382</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Carga de mercadería general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7790001001399</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Cargos/créditos armadores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7790001001405</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Cargos adicionales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7790001001412</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Cargos aduaneros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7790001001429</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Cargos extraordinarios por demora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7790001001436</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Clasificación</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7790001001443</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Colocación de precintos y etiquetas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7790001001450</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Combustible</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7790001001467</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Conexión y desconexión contenedores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7790001001474</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 xml:space="preserve">Consolidado y </w:t>
                  </w:r>
                  <w:proofErr w:type="spellStart"/>
                  <w:r w:rsidRPr="005705CB">
                    <w:rPr>
                      <w:rFonts w:ascii="Verdana" w:eastAsia="Times New Roman" w:hAnsi="Verdana" w:cs="Times New Roman"/>
                      <w:sz w:val="15"/>
                      <w:szCs w:val="15"/>
                      <w:lang w:val="es-AR" w:eastAsia="es-ES"/>
                    </w:rPr>
                    <w:t>desconsolidado</w:t>
                  </w:r>
                  <w:proofErr w:type="spellEnd"/>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7790001001481</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Control de carga y descarga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7790001001498</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Custodia y vigilancia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7790001001504</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Descarga de automotores y maquinaria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7790001001511</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Descarga de contenedores no vacíos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7790001001528</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Descarga de contenedores vacíos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7790001001535</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Descarga de granel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7790001001542</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Descarga de mercadería general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7790001001559</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Despacho a otra terminal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7790001001566</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Disposición de contenedores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7790001001573</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Destinación a disposición de residuos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7790001001580</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Entrega de importación</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7790001001597</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Fumigación</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7790001001603</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Habilitaciones (horario inhábil)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7790001001610</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Limpieza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7790001001627</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 xml:space="preserve">Mermas y </w:t>
                  </w:r>
                  <w:proofErr w:type="spellStart"/>
                  <w:r w:rsidRPr="005705CB">
                    <w:rPr>
                      <w:rFonts w:ascii="Verdana" w:eastAsia="Times New Roman" w:hAnsi="Verdana" w:cs="Times New Roman"/>
                      <w:sz w:val="15"/>
                      <w:szCs w:val="15"/>
                      <w:lang w:val="es-AR" w:eastAsia="es-ES"/>
                    </w:rPr>
                    <w:t>dif</w:t>
                  </w:r>
                  <w:proofErr w:type="spellEnd"/>
                  <w:r w:rsidRPr="005705CB">
                    <w:rPr>
                      <w:rFonts w:ascii="Verdana" w:eastAsia="Times New Roman" w:hAnsi="Verdana" w:cs="Times New Roman"/>
                      <w:sz w:val="15"/>
                      <w:szCs w:val="15"/>
                      <w:lang w:val="es-AR" w:eastAsia="es-ES"/>
                    </w:rPr>
                    <w:t>. de peso</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7790001001634</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Movimientos de carga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7790001001641</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proofErr w:type="spellStart"/>
                  <w:r w:rsidRPr="005705CB">
                    <w:rPr>
                      <w:rFonts w:ascii="Verdana" w:eastAsia="Times New Roman" w:hAnsi="Verdana" w:cs="Times New Roman"/>
                      <w:sz w:val="15"/>
                      <w:szCs w:val="15"/>
                      <w:lang w:val="es-AR" w:eastAsia="es-ES"/>
                    </w:rPr>
                    <w:t>Palletizado</w:t>
                  </w:r>
                  <w:proofErr w:type="spellEnd"/>
                  <w:r w:rsidRPr="005705CB">
                    <w:rPr>
                      <w:rFonts w:ascii="Verdana" w:eastAsia="Times New Roman" w:hAnsi="Verdana" w:cs="Times New Roman"/>
                      <w:sz w:val="15"/>
                      <w:szCs w:val="15"/>
                      <w:lang w:val="es-AR" w:eastAsia="es-ES"/>
                    </w:rPr>
                    <w:t xml:space="preserve"> y acondicionamiento</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7790001001658</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Pesaje</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7790001001665</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Protocolo de seguridad PBIP</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7790001001672</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Provisión de sogas, energía eléctrica y otros suministros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7790001001689</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Recargos por desistimiento y otros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7790001001696</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Recepción anticipada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7790001001702</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Recepción y almacenaje de líquidos y mercadería a granel</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7790001001719</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Recupero de gastos - electricidad</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7790001001726</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Recupero de gastos - otros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7790001001733</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Recupero de gastos - seguros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7790001001740</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Recupero de gastos - sellados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7790001001757</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Reparaciones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7790001001764</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Retiro y devolución de contenedores vacíos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7790001001771</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Secado de granos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lastRenderedPageBreak/>
                    <w:t>7790001001788</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Tasas y servicios a la carga</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7790001001795</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Terminal de pasajeros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7790001001801</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proofErr w:type="spellStart"/>
                  <w:r w:rsidRPr="005705CB">
                    <w:rPr>
                      <w:rFonts w:ascii="Verdana" w:eastAsia="Times New Roman" w:hAnsi="Verdana" w:cs="Times New Roman"/>
                      <w:sz w:val="15"/>
                      <w:szCs w:val="15"/>
                      <w:lang w:val="es-AR" w:eastAsia="es-ES"/>
                    </w:rPr>
                    <w:t>Trasvasamiento</w:t>
                  </w:r>
                  <w:proofErr w:type="spellEnd"/>
                  <w:r w:rsidRPr="005705CB">
                    <w:rPr>
                      <w:rFonts w:ascii="Verdana" w:eastAsia="Times New Roman" w:hAnsi="Verdana" w:cs="Times New Roman"/>
                      <w:sz w:val="15"/>
                      <w:szCs w:val="15"/>
                      <w:lang w:val="es-AR" w:eastAsia="es-ES"/>
                    </w:rPr>
                    <w:t xml:space="preserve"> a tambores y otros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7790001001818</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Trincado y destrincado</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7790001001825</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Uso de instalaciones</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7790001001832</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Uso de muelle</w:t>
                  </w:r>
                </w:p>
              </w:tc>
            </w:tr>
            <w:tr w:rsidR="005705CB" w:rsidRPr="005705CB">
              <w:trPr>
                <w:trHeight w:val="20"/>
                <w:jc w:val="center"/>
              </w:trPr>
              <w:tc>
                <w:tcPr>
                  <w:tcW w:w="1396" w:type="dxa"/>
                  <w:tcBorders>
                    <w:top w:val="nil"/>
                    <w:left w:val="single" w:sz="12" w:space="0" w:color="auto"/>
                    <w:bottom w:val="single" w:sz="8"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7790001001849</w:t>
                  </w:r>
                </w:p>
              </w:tc>
              <w:tc>
                <w:tcPr>
                  <w:tcW w:w="4589" w:type="dxa"/>
                  <w:tcBorders>
                    <w:top w:val="nil"/>
                    <w:left w:val="nil"/>
                    <w:bottom w:val="single" w:sz="8"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Venta de granos</w:t>
                  </w:r>
                </w:p>
              </w:tc>
            </w:tr>
            <w:tr w:rsidR="005705CB" w:rsidRPr="005705CB">
              <w:trPr>
                <w:trHeight w:val="20"/>
                <w:jc w:val="center"/>
              </w:trPr>
              <w:tc>
                <w:tcPr>
                  <w:tcW w:w="1396" w:type="dxa"/>
                  <w:tcBorders>
                    <w:top w:val="nil"/>
                    <w:left w:val="single" w:sz="12" w:space="0" w:color="auto"/>
                    <w:bottom w:val="single" w:sz="12" w:space="0" w:color="auto"/>
                    <w:right w:val="single" w:sz="8" w:space="0" w:color="auto"/>
                  </w:tcBorders>
                  <w:vAlign w:val="center"/>
                  <w:hideMark/>
                </w:tcPr>
                <w:p w:rsidR="005705CB" w:rsidRPr="005705CB" w:rsidRDefault="005705CB" w:rsidP="005705CB">
                  <w:pPr>
                    <w:spacing w:after="0" w:line="20" w:lineRule="atLeast"/>
                    <w:jc w:val="center"/>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7790001001856</w:t>
                  </w:r>
                </w:p>
              </w:tc>
              <w:tc>
                <w:tcPr>
                  <w:tcW w:w="4589" w:type="dxa"/>
                  <w:tcBorders>
                    <w:top w:val="nil"/>
                    <w:left w:val="nil"/>
                    <w:bottom w:val="single" w:sz="12" w:space="0" w:color="auto"/>
                    <w:right w:val="single" w:sz="12" w:space="0" w:color="auto"/>
                  </w:tcBorders>
                  <w:vAlign w:val="center"/>
                  <w:hideMark/>
                </w:tcPr>
                <w:p w:rsidR="005705CB" w:rsidRPr="005705CB" w:rsidRDefault="005705CB" w:rsidP="005705CB">
                  <w:pPr>
                    <w:spacing w:after="0" w:line="20" w:lineRule="atLeast"/>
                    <w:rPr>
                      <w:rFonts w:ascii="Verdana" w:eastAsia="Times New Roman" w:hAnsi="Verdana" w:cs="Times New Roman"/>
                      <w:sz w:val="15"/>
                      <w:szCs w:val="15"/>
                      <w:lang w:eastAsia="es-ES"/>
                    </w:rPr>
                  </w:pPr>
                  <w:r w:rsidRPr="005705CB">
                    <w:rPr>
                      <w:rFonts w:ascii="Verdana" w:eastAsia="Times New Roman" w:hAnsi="Verdana" w:cs="Times New Roman"/>
                      <w:sz w:val="15"/>
                      <w:szCs w:val="15"/>
                      <w:lang w:val="es-AR" w:eastAsia="es-ES"/>
                    </w:rPr>
                    <w:t>Anticipos y señas</w:t>
                  </w:r>
                </w:p>
              </w:tc>
            </w:tr>
          </w:tbl>
          <w:p w:rsidR="005705CB" w:rsidRPr="005705CB" w:rsidRDefault="005705CB" w:rsidP="005705CB">
            <w:pPr>
              <w:spacing w:after="0" w:line="240" w:lineRule="auto"/>
              <w:rPr>
                <w:rFonts w:ascii="Arial" w:eastAsia="Times New Roman" w:hAnsi="Arial" w:cs="Arial"/>
                <w:sz w:val="17"/>
                <w:szCs w:val="17"/>
                <w:lang w:eastAsia="es-ES"/>
              </w:rPr>
            </w:pPr>
          </w:p>
        </w:tc>
      </w:tr>
    </w:tbl>
    <w:p w:rsidR="005705CB" w:rsidRPr="005705CB" w:rsidRDefault="005705CB" w:rsidP="005705CB">
      <w:pPr>
        <w:spacing w:after="0" w:line="240" w:lineRule="auto"/>
        <w:rPr>
          <w:rFonts w:ascii="Arial" w:eastAsia="Times New Roman" w:hAnsi="Arial" w:cs="Arial"/>
          <w:vanish/>
          <w:sz w:val="17"/>
          <w:szCs w:val="17"/>
          <w:lang w:eastAsia="es-ES"/>
        </w:rPr>
      </w:pPr>
    </w:p>
    <w:tbl>
      <w:tblPr>
        <w:tblW w:w="5000" w:type="pct"/>
        <w:tblCellSpacing w:w="0" w:type="dxa"/>
        <w:tblCellMar>
          <w:left w:w="0" w:type="dxa"/>
          <w:right w:w="0" w:type="dxa"/>
        </w:tblCellMar>
        <w:tblLook w:val="04A0"/>
      </w:tblPr>
      <w:tblGrid>
        <w:gridCol w:w="750"/>
        <w:gridCol w:w="7754"/>
      </w:tblGrid>
      <w:tr w:rsidR="005705CB" w:rsidRPr="005705CB" w:rsidTr="005705CB">
        <w:trPr>
          <w:tblCellSpacing w:w="0" w:type="dxa"/>
        </w:trPr>
        <w:tc>
          <w:tcPr>
            <w:tcW w:w="750" w:type="dxa"/>
            <w:vAlign w:val="center"/>
            <w:hideMark/>
          </w:tcPr>
          <w:p w:rsidR="005705CB" w:rsidRPr="005705CB" w:rsidRDefault="005705CB" w:rsidP="005705CB">
            <w:pPr>
              <w:spacing w:after="0" w:line="240" w:lineRule="auto"/>
              <w:jc w:val="center"/>
              <w:rPr>
                <w:rFonts w:ascii="Arial" w:eastAsia="Times New Roman" w:hAnsi="Arial" w:cs="Arial"/>
                <w:sz w:val="17"/>
                <w:szCs w:val="17"/>
                <w:lang w:eastAsia="es-ES"/>
              </w:rPr>
            </w:pPr>
            <w:r>
              <w:rPr>
                <w:rFonts w:ascii="Arial" w:eastAsia="Times New Roman" w:hAnsi="Arial" w:cs="Arial"/>
                <w:noProof/>
                <w:sz w:val="17"/>
                <w:szCs w:val="17"/>
                <w:lang w:eastAsia="es-ES"/>
              </w:rPr>
              <w:drawing>
                <wp:inline distT="0" distB="0" distL="0" distR="0">
                  <wp:extent cx="304800" cy="276225"/>
                  <wp:effectExtent l="19050" t="0" r="0" b="0"/>
                  <wp:docPr id="4" name="Imagen 4" descr="http://eol1.errepar.com/eol/Novedades/img/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ol1.errepar.com/eol/Novedades/img/logo_footer.png"/>
                          <pic:cNvPicPr>
                            <a:picLocks noChangeAspect="1" noChangeArrowheads="1"/>
                          </pic:cNvPicPr>
                        </pic:nvPicPr>
                        <pic:blipFill>
                          <a:blip r:embed="rId7"/>
                          <a:srcRect/>
                          <a:stretch>
                            <a:fillRect/>
                          </a:stretch>
                        </pic:blipFill>
                        <pic:spPr bwMode="auto">
                          <a:xfrm>
                            <a:off x="0" y="0"/>
                            <a:ext cx="304800" cy="276225"/>
                          </a:xfrm>
                          <a:prstGeom prst="rect">
                            <a:avLst/>
                          </a:prstGeom>
                          <a:noFill/>
                          <a:ln w="9525">
                            <a:noFill/>
                            <a:miter lim="800000"/>
                            <a:headEnd/>
                            <a:tailEnd/>
                          </a:ln>
                        </pic:spPr>
                      </pic:pic>
                    </a:graphicData>
                  </a:graphic>
                </wp:inline>
              </w:drawing>
            </w:r>
          </w:p>
        </w:tc>
        <w:tc>
          <w:tcPr>
            <w:tcW w:w="0" w:type="auto"/>
            <w:vAlign w:val="center"/>
            <w:hideMark/>
          </w:tcPr>
          <w:p w:rsidR="005705CB" w:rsidRPr="005705CB" w:rsidRDefault="005705CB" w:rsidP="005705CB">
            <w:pPr>
              <w:spacing w:after="0" w:line="240" w:lineRule="auto"/>
              <w:rPr>
                <w:rFonts w:ascii="Arial" w:eastAsia="Times New Roman" w:hAnsi="Arial" w:cs="Arial"/>
                <w:sz w:val="17"/>
                <w:szCs w:val="17"/>
                <w:lang w:eastAsia="es-ES"/>
              </w:rPr>
            </w:pPr>
            <w:proofErr w:type="spellStart"/>
            <w:r w:rsidRPr="005705CB">
              <w:rPr>
                <w:rFonts w:ascii="Tahoma" w:eastAsia="Times New Roman" w:hAnsi="Tahoma" w:cs="Tahoma"/>
                <w:b/>
                <w:bCs/>
                <w:sz w:val="20"/>
                <w:szCs w:val="20"/>
                <w:lang w:eastAsia="es-ES"/>
              </w:rPr>
              <w:t>Errepar</w:t>
            </w:r>
            <w:proofErr w:type="spellEnd"/>
            <w:r w:rsidRPr="005705CB">
              <w:rPr>
                <w:rFonts w:ascii="Tahoma" w:eastAsia="Times New Roman" w:hAnsi="Tahoma" w:cs="Tahoma"/>
                <w:b/>
                <w:bCs/>
                <w:sz w:val="20"/>
                <w:szCs w:val="20"/>
                <w:lang w:eastAsia="es-ES"/>
              </w:rPr>
              <w:t xml:space="preserve"> Online</w:t>
            </w:r>
            <w:r w:rsidRPr="005705CB">
              <w:rPr>
                <w:rFonts w:ascii="Tahoma" w:eastAsia="Times New Roman" w:hAnsi="Tahoma" w:cs="Tahoma"/>
                <w:b/>
                <w:bCs/>
                <w:sz w:val="20"/>
                <w:szCs w:val="20"/>
                <w:lang w:eastAsia="es-ES"/>
              </w:rPr>
              <w:br/>
            </w:r>
            <w:r w:rsidRPr="005705CB">
              <w:rPr>
                <w:rFonts w:ascii="Tahoma" w:eastAsia="Times New Roman" w:hAnsi="Tahoma" w:cs="Tahoma"/>
                <w:sz w:val="20"/>
                <w:szCs w:val="20"/>
                <w:lang w:eastAsia="es-ES"/>
              </w:rPr>
              <w:t xml:space="preserve">Visítenos en </w:t>
            </w:r>
            <w:hyperlink r:id="rId8" w:history="1">
              <w:r w:rsidRPr="005705CB">
                <w:rPr>
                  <w:rFonts w:ascii="Tahoma" w:eastAsia="Times New Roman" w:hAnsi="Tahoma" w:cs="Tahoma"/>
                  <w:color w:val="0000FF"/>
                  <w:sz w:val="20"/>
                  <w:u w:val="single"/>
                  <w:lang w:eastAsia="es-ES"/>
                </w:rPr>
                <w:t>http://www.errepar.com/</w:t>
              </w:r>
            </w:hyperlink>
            <w:r w:rsidRPr="005705CB">
              <w:rPr>
                <w:rFonts w:ascii="Arial" w:eastAsia="Times New Roman" w:hAnsi="Arial" w:cs="Arial"/>
                <w:sz w:val="17"/>
                <w:szCs w:val="17"/>
                <w:lang w:eastAsia="es-ES"/>
              </w:rPr>
              <w:t xml:space="preserve"> </w:t>
            </w:r>
          </w:p>
        </w:tc>
      </w:tr>
    </w:tbl>
    <w:p w:rsidR="00933A42" w:rsidRDefault="00933A42"/>
    <w:sectPr w:rsidR="00933A42" w:rsidSect="00933A4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705CB"/>
    <w:rsid w:val="005705CB"/>
    <w:rsid w:val="00933A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A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705CB"/>
    <w:rPr>
      <w:color w:val="0000FF"/>
      <w:u w:val="single"/>
    </w:rPr>
  </w:style>
  <w:style w:type="paragraph" w:customStyle="1" w:styleId="tablacentrado8">
    <w:name w:val="tablacentrado8"/>
    <w:basedOn w:val="Normal"/>
    <w:rsid w:val="005705CB"/>
    <w:pPr>
      <w:spacing w:after="0" w:line="240" w:lineRule="auto"/>
      <w:jc w:val="center"/>
    </w:pPr>
    <w:rPr>
      <w:rFonts w:ascii="Verdana" w:eastAsia="Times New Roman" w:hAnsi="Verdana" w:cs="Times New Roman"/>
      <w:sz w:val="15"/>
      <w:szCs w:val="15"/>
      <w:lang w:eastAsia="es-ES"/>
    </w:rPr>
  </w:style>
  <w:style w:type="paragraph" w:customStyle="1" w:styleId="tablaizquierda8">
    <w:name w:val="tablaizquierda8"/>
    <w:basedOn w:val="Normal"/>
    <w:rsid w:val="005705CB"/>
    <w:pPr>
      <w:spacing w:after="0" w:line="240" w:lineRule="auto"/>
    </w:pPr>
    <w:rPr>
      <w:rFonts w:ascii="Verdana" w:eastAsia="Times New Roman" w:hAnsi="Verdana" w:cs="Times New Roman"/>
      <w:sz w:val="15"/>
      <w:szCs w:val="15"/>
      <w:lang w:eastAsia="es-ES"/>
    </w:rPr>
  </w:style>
  <w:style w:type="paragraph" w:customStyle="1" w:styleId="1erfrancesnovedades">
    <w:name w:val="1erfrancesnovedades"/>
    <w:basedOn w:val="Normal"/>
    <w:rsid w:val="005705CB"/>
    <w:pPr>
      <w:spacing w:before="80" w:after="0" w:line="240" w:lineRule="auto"/>
      <w:ind w:left="360"/>
      <w:jc w:val="both"/>
    </w:pPr>
    <w:rPr>
      <w:rFonts w:ascii="Verdana" w:eastAsia="Times New Roman" w:hAnsi="Verdana" w:cs="Times New Roman"/>
      <w:sz w:val="16"/>
      <w:szCs w:val="16"/>
      <w:lang w:eastAsia="es-ES"/>
    </w:rPr>
  </w:style>
  <w:style w:type="paragraph" w:customStyle="1" w:styleId="2dofrancesnovedades">
    <w:name w:val="2dofrancesnovedades"/>
    <w:basedOn w:val="Normal"/>
    <w:rsid w:val="005705CB"/>
    <w:pPr>
      <w:spacing w:before="80" w:after="0" w:line="240" w:lineRule="auto"/>
      <w:ind w:left="720"/>
      <w:jc w:val="both"/>
    </w:pPr>
    <w:rPr>
      <w:rFonts w:ascii="Verdana" w:eastAsia="Times New Roman" w:hAnsi="Verdana" w:cs="Times New Roman"/>
      <w:sz w:val="16"/>
      <w:szCs w:val="16"/>
      <w:lang w:eastAsia="es-ES"/>
    </w:rPr>
  </w:style>
  <w:style w:type="paragraph" w:customStyle="1" w:styleId="textocentradonovedades">
    <w:name w:val="textocentradonovedades"/>
    <w:basedOn w:val="Normal"/>
    <w:rsid w:val="005705CB"/>
    <w:pPr>
      <w:spacing w:before="200" w:after="100" w:line="240" w:lineRule="auto"/>
      <w:jc w:val="center"/>
    </w:pPr>
    <w:rPr>
      <w:rFonts w:ascii="Verdana" w:eastAsia="Times New Roman" w:hAnsi="Verdana" w:cs="Times New Roman"/>
      <w:sz w:val="16"/>
      <w:szCs w:val="16"/>
      <w:lang w:eastAsia="es-ES"/>
    </w:rPr>
  </w:style>
  <w:style w:type="paragraph" w:customStyle="1" w:styleId="textonovedades">
    <w:name w:val="textonovedades"/>
    <w:basedOn w:val="Normal"/>
    <w:rsid w:val="005705CB"/>
    <w:pPr>
      <w:spacing w:before="120" w:after="0" w:line="240" w:lineRule="auto"/>
      <w:jc w:val="both"/>
    </w:pPr>
    <w:rPr>
      <w:rFonts w:ascii="Verdana" w:eastAsia="Times New Roman" w:hAnsi="Verdana" w:cs="Times New Roman"/>
      <w:sz w:val="16"/>
      <w:szCs w:val="16"/>
      <w:lang w:eastAsia="es-ES"/>
    </w:rPr>
  </w:style>
  <w:style w:type="character" w:customStyle="1" w:styleId="negritanovedades2">
    <w:name w:val="negritanovedades2"/>
    <w:basedOn w:val="Fuentedeprrafopredeter"/>
    <w:rsid w:val="005705CB"/>
    <w:rPr>
      <w:rFonts w:ascii="Verdana" w:hAnsi="Verdana" w:hint="default"/>
      <w:b/>
      <w:bCs/>
      <w:sz w:val="16"/>
      <w:szCs w:val="16"/>
    </w:rPr>
  </w:style>
  <w:style w:type="paragraph" w:styleId="Textodeglobo">
    <w:name w:val="Balloon Text"/>
    <w:basedOn w:val="Normal"/>
    <w:link w:val="TextodegloboCar"/>
    <w:uiPriority w:val="99"/>
    <w:semiHidden/>
    <w:unhideWhenUsed/>
    <w:rsid w:val="005705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05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4177174">
      <w:bodyDiv w:val="1"/>
      <w:marLeft w:val="0"/>
      <w:marRight w:val="0"/>
      <w:marTop w:val="0"/>
      <w:marBottom w:val="0"/>
      <w:divBdr>
        <w:top w:val="none" w:sz="0" w:space="0" w:color="auto"/>
        <w:left w:val="none" w:sz="0" w:space="0" w:color="auto"/>
        <w:bottom w:val="none" w:sz="0" w:space="0" w:color="auto"/>
        <w:right w:val="none" w:sz="0" w:space="0" w:color="auto"/>
      </w:divBdr>
      <w:divsChild>
        <w:div w:id="2031910727">
          <w:marLeft w:val="0"/>
          <w:marRight w:val="0"/>
          <w:marTop w:val="0"/>
          <w:marBottom w:val="0"/>
          <w:divBdr>
            <w:top w:val="none" w:sz="0" w:space="0" w:color="auto"/>
            <w:left w:val="none" w:sz="0" w:space="0" w:color="auto"/>
            <w:bottom w:val="none" w:sz="0" w:space="0" w:color="auto"/>
            <w:right w:val="none" w:sz="0" w:space="0" w:color="auto"/>
          </w:divBdr>
        </w:div>
        <w:div w:id="721633462">
          <w:marLeft w:val="0"/>
          <w:marRight w:val="0"/>
          <w:marTop w:val="0"/>
          <w:marBottom w:val="0"/>
          <w:divBdr>
            <w:top w:val="none" w:sz="0" w:space="0" w:color="auto"/>
            <w:left w:val="none" w:sz="0" w:space="0" w:color="auto"/>
            <w:bottom w:val="none" w:sz="0" w:space="0" w:color="auto"/>
            <w:right w:val="none" w:sz="0" w:space="0" w:color="auto"/>
          </w:divBdr>
          <w:divsChild>
            <w:div w:id="1702776844">
              <w:marLeft w:val="0"/>
              <w:marRight w:val="0"/>
              <w:marTop w:val="0"/>
              <w:marBottom w:val="0"/>
              <w:divBdr>
                <w:top w:val="none" w:sz="0" w:space="0" w:color="auto"/>
                <w:left w:val="none" w:sz="0" w:space="0" w:color="auto"/>
                <w:bottom w:val="none" w:sz="0" w:space="0" w:color="auto"/>
                <w:right w:val="none" w:sz="0" w:space="0" w:color="auto"/>
              </w:divBdr>
            </w:div>
            <w:div w:id="12805878">
              <w:marLeft w:val="0"/>
              <w:marRight w:val="0"/>
              <w:marTop w:val="75"/>
              <w:marBottom w:val="0"/>
              <w:divBdr>
                <w:top w:val="none" w:sz="0" w:space="0" w:color="auto"/>
                <w:left w:val="none" w:sz="0" w:space="0" w:color="auto"/>
                <w:bottom w:val="none" w:sz="0" w:space="0" w:color="auto"/>
                <w:right w:val="none" w:sz="0" w:space="0" w:color="auto"/>
              </w:divBdr>
            </w:div>
            <w:div w:id="170146441">
              <w:marLeft w:val="0"/>
              <w:marRight w:val="0"/>
              <w:marTop w:val="150"/>
              <w:marBottom w:val="0"/>
              <w:divBdr>
                <w:top w:val="single" w:sz="12" w:space="5" w:color="000000"/>
                <w:left w:val="none" w:sz="0" w:space="0" w:color="auto"/>
                <w:bottom w:val="single" w:sz="12" w:space="5" w:color="000000"/>
                <w:right w:val="none" w:sz="0" w:space="0" w:color="auto"/>
              </w:divBdr>
            </w:div>
            <w:div w:id="2092579632">
              <w:marLeft w:val="0"/>
              <w:marRight w:val="0"/>
              <w:marTop w:val="0"/>
              <w:marBottom w:val="0"/>
              <w:divBdr>
                <w:top w:val="none" w:sz="0" w:space="0" w:color="auto"/>
                <w:left w:val="none" w:sz="0" w:space="0" w:color="auto"/>
                <w:bottom w:val="single" w:sz="12" w:space="4" w:color="000000"/>
                <w:right w:val="none" w:sz="0" w:space="0" w:color="auto"/>
              </w:divBdr>
              <w:divsChild>
                <w:div w:id="764575023">
                  <w:marLeft w:val="0"/>
                  <w:marRight w:val="0"/>
                  <w:marTop w:val="0"/>
                  <w:marBottom w:val="0"/>
                  <w:divBdr>
                    <w:top w:val="none" w:sz="0" w:space="0" w:color="auto"/>
                    <w:left w:val="none" w:sz="0" w:space="0" w:color="auto"/>
                    <w:bottom w:val="none" w:sz="0" w:space="0" w:color="auto"/>
                    <w:right w:val="none" w:sz="0" w:space="0" w:color="auto"/>
                  </w:divBdr>
                </w:div>
                <w:div w:id="579563479">
                  <w:marLeft w:val="0"/>
                  <w:marRight w:val="0"/>
                  <w:marTop w:val="0"/>
                  <w:marBottom w:val="0"/>
                  <w:divBdr>
                    <w:top w:val="none" w:sz="0" w:space="0" w:color="auto"/>
                    <w:left w:val="none" w:sz="0" w:space="0" w:color="auto"/>
                    <w:bottom w:val="none" w:sz="0" w:space="0" w:color="auto"/>
                    <w:right w:val="none" w:sz="0" w:space="0" w:color="auto"/>
                  </w:divBdr>
                </w:div>
                <w:div w:id="619268387">
                  <w:marLeft w:val="0"/>
                  <w:marRight w:val="0"/>
                  <w:marTop w:val="0"/>
                  <w:marBottom w:val="0"/>
                  <w:divBdr>
                    <w:top w:val="none" w:sz="0" w:space="0" w:color="auto"/>
                    <w:left w:val="none" w:sz="0" w:space="0" w:color="auto"/>
                    <w:bottom w:val="none" w:sz="0" w:space="0" w:color="auto"/>
                    <w:right w:val="none" w:sz="0" w:space="0" w:color="auto"/>
                  </w:divBdr>
                </w:div>
                <w:div w:id="1716345782">
                  <w:marLeft w:val="0"/>
                  <w:marRight w:val="0"/>
                  <w:marTop w:val="0"/>
                  <w:marBottom w:val="0"/>
                  <w:divBdr>
                    <w:top w:val="none" w:sz="0" w:space="0" w:color="auto"/>
                    <w:left w:val="none" w:sz="0" w:space="0" w:color="auto"/>
                    <w:bottom w:val="none" w:sz="0" w:space="0" w:color="auto"/>
                    <w:right w:val="none" w:sz="0" w:space="0" w:color="auto"/>
                  </w:divBdr>
                </w:div>
                <w:div w:id="1857575918">
                  <w:marLeft w:val="0"/>
                  <w:marRight w:val="0"/>
                  <w:marTop w:val="0"/>
                  <w:marBottom w:val="0"/>
                  <w:divBdr>
                    <w:top w:val="none" w:sz="0" w:space="0" w:color="auto"/>
                    <w:left w:val="none" w:sz="0" w:space="0" w:color="auto"/>
                    <w:bottom w:val="none" w:sz="0" w:space="0" w:color="auto"/>
                    <w:right w:val="none" w:sz="0" w:space="0" w:color="auto"/>
                  </w:divBdr>
                </w:div>
                <w:div w:id="1296254502">
                  <w:marLeft w:val="0"/>
                  <w:marRight w:val="0"/>
                  <w:marTop w:val="0"/>
                  <w:marBottom w:val="0"/>
                  <w:divBdr>
                    <w:top w:val="none" w:sz="0" w:space="0" w:color="auto"/>
                    <w:left w:val="none" w:sz="0" w:space="0" w:color="auto"/>
                    <w:bottom w:val="none" w:sz="0" w:space="0" w:color="auto"/>
                    <w:right w:val="none" w:sz="0" w:space="0" w:color="auto"/>
                  </w:divBdr>
                </w:div>
                <w:div w:id="1162113882">
                  <w:marLeft w:val="0"/>
                  <w:marRight w:val="0"/>
                  <w:marTop w:val="0"/>
                  <w:marBottom w:val="0"/>
                  <w:divBdr>
                    <w:top w:val="none" w:sz="0" w:space="0" w:color="auto"/>
                    <w:left w:val="none" w:sz="0" w:space="0" w:color="auto"/>
                    <w:bottom w:val="none" w:sz="0" w:space="0" w:color="auto"/>
                    <w:right w:val="none" w:sz="0" w:space="0" w:color="auto"/>
                  </w:divBdr>
                </w:div>
                <w:div w:id="1955475902">
                  <w:marLeft w:val="0"/>
                  <w:marRight w:val="0"/>
                  <w:marTop w:val="0"/>
                  <w:marBottom w:val="0"/>
                  <w:divBdr>
                    <w:top w:val="none" w:sz="0" w:space="0" w:color="auto"/>
                    <w:left w:val="none" w:sz="0" w:space="0" w:color="auto"/>
                    <w:bottom w:val="none" w:sz="0" w:space="0" w:color="auto"/>
                    <w:right w:val="none" w:sz="0" w:space="0" w:color="auto"/>
                  </w:divBdr>
                </w:div>
                <w:div w:id="15912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rrepar.com"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imprimirPantalla()"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1115</Words>
  <Characters>6134</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Moreno</dc:creator>
  <cp:lastModifiedBy>Juan Moreno</cp:lastModifiedBy>
  <cp:revision>1</cp:revision>
  <dcterms:created xsi:type="dcterms:W3CDTF">2011-10-04T15:46:00Z</dcterms:created>
  <dcterms:modified xsi:type="dcterms:W3CDTF">2011-10-04T15:49:00Z</dcterms:modified>
</cp:coreProperties>
</file>