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도면검도시스템 정책서</w:t>
      </w:r>
    </w:p>
    <w:p>
      <w:r>
        <w:rPr>
          <w:i/>
          <w:sz w:val="24"/>
        </w:rPr>
        <w:t>실외기 조합 매핑 구현 · 장비마스터 등록 정책</w:t>
      </w:r>
    </w:p>
    <w:p>
      <w:r>
        <w:rPr>
          <w:sz w:val="18"/>
        </w:rPr>
        <w:t>버전 v1.0  ·  작성일 2026-07-03  ·  대상: 개발팀/기획/QA  ·  근거: 프로젝트 코드·CLAUDE.md·doc/ 요구사항</w:t>
      </w:r>
    </w:p>
    <w:p/>
    <w:p>
      <w:pPr>
        <w:pStyle w:val="Heading1"/>
      </w:pPr>
      <w:r>
        <w:t>1. 문서 개요</w:t>
      </w:r>
    </w:p>
    <w:p>
      <w:r>
        <w:rPr>
          <w:b w:val="0"/>
          <w:i w:val="0"/>
          <w:sz w:val="20"/>
        </w:rPr>
        <w:t>본 정책서는 LG전자 HVAC 도면검도시스템의 두 핵심 정책을 정의한다: (1) 유저 '생성' 단계의 실외기 조합 매핑, (2) 관리자 '장비마스터'의 등록·게시. 조합/호환 판단은 유저(생성) 단이 마스터의 게시(PUBLISHED) 데이터를 참조해 수행하며, 장비마스터는 '등록만' 담당한다.</w:t>
      </w:r>
    </w:p>
    <w:p>
      <w:r>
        <w:rPr>
          <w:b w:val="0"/>
          <w:i/>
          <w:sz w:val="20"/>
        </w:rPr>
        <w:t>⚠️ 주의: doc/ 폴더 자료 중 일부는 최신화되지 않았을 수 있다. 문서 간/문서-코드 상충 또는 수치(단가·등급·스키마)가 애매할 경우 임의 추정하지 않고 담당자 확인 후 반영한다.</w:t>
      </w:r>
    </w:p>
    <w:p>
      <w:pPr>
        <w:pStyle w:val="Heading1"/>
      </w:pPr>
      <w:r>
        <w:t>2. 유비쿼터스 언어 (용어집)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용어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코드/영문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실외기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ODU / OutdoorUnit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냉매를 실내기에 공급하는 실외 장비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실내기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IDU / IndoorUnit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실(방)에 설치되는 냉난방 토출 장비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조합비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ComboRatio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Σ(연결 실내기 냉방용량) ÷ 실외기 용량. 권장 0.5~1.3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계열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EnergySource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EHP/GHP/AWHP/수냉식/Chiller. 호환의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조합/그룹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OutdoorGroup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실외기 1대 + 연결된 실내기들의 묶음(애그리거트)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배정 플랜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AssignmentPlan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그룹들 + 미배정 풀의 조율자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장비마스터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EquipmentMaster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장비 모델·스펙·단가 SSOT(관리자)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게시 상태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DRAFT/PUBLISHED/ARCHIVED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외부 노출 게이트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Zone/Room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도면에서 검출된 공간 단위(구 '방')</w:t>
            </w:r>
          </w:p>
        </w:tc>
      </w:tr>
    </w:tbl>
    <w:p>
      <w:pPr>
        <w:pStyle w:val="Heading1"/>
      </w:pPr>
      <w:r>
        <w:t>3. 실외기 조합 매핑 정책 (생성 컨텍스트)</w:t>
      </w:r>
    </w:p>
    <w:p>
      <w:pPr>
        <w:pStyle w:val="Heading2"/>
      </w:pPr>
      <w:r>
        <w:t>3.1 파이프라인</w:t>
      </w:r>
    </w:p>
    <w:p>
      <w:r>
        <w:rPr>
          <w:b w:val="0"/>
          <w:i w:val="0"/>
          <w:sz w:val="20"/>
        </w:rPr>
        <w:t>도면 업로드 → [실 검출] → [실내기 자동 배치] → [실외기 선정] → [실외기 배치/조합 매핑] → [산출물 생성]. 본 절은 '실외기 배치/조합 매핑' 단계의 정책을 정의한다.</w:t>
      </w:r>
    </w:p>
    <w:p>
      <w:pPr>
        <w:pStyle w:val="Heading2"/>
      </w:pPr>
      <w:r>
        <w:t>3.2 도메인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개념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책임/불변식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실내기(엔티티)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IndoorUnit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동일성. 냉방용량(Capacity)·계열(EnergySource) 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실외기(값객체)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OutdoorUnit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모델·계열·용량·최대연결수·단가(Price)·등급(EnergyGrade)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조합(애그리거트 루트)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OutdoorGroup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그룹 내부 불변식 강제(계열/최대수/중복). 불변(immutable)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배정 플랜(조율자)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AssignmentPlan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교차 불변식: 실내기는 정확히 한 곳에만 존재</w:t>
            </w:r>
          </w:p>
        </w:tc>
      </w:tr>
    </w:tbl>
    <w:p>
      <w:pPr>
        <w:pStyle w:val="Heading2"/>
      </w:pPr>
      <w:r>
        <w:t>3.3 호환 규칙 (계열 일치)</w:t>
      </w:r>
    </w:p>
    <w:p>
      <w:r>
        <w:rPr>
          <w:b w:val="0"/>
          <w:i w:val="0"/>
          <w:sz w:val="20"/>
        </w:rPr>
        <w:t>실외기와 실내기의 계열(EnergySource)이 일치해야 배정 가능하다. 교차 계열(예: GHP 실외기 ↔ EHP 실내기)은 SERIES_MISMATCH로 차단한다. 호환 판단 기준은 장비마스터의 제품군·계열 정보다.</w:t>
      </w:r>
    </w:p>
    <w:p>
      <w:pPr>
        <w:pStyle w:val="Heading2"/>
      </w:pPr>
      <w:r>
        <w:t>3.4 조합비 규칙</w:t>
      </w:r>
    </w:p>
    <w:p>
      <w:r>
        <w:rPr>
          <w:b w:val="0"/>
          <w:i w:val="0"/>
          <w:sz w:val="20"/>
        </w:rPr>
        <w:t>조합비 = Σ(연결 실내기 냉방용량) ÷ 실외기 용량. 권장 범위 0.5 ~ 1.3. 범위를 벗어나도 '배정 거부'가 아니라 '경고'(OVERLOADED/UNDERLOADED)로 표기한다 — 과부하 상태로도 배정은 가능해야 하기 때문.</w:t>
      </w:r>
    </w:p>
    <w:p>
      <w:pPr>
        <w:pStyle w:val="Heading2"/>
      </w:pPr>
      <w:r>
        <w:t>3.5 최대 연결 수 (마스터 스펙 주입)</w:t>
      </w:r>
    </w:p>
    <w:p>
      <w:r>
        <w:rPr>
          <w:b w:val="0"/>
          <w:i w:val="0"/>
          <w:sz w:val="20"/>
        </w:rPr>
        <w:t>실외기 모델별 최대 연결 실내기 수(maxConnections)는 장비마스터 카탈로그 스펙(OutdoorModelCatalog 포트)에서 주입된다. 초과 배정은 MAX_CONNECTIONS로 차단한다. (하드코딩 금지 — 모델 스펙이 SSOT)</w:t>
      </w:r>
    </w:p>
    <w:p>
      <w:pPr>
        <w:pStyle w:val="Heading2"/>
      </w:pPr>
      <w:r>
        <w:t>3.6 조작 유즈케이스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조작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유즈케이스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결과/규칙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실내기 배정/해제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ReassignIndoorUnit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그룹↔풀 이동. 계열 불일치는 거부(미저장), 성공 시 이벤트 발행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실외기 모델 교체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ReplaceOutdoorModel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계열 변경 시 미호환 실내기를 풀로 방출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그룹 분할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SplitGroup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실내기 절반을 같은 모델의 새 그룹으로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그룹 추가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AddGroup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빈 실외기 그룹 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그룹 삭제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RemoveGroup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연결 실내기는 풀로 반환</w:t>
            </w:r>
          </w:p>
        </w:tc>
      </w:tr>
    </w:tbl>
    <w:p>
      <w:pPr>
        <w:pStyle w:val="Heading2"/>
      </w:pPr>
      <w:r>
        <w:t>3.7 예외·경고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  <w:shd w:val="clear" w:fill="DCDEE0"/>
          </w:tcPr>
          <w:p>
            <w:r/>
            <w:r>
              <w:rPr>
                <w:b/>
                <w:sz w:val="18"/>
              </w:rPr>
              <w:t>처리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SERIES_MISMATCH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거부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계열 불일치 배정 차단(모달 경고)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MAX_CONNECTIONS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거부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최대 연결 수 초과 차단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DUPLICATE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거부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이미 배정된 실내기 중복 차단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OVERLOADED/UNDERLOADED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경고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조합비 범위 이탈. 배정은 허용, 표기만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NotFound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전파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존재하지 않는 실내기/그룹 참조 오류</w:t>
            </w:r>
          </w:p>
        </w:tc>
      </w:tr>
    </w:tbl>
    <w:p>
      <w:pPr>
        <w:pStyle w:val="Heading2"/>
      </w:pPr>
      <w:r>
        <w:t>3.8 UI 정책</w:t>
      </w:r>
    </w:p>
    <w:p>
      <w:r>
        <w:rPr>
          <w:b w:val="0"/>
          <w:i w:val="0"/>
          <w:sz w:val="20"/>
        </w:rPr>
        <w:t>조합 리포트(상단 스트립)는 6개 KPI만 노출한다: 총 설치 용량 · 실외기 대수 · 실내기 배정 · 미배정 · 평균 조합비 · 과부하. (단가·효율등급은 리포트 KPI가 아님 — 산출물 장비일람표/모델 선정에서 다룸.) 조합 매핑은 팝업(모달)에서 드래그 배정/해제·교체·분할·삭제·조합비 실시간 계산·호환 경고로 수행한다. 색상은 무채색(회색조)만 사용한다.</w:t>
      </w:r>
    </w:p>
    <w:p>
      <w:pPr>
        <w:pStyle w:val="Heading1"/>
      </w:pPr>
      <w:r>
        <w:t>4. 장비마스터 등록 정책 (관리자)</w:t>
      </w:r>
    </w:p>
    <w:p>
      <w:pPr>
        <w:pStyle w:val="Heading2"/>
      </w:pPr>
      <w:r>
        <w:t>4.1 분류 체계 (4단 계층)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DEE0"/>
          </w:tcPr>
          <w:p>
            <w: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  <w:shd w:val="clear" w:fill="DCDEE0"/>
          </w:tcPr>
          <w:p>
            <w:r/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대분류(역할)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실외기 / 실내기 / 환기 / 판넬 / 시공자재 / 제어·통신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중분류(제품군·계열)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실외기: EHP·GHP·AWHP·수냉식·Chiller / 실내기: 1WAY·4WAY·덕트·스탠드·FCU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시리즈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Multi V Super 5, Multi V i, GHP Super III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RPUW12BX9M, GPUW280C2S (마스터 레코드)</w:t>
            </w:r>
          </w:p>
        </w:tc>
      </w:tr>
    </w:tbl>
    <w:p>
      <w:pPr>
        <w:pStyle w:val="Heading2"/>
      </w:pPr>
      <w:r>
        <w:t>4.2 스펙 정규화</w:t>
      </w:r>
    </w:p>
    <w:p>
      <w:r>
        <w:rPr>
          <w:b w:val="0"/>
          <w:i w:val="0"/>
          <w:sz w:val="20"/>
        </w:rPr>
        <w:t>장비일람표 전 컬럼을 필수 정규화 필드로, 제품군 고유 항목은 JSONB 확장 스펙으로 저장한다. (근거: DB 설계 v2 스키마, 1,826 라벨 → 122 키 정규화 분석 보고서)</w:t>
      </w:r>
    </w:p>
    <w:p>
      <w:pPr>
        <w:pStyle w:val="Heading2"/>
      </w:pPr>
      <w:r>
        <w:t>4.3 단가 정책</w:t>
      </w:r>
    </w:p>
    <w:p>
      <w:r>
        <w:rPr>
          <w:b w:val="0"/>
          <w:i w:val="0"/>
          <w:sz w:val="20"/>
        </w:rPr>
        <w:t>단가는 product_prices(price_krw NUMERIC(14,0) 정수 원, price_with_vat_krw, price_type, effective_start/end_date)로 관리한다. 현행가 = effective_end_date IS NULL. 외부(생성/검도)는 게시뷰 v_published_product_prices의 현행가만 소비한다. 도메인 값객체 Price가 정수·상한·유형 혼합 합산 금지 등 불변식을 강제한다.</w:t>
      </w:r>
    </w:p>
    <w:p>
      <w:pPr>
        <w:pStyle w:val="Heading2"/>
      </w:pPr>
      <w:r>
        <w:t>4.4 게시 게이트</w:t>
      </w:r>
    </w:p>
    <w:p>
      <w:r>
        <w:rPr>
          <w:b w:val="0"/>
          <w:i w:val="0"/>
          <w:sz w:val="20"/>
        </w:rPr>
        <w:t>DRAFT → PUBLISHED → ARCHIVED. 검도·생성은 PUBLISHED 데이터만 조회한다. 게시 전(DRAFT) 데이터는 외부 노출 금지.</w:t>
      </w:r>
    </w:p>
    <w:p>
      <w:pPr>
        <w:pStyle w:val="Heading2"/>
      </w:pPr>
      <w:r>
        <w:t>4.5 등록 플로우 (단일 메뉴 내부 뷰)</w:t>
      </w:r>
    </w:p>
    <w:p>
      <w:r>
        <w:rPr>
          <w:b w:val="0"/>
          <w:i w:val="0"/>
          <w:sz w:val="20"/>
        </w:rPr>
        <w:t>목록(필터·정렬·페이지네이션) / 상세·등록·수정(유효성 검증) / 엑셀 업로드·동기화 / 게시·단가. 조합 매핑은 관리자가 아니라 유저(생성) 단에서 마스터 데이터를 참조해 수행한다.</w:t>
      </w:r>
    </w:p>
    <w:p>
      <w:pPr>
        <w:pStyle w:val="Heading2"/>
      </w:pPr>
      <w:r>
        <w:t>4.6 컨텍스트 관계 (Customer/Supplier)</w:t>
      </w:r>
    </w:p>
    <w:p>
      <w:r>
        <w:rPr>
          <w:b w:val="0"/>
          <w:i w:val="0"/>
          <w:sz w:val="20"/>
        </w:rPr>
        <w:t>장비마스터(상류) → 생성·검도(하류). 생성·검도는 마스터의 PUBLISHED 데이터만 소비하며 역방향 의존을 금지한다. 생성 컨텍스트는 OutdoorModelCatalog 읽기 포트를 통해서만 마스터 스펙을 참조한다.</w:t>
      </w:r>
    </w:p>
    <w:p>
      <w:pPr>
        <w:pStyle w:val="Heading1"/>
      </w:pPr>
      <w:r>
        <w:t>5. 아키텍처 원칙</w:t>
      </w:r>
    </w:p>
    <w:p>
      <w:pPr>
        <w:pStyle w:val="ListBullet"/>
      </w:pPr>
      <w:r>
        <w:t>Clean Architecture: 의존성은 항상 안쪽(도메인)으로. domain은 상위 레이어 import 금지(eslint 게이트로 강제).</w:t>
      </w:r>
    </w:p>
    <w:p>
      <w:pPr>
        <w:pStyle w:val="ListBullet"/>
      </w:pPr>
      <w:r>
        <w:t>DDD: 값객체(불변·자기검증), 애그리거트 루트로만 상태 변경, 리포지토리 포트, 도메인 이벤트.</w:t>
      </w:r>
    </w:p>
    <w:p>
      <w:pPr>
        <w:pStyle w:val="ListBullet"/>
      </w:pPr>
      <w:r>
        <w:t>TDD: Red→Green→Refactor. 도메인/애플리케이션 커버리지 목표 90%+.</w:t>
      </w:r>
    </w:p>
    <w:p>
      <w:pPr>
        <w:pStyle w:val="ListBullet"/>
      </w:pPr>
      <w:r>
        <w:t>적대적 QA: 경계값·악의적 입력·실패 주입·동시성을 능동 탐색, 결함은 실패 테스트로 고정 후 수정.</w:t>
      </w:r>
    </w:p>
    <w:p>
      <w:pPr>
        <w:pStyle w:val="ListBullet"/>
      </w:pPr>
      <w:r>
        <w:t>품질 게이트: npm run validate (tsc --noEmit &amp;&amp; eslint &amp;&amp; vitest), Claude Hooks(가드/포맷/테스트).</w:t>
      </w:r>
    </w:p>
    <w:p>
      <w:pPr>
        <w:pStyle w:val="Heading1"/>
      </w:pPr>
      <w:r>
        <w:t>6. 비고 &amp; 주의</w:t>
      </w:r>
    </w:p>
    <w:p>
      <w:pPr>
        <w:pStyle w:val="ListBullet"/>
      </w:pPr>
      <w:r>
        <w:t>POC 플레이스홀더: ODU_CATALOG의 단가/등급/COP, maxConnections는 예시/보간값(실데이터 아님, 교체 예정).</w:t>
      </w:r>
    </w:p>
    <w:p>
      <w:pPr>
        <w:pStyle w:val="ListBullet"/>
      </w:pPr>
      <w:r>
        <w:t>무채색 규칙: UI는 유채색 금지(회색조만).</w:t>
      </w:r>
    </w:p>
    <w:p>
      <w:pPr>
        <w:pStyle w:val="ListBullet"/>
      </w:pPr>
      <w:r>
        <w:t>이름 규칙: 모든 사람 이름은 '홍길동'.</w:t>
      </w:r>
    </w:p>
    <w:p>
      <w:pPr>
        <w:pStyle w:val="ListBullet"/>
      </w:pPr>
      <w:r>
        <w:t>doc/ 신뢰도: 요구사항 정의서 v0.4 등 일부 최신 아닐 수 있음 — 애매 시 담당자 확인.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