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61C94">
      <w:pPr>
        <w:numPr>
          <w:ilvl w:val="0"/>
          <w:numId w:val="0"/>
        </w:numPr>
        <w:spacing w:line="360" w:lineRule="auto"/>
        <w:jc w:val="center"/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材料系统数据分析</w:t>
      </w:r>
    </w:p>
    <w:p w14:paraId="17A6602F">
      <w:pPr>
        <w:numPr>
          <w:ilvl w:val="0"/>
          <w:numId w:val="0"/>
        </w:numPr>
        <w:spacing w:line="360" w:lineRule="auto"/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历史与现在比对</w:t>
      </w:r>
    </w:p>
    <w:p w14:paraId="4A6D42A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与合理最低值比较，结果用偏差率（</w:t>
      </w:r>
      <m:oMath>
        <m:r>
          <m:rPr/>
          <w:rPr>
            <w:rFonts w:ascii="Cambria Math" w:hAnsi="Cambria Math" w:cs="等线"/>
            <w:lang w:val="en-US"/>
          </w:rPr>
          <m:t>η</m:t>
        </m:r>
      </m:oMath>
      <w:r>
        <w:rPr>
          <w:rFonts w:hint="eastAsia" w:ascii="等线" w:hAnsi="等线" w:eastAsia="等线" w:cs="等线"/>
          <w:lang w:val="en-US" w:eastAsia="zh-CN"/>
        </w:rPr>
        <w:t>）表示。表达方式和案例模板中一致。</w:t>
      </w:r>
    </w:p>
    <w:p w14:paraId="0FAEF0E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合理最低值定义：Q1-1.5IQR以上的最小值。</w:t>
      </w:r>
    </w:p>
    <w:p w14:paraId="3EA70AA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无报警值，只有偏差值，如5-10%黄色，以上红色，阈值可调。表达方式和案例模板中一致。</w:t>
      </w:r>
    </w:p>
    <w:p w14:paraId="0B27E36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对比表格中仍然保留最低值，作</w:t>
      </w:r>
      <w:bookmarkStart w:id="0" w:name="_GoBack"/>
      <w:bookmarkEnd w:id="0"/>
      <w:r>
        <w:rPr>
          <w:rFonts w:hint="eastAsia" w:ascii="等线" w:hAnsi="等线" w:eastAsia="等线" w:cs="等线"/>
          <w:lang w:val="en-US" w:eastAsia="zh-CN"/>
        </w:rPr>
        <w:t>为提醒事项。</w:t>
      </w:r>
    </w:p>
    <w:p w14:paraId="35A0B318">
      <w:pPr>
        <w:numPr>
          <w:ilvl w:val="0"/>
          <w:numId w:val="0"/>
        </w:numPr>
        <w:spacing w:line="360" w:lineRule="auto"/>
        <w:ind w:left="840" w:leftChars="0"/>
        <w:rPr>
          <w:rFonts w:hint="default" w:ascii="等线" w:hAnsi="等线" w:eastAsia="等线" w:cs="等线"/>
          <w:lang w:val="en-US" w:eastAsia="zh-CN"/>
        </w:rPr>
      </w:pPr>
    </w:p>
    <w:p w14:paraId="102402D8">
      <w:pPr>
        <w:numPr>
          <w:ilvl w:val="0"/>
          <w:numId w:val="0"/>
        </w:numPr>
        <w:spacing w:line="360" w:lineRule="auto"/>
        <w:jc w:val="center"/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工作台图表</w:t>
      </w:r>
    </w:p>
    <w:p w14:paraId="00A9568F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等线" w:hAnsi="等线" w:eastAsia="等线" w:cs="等线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4239895</wp:posOffset>
            </wp:positionH>
            <wp:positionV relativeFrom="paragraph">
              <wp:posOffset>116840</wp:posOffset>
            </wp:positionV>
            <wp:extent cx="1128395" cy="1724660"/>
            <wp:effectExtent l="0" t="0" r="52705" b="46990"/>
            <wp:wrapTight wrapText="bothSides">
              <wp:wrapPolygon>
                <wp:start x="0" y="0"/>
                <wp:lineTo x="0" y="21473"/>
                <wp:lineTo x="21150" y="21473"/>
                <wp:lineTo x="2115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2203"/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lang w:val="en-US" w:eastAsia="zh-CN"/>
        </w:rPr>
        <w:t>树状热力图</w:t>
      </w:r>
    </w:p>
    <w:p w14:paraId="7B07E1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第一层：可选某一时段内所有项目采购材料的总金额</w:t>
      </w:r>
    </w:p>
    <w:p w14:paraId="0CC15DE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第二层：点开项目块可以查看，项目内所有小类采购材料的总金额</w:t>
      </w:r>
    </w:p>
    <w:p w14:paraId="65ABC8F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m:oMath>
        <m:r>
          <m:rPr/>
          <w:rPr>
            <w:rFonts w:ascii="Cambria Math" w:hAnsi="Cambria Math" w:cs="等线"/>
            <w:lang w:val="en-US"/>
          </w:rPr>
          <m:t>η</m:t>
        </m:r>
      </m:oMath>
      <w:r>
        <w:rPr>
          <w:rFonts w:hint="eastAsia" w:hAnsi="Cambria Math" w:cs="等线"/>
          <w:i w:val="0"/>
          <w:lang w:val="en-US" w:eastAsia="zh-CN"/>
        </w:rPr>
        <w:t>越大越红，越小越蓝</w:t>
      </w:r>
    </w:p>
    <w:p w14:paraId="52EA029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气泡图</w:t>
      </w:r>
    </w:p>
    <w:p w14:paraId="35B27E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3271520</wp:posOffset>
            </wp:positionH>
            <wp:positionV relativeFrom="paragraph">
              <wp:posOffset>149860</wp:posOffset>
            </wp:positionV>
            <wp:extent cx="1471295" cy="1333500"/>
            <wp:effectExtent l="0" t="0" r="0" b="0"/>
            <wp:wrapThrough wrapText="bothSides">
              <wp:wrapPolygon>
                <wp:start x="0" y="0"/>
                <wp:lineTo x="0" y="21291"/>
                <wp:lineTo x="21255" y="21291"/>
                <wp:lineTo x="21255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lang w:val="en-US" w:eastAsia="zh-CN"/>
        </w:rPr>
        <w:t>第一层：展示所有材料品类</w:t>
      </w:r>
    </w:p>
    <w:p w14:paraId="4F04D3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颜色代表专业</w:t>
      </w:r>
    </w:p>
    <w:p w14:paraId="6EC13D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大小代表采购总金额，用小字备注</w:t>
      </w:r>
    </w:p>
    <w:p w14:paraId="76F191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第二层：材料品类之下，展示材料商名录</w:t>
      </w:r>
    </w:p>
    <w:p w14:paraId="33758AE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气泡大小表达材料商签约总金额</w:t>
      </w:r>
    </w:p>
    <w:p w14:paraId="577CF2C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小字备注</w:t>
      </w:r>
    </w:p>
    <w:p w14:paraId="339A13E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如果有档次划分的用颜色区分</w:t>
      </w:r>
    </w:p>
    <w:p w14:paraId="6E30A42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数据流</w:t>
      </w:r>
    </w:p>
    <w:p w14:paraId="0D57AEB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也可以视为待办事宜</w:t>
      </w:r>
    </w:p>
    <w:p w14:paraId="1729531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按项目、清单分类，类似前端案例中的处理队列</w:t>
      </w:r>
    </w:p>
    <w:p w14:paraId="64E517D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等线" w:hAnsi="等线" w:eastAsia="等线" w:cs="等线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333375</wp:posOffset>
            </wp:positionV>
            <wp:extent cx="5264785" cy="1430655"/>
            <wp:effectExtent l="0" t="0" r="12065" b="171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lang w:val="en-US" w:eastAsia="zh-CN"/>
        </w:rPr>
        <w:t>清单备注状态（识别中、待审核），可以不要操作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D611B"/>
    <w:multiLevelType w:val="multilevel"/>
    <w:tmpl w:val="A25D61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07FD2"/>
    <w:rsid w:val="154F5F16"/>
    <w:rsid w:val="2277261D"/>
    <w:rsid w:val="2A9A1E89"/>
    <w:rsid w:val="2E5963CE"/>
    <w:rsid w:val="30FC3C49"/>
    <w:rsid w:val="31EB1625"/>
    <w:rsid w:val="3C3043D5"/>
    <w:rsid w:val="448A696E"/>
    <w:rsid w:val="4B080F25"/>
    <w:rsid w:val="501379DC"/>
    <w:rsid w:val="57BF757E"/>
    <w:rsid w:val="58EF5295"/>
    <w:rsid w:val="5BF5327B"/>
    <w:rsid w:val="70B31893"/>
    <w:rsid w:val="76597D71"/>
    <w:rsid w:val="78A2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309</Words>
  <Characters>320</Characters>
  <Lines>0</Lines>
  <Paragraphs>0</Paragraphs>
  <TotalTime>1</TotalTime>
  <ScaleCrop>false</ScaleCrop>
  <LinksUpToDate>false</LinksUpToDate>
  <CharactersWithSpaces>320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2026-04-27T02:15:00Z</dcterms:created>
  <dc:creator>shijing</dc:creator>
  <cp:lastModifiedBy>灰色记忆</cp:lastModifiedBy>
  <cp:lastPrinted>2026-05-19T00:18:00Z</cp:lastPrinted>
  <dcterms:modified xsi:type="dcterms:W3CDTF">2026-05-19T05:32:24Z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eyJoZGlkIjoiNjhkNjBkZjc4ZDdhYjkwMjNkNTMyODc4MjM1MmFhYWUiLCJ1c2VySWQiOiI0NDgyNjExNzkifQ==</vt:lpwstr>
  </property>
  <property fmtid="{D5CDD505-2E9C-101B-9397-08002B2CF9AE}" pid="4" name="ICV">
    <vt:lpwstr>34278449314A4C19A1A03C6EBCD78ABE_12</vt:lpwstr>
  </property>
</Properties>
</file>