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color w:val="1F3864"/>
          <w:sz w:val="48"/>
          <w:szCs w:val="48"/>
        </w:rPr>
        <w:t xml:space="preserve">MANUAL DE USUARIO</w:t>
      </w:r>
    </w:p>
    <w:p>
      <w:pPr>
        <w:spacing w:after="60" w:before="60"/>
      </w:pPr>
      <w:r>
        <w:t xml:space="preserve"/>
      </w:r>
    </w:p>
    <w:p>
      <w:pPr>
        <w:spacing w:after="80" w:before="80"/>
        <w:jc w:val="center"/>
      </w:pPr>
      <w:r>
        <w:rPr>
          <w:rFonts w:ascii="Times New Roman" w:cs="Times New Roman" w:eastAsia="Times New Roman" w:hAnsi="Times New Roman"/>
          <w:b/>
          <w:bCs/>
          <w:color w:val="2E4057"/>
          <w:sz w:val="36"/>
          <w:szCs w:val="36"/>
        </w:rPr>
        <w:t xml:space="preserve">Calculadora de Bases Numéricas</w:t>
      </w:r>
    </w:p>
    <w:p>
      <w:pPr>
        <w:spacing w:after="60" w:before="60"/>
      </w:pPr>
      <w:r>
        <w:t xml:space="preserve"/>
      </w:r>
    </w:p>
    <w:p>
      <w:pPr>
        <w:spacing w:after="60" w:before="60"/>
      </w:pPr>
      <w:r>
        <w:t xml:space="preserve"/>
      </w:r>
    </w:p>
    <w:p>
      <w:pPr>
        <w:pBdr>
          <w:bottom w:val="single" w:color="1F3864" w:sz="12" w:space="1"/>
        </w:pBdr>
        <w:spacing w:after="0" w:before="0"/>
        <w:jc w:val="center"/>
      </w:pPr>
      <w:r>
        <w:rPr>
          <w:sz w:val="22"/>
          <w:szCs w:val="22"/>
        </w:rPr>
        <w:t xml:space="preserve"/>
      </w:r>
    </w:p>
    <w:p>
      <w:pPr>
        <w:spacing w:after="60" w:before="60"/>
      </w:pPr>
      <w:r>
        <w:t xml:space="preserve"/>
      </w:r>
    </w:p>
    <w:p>
      <w:pPr>
        <w:spacing w:after="80" w:before="80"/>
        <w:jc w:val="center"/>
      </w:pPr>
      <w:r>
        <w:rPr>
          <w:rFonts w:ascii="Times New Roman" w:cs="Times New Roman" w:eastAsia="Times New Roman" w:hAnsi="Times New Roman"/>
          <w:i/>
          <w:iCs/>
          <w:sz w:val="22"/>
          <w:szCs w:val="22"/>
        </w:rPr>
        <w:t xml:space="preserve">Versión 1.0</w:t>
      </w:r>
    </w:p>
    <w:p>
      <w:pPr>
        <w:spacing w:after="60" w:before="60"/>
      </w:pPr>
      <w:r>
        <w:t xml:space="preserve"/>
      </w:r>
    </w:p>
    <w:p>
      <w:pPr>
        <w:spacing w:after="80" w:before="80"/>
        <w:jc w:val="center"/>
      </w:pPr>
      <w:r>
        <w:rPr>
          <w:rFonts w:ascii="Times New Roman" w:cs="Times New Roman" w:eastAsia="Times New Roman" w:hAnsi="Times New Roman"/>
          <w:sz w:val="22"/>
          <w:szCs w:val="22"/>
        </w:rPr>
        <w:t xml:space="preserve">Documento de referencia técnica y operativa para el usuario final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sz w:val="22"/>
          <w:szCs w:val="22"/>
        </w:rPr>
        <w:t xml:space="preserve">Formato de documentación basado en IEEE Std 1063-2001</w:t>
      </w:r>
    </w:p>
    <w:p>
      <w:pPr>
        <w:spacing w:after="60" w:before="60"/>
      </w:pPr>
      <w:r>
        <w:t xml:space="preserve"/>
      </w:r>
    </w:p>
    <w:p>
      <w:pPr>
        <w:spacing w:after="80" w:before="80"/>
        <w:jc w:val="center"/>
      </w:pPr>
      <w:r>
        <w:rPr>
          <w:rFonts w:ascii="Times New Roman" w:cs="Times New Roman" w:eastAsia="Times New Roman" w:hAnsi="Times New Roman"/>
          <w:sz w:val="22"/>
          <w:szCs w:val="22"/>
        </w:rPr>
        <w:t xml:space="preserve">Software User Documentation Standard</w:t>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sz w:val="22"/>
          <w:szCs w:val="22"/>
        </w:rPr>
        <w:t xml:space="preserve">© 2026 — Calculadora de Bases Numéricas</w:t>
      </w:r>
    </w:p>
    <w:p>
      <w:r>
        <w:br w:type="page"/>
      </w:r>
    </w:p>
    <w:p>
      <w:pPr>
        <w:sectPr>
          <w:pgSz w:w="12240" w:h="15840" w:orient="portrait"/>
          <w:pgMar w:top="1440" w:right="1440" w:bottom="1440" w:left="1440" w:header="708" w:footer="708" w:gutter="0"/>
          <w:pgNumType/>
          <w:docGrid w:linePitch="360"/>
        </w:sectPr>
      </w:pPr>
    </w:p>
    <w:p>
      <w:pPr>
        <w:pStyle w:val="Heading1"/>
      </w:pPr>
      <w:r>
        <w:rPr>
          <w:rFonts w:ascii="Times New Roman" w:cs="Times New Roman" w:eastAsia="Times New Roman" w:hAnsi="Times New Roman"/>
          <w:b/>
          <w:bCs/>
          <w:color w:val="1F3864"/>
          <w:sz w:val="28"/>
          <w:szCs w:val="28"/>
        </w:rPr>
        <w:t xml:space="preserve">1. Introducción</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1.1 Propósito del documento</w:t>
      </w:r>
    </w:p>
    <w:p>
      <w:pPr>
        <w:spacing w:after="80" w:before="80" w:line="276"/>
        <w:jc w:val="both"/>
      </w:pPr>
      <w:r>
        <w:rPr>
          <w:rFonts w:ascii="Times New Roman" w:cs="Times New Roman" w:eastAsia="Times New Roman" w:hAnsi="Times New Roman"/>
          <w:sz w:val="22"/>
          <w:szCs w:val="22"/>
        </w:rPr>
        <w:t xml:space="preserve">Este manual de usuario describe la operación de la </w:t>
      </w:r>
      <w:r>
        <w:rPr>
          <w:rFonts w:ascii="Times New Roman" w:cs="Times New Roman" w:eastAsia="Times New Roman" w:hAnsi="Times New Roman"/>
          <w:b/>
          <w:bCs/>
          <w:sz w:val="22"/>
          <w:szCs w:val="22"/>
        </w:rPr>
        <w:t xml:space="preserve">Calculadora de Bases Numéricas</w:t>
      </w:r>
      <w:r>
        <w:rPr>
          <w:rFonts w:ascii="Times New Roman" w:cs="Times New Roman" w:eastAsia="Times New Roman" w:hAnsi="Times New Roman"/>
          <w:sz w:val="22"/>
          <w:szCs w:val="22"/>
        </w:rPr>
        <w:t xml:space="preserve">, una aplicación de escritorio que permite convertir números enteros positivos entre los sistemas de numeración decimal, binario, octal y hexadecimal. El documento está elaborado conforme al estándar </w:t>
      </w:r>
      <w:r>
        <w:rPr>
          <w:rFonts w:ascii="Times New Roman" w:cs="Times New Roman" w:eastAsia="Times New Roman" w:hAnsi="Times New Roman"/>
          <w:i/>
          <w:iCs/>
          <w:sz w:val="22"/>
          <w:szCs w:val="22"/>
        </w:rPr>
        <w:t xml:space="preserve">IEEE Std 1063-2001 – Software User Documentation</w:t>
      </w:r>
      <w:r>
        <w:rPr>
          <w:rFonts w:ascii="Times New Roman" w:cs="Times New Roman" w:eastAsia="Times New Roman" w:hAnsi="Times New Roman"/>
          <w:sz w:val="22"/>
          <w:szCs w:val="22"/>
        </w:rPr>
        <w:t xml:space="preserve">, cubriendo las instrucciones de uso, descripción de la interfaz gráfica y los procedimientos operativos necesarios para que cualquier usuario final pueda aprovechar la herramienta de forma eficaz y sin errores.</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1.2 Alcance</w:t>
      </w:r>
    </w:p>
    <w:p>
      <w:pPr>
        <w:spacing w:after="80" w:before="80" w:line="276"/>
        <w:jc w:val="both"/>
      </w:pPr>
      <w:r>
        <w:rPr>
          <w:rFonts w:ascii="Times New Roman" w:cs="Times New Roman" w:eastAsia="Times New Roman" w:hAnsi="Times New Roman"/>
          <w:sz w:val="22"/>
          <w:szCs w:val="22"/>
        </w:rPr>
        <w:t xml:space="preserve">El presente manual abarca la única pantalla de la aplicación, que concentra todas las funciones disponibles. No existen pestañas adicionales ni submódulos. Quedan fuera del alcance de este documento los aspectos de instalación del sistema operativo base o de dependencias de terceros.</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1.3 Audiencia objetivo</w:t>
      </w:r>
    </w:p>
    <w:p>
      <w:pPr>
        <w:spacing w:after="80" w:before="80" w:line="276"/>
        <w:jc w:val="both"/>
      </w:pPr>
      <w:r>
        <w:rPr>
          <w:rFonts w:ascii="Times New Roman" w:cs="Times New Roman" w:eastAsia="Times New Roman" w:hAnsi="Times New Roman"/>
          <w:sz w:val="22"/>
          <w:szCs w:val="22"/>
        </w:rPr>
        <w:t xml:space="preserve">Este manual está dirigido a:</w:t>
      </w:r>
    </w:p>
    <w:p>
      <w:pPr>
        <w:pStyle w:val="ListParagraph"/>
        <w:numPr>
          <w:ilvl w:val="0"/>
          <w:numId w:val="2"/>
        </w:numPr>
        <w:spacing w:after="60" w:before="60"/>
      </w:pPr>
      <w:r>
        <w:rPr>
          <w:rFonts w:ascii="Times New Roman" w:cs="Times New Roman" w:eastAsia="Times New Roman" w:hAnsi="Times New Roman"/>
          <w:sz w:val="22"/>
          <w:szCs w:val="22"/>
        </w:rPr>
        <w:t xml:space="preserve">Estudiantes de ciencias de la computación, electrónica o áreas afines que requieran convertir valores entre bases numéricas.</w:t>
      </w:r>
    </w:p>
    <w:p>
      <w:pPr>
        <w:pStyle w:val="ListParagraph"/>
        <w:numPr>
          <w:ilvl w:val="0"/>
          <w:numId w:val="2"/>
        </w:numPr>
        <w:spacing w:after="60" w:before="60"/>
      </w:pPr>
      <w:r>
        <w:rPr>
          <w:rFonts w:ascii="Times New Roman" w:cs="Times New Roman" w:eastAsia="Times New Roman" w:hAnsi="Times New Roman"/>
          <w:sz w:val="22"/>
          <w:szCs w:val="22"/>
        </w:rPr>
        <w:t xml:space="preserve">Profesionales técnicos que necesiten verificar representaciones de datos en distintos sistemas de numeración.</w:t>
      </w:r>
    </w:p>
    <w:p>
      <w:pPr>
        <w:pStyle w:val="ListParagraph"/>
        <w:numPr>
          <w:ilvl w:val="0"/>
          <w:numId w:val="2"/>
        </w:numPr>
        <w:spacing w:after="60" w:before="60"/>
      </w:pPr>
      <w:r>
        <w:rPr>
          <w:rFonts w:ascii="Times New Roman" w:cs="Times New Roman" w:eastAsia="Times New Roman" w:hAnsi="Times New Roman"/>
          <w:sz w:val="22"/>
          <w:szCs w:val="22"/>
        </w:rPr>
        <w:t xml:space="preserve">Usuarios en general sin conocimientos previos de conversión de bases.</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1.4 Convenciones tipográficas</w:t>
      </w:r>
    </w:p>
    <w:p>
      <w:pPr>
        <w:spacing w:after="80" w:before="80" w:line="276"/>
        <w:jc w:val="both"/>
      </w:pPr>
      <w:r>
        <w:rPr>
          <w:rFonts w:ascii="Times New Roman" w:cs="Times New Roman" w:eastAsia="Times New Roman" w:hAnsi="Times New Roman"/>
          <w:sz w:val="22"/>
          <w:szCs w:val="22"/>
        </w:rPr>
        <w:t xml:space="preserve">A lo largo del documento se emplean las siguientes convenciones:</w:t>
      </w:r>
    </w:p>
    <w:tbl>
      <w:tblPr>
        <w:tblW w:type="dxa" w:w="9360"/>
      </w:tblPr>
      <w:tblGrid>
        <w:gridCol w:w="2800"/>
        <w:gridCol w:w="6560"/>
      </w:tblGrid>
      <w:tr>
        <w:tc>
          <w:tcPr>
            <w:tcW w:type="dxa" w:w="2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Convención</w:t>
            </w:r>
          </w:p>
        </w:tc>
        <w:tc>
          <w:tcPr>
            <w:tcW w:type="dxa" w:w="6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Significado</w:t>
            </w:r>
          </w:p>
        </w:tc>
      </w:tr>
      <w:tr>
        <w:tc>
          <w:tcPr>
            <w:tcW w:type="dxa" w:w="28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Negrita</w:t>
            </w:r>
          </w:p>
        </w:tc>
        <w:tc>
          <w:tcPr>
            <w:tcW w:type="dxa" w:w="656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Nombre de botón, control o elemento de interfaz gráfica.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Cursiva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Términos técnicos o referencias a estándares.</w:t>
            </w:r>
          </w:p>
        </w:tc>
      </w:tr>
      <w:tr>
        <w:tc>
          <w:tcPr>
            <w:tcW w:type="dxa" w:w="28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MAYÚSCULAS</w:t>
            </w:r>
          </w:p>
        </w:tc>
        <w:tc>
          <w:tcPr>
            <w:tcW w:type="dxa" w:w="656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Etiqueta exacta que aparece en la interfaz del programa.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[Corchetes]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Valores opcionales o de ejemplo.</w:t>
            </w:r>
          </w:p>
        </w:tc>
      </w:tr>
    </w:tbl>
    <w:p>
      <w:pPr>
        <w:spacing w:after="60" w:before="60"/>
      </w:pPr>
      <w:r>
        <w:t xml:space="preserve"/>
      </w:r>
    </w:p>
    <w:p>
      <w:pPr>
        <w:pStyle w:val="Heading1"/>
      </w:pPr>
      <w:r>
        <w:rPr>
          <w:rFonts w:ascii="Times New Roman" w:cs="Times New Roman" w:eastAsia="Times New Roman" w:hAnsi="Times New Roman"/>
          <w:b/>
          <w:bCs/>
          <w:color w:val="1F3864"/>
          <w:sz w:val="28"/>
          <w:szCs w:val="28"/>
        </w:rPr>
        <w:t xml:space="preserve">2. Descripción general del sistema</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2.1 Funcionalidad principal</w:t>
      </w:r>
    </w:p>
    <w:p>
      <w:pPr>
        <w:spacing w:after="80" w:before="80" w:line="276"/>
        <w:jc w:val="both"/>
      </w:pPr>
      <w:r>
        <w:rPr>
          <w:rFonts w:ascii="Times New Roman" w:cs="Times New Roman" w:eastAsia="Times New Roman" w:hAnsi="Times New Roman"/>
          <w:sz w:val="22"/>
          <w:szCs w:val="22"/>
        </w:rPr>
        <w:t xml:space="preserve">La </w:t>
      </w:r>
      <w:r>
        <w:rPr>
          <w:rFonts w:ascii="Times New Roman" w:cs="Times New Roman" w:eastAsia="Times New Roman" w:hAnsi="Times New Roman"/>
          <w:b/>
          <w:bCs/>
          <w:sz w:val="22"/>
          <w:szCs w:val="22"/>
        </w:rPr>
        <w:t xml:space="preserve">Calculadora de Bases Numéricas</w:t>
      </w:r>
      <w:r>
        <w:rPr>
          <w:rFonts w:ascii="Times New Roman" w:cs="Times New Roman" w:eastAsia="Times New Roman" w:hAnsi="Times New Roman"/>
          <w:sz w:val="22"/>
          <w:szCs w:val="22"/>
        </w:rPr>
        <w:t xml:space="preserve"> convierte un número entero positivo desde una base de origen seleccionada por el usuario hacia una o varias bases de destino. Las bases soportadas son:</w:t>
      </w:r>
    </w:p>
    <w:p>
      <w:pPr>
        <w:pStyle w:val="ListParagraph"/>
        <w:numPr>
          <w:ilvl w:val="0"/>
          <w:numId w:val="2"/>
        </w:numPr>
        <w:spacing w:after="60" w:before="60"/>
      </w:pPr>
      <w:r>
        <w:rPr>
          <w:rFonts w:ascii="Times New Roman" w:cs="Times New Roman" w:eastAsia="Times New Roman" w:hAnsi="Times New Roman"/>
          <w:sz w:val="22"/>
          <w:szCs w:val="22"/>
        </w:rPr>
        <w:t xml:space="preserve">Decimal (base 10): dígitos del 0 al 9.</w:t>
      </w:r>
    </w:p>
    <w:p>
      <w:pPr>
        <w:pStyle w:val="ListParagraph"/>
        <w:numPr>
          <w:ilvl w:val="0"/>
          <w:numId w:val="2"/>
        </w:numPr>
        <w:spacing w:after="60" w:before="60"/>
      </w:pPr>
      <w:r>
        <w:rPr>
          <w:rFonts w:ascii="Times New Roman" w:cs="Times New Roman" w:eastAsia="Times New Roman" w:hAnsi="Times New Roman"/>
          <w:sz w:val="22"/>
          <w:szCs w:val="22"/>
        </w:rPr>
        <w:t xml:space="preserve">Binario (base 2): dígitos 0 y 1.</w:t>
      </w:r>
    </w:p>
    <w:p>
      <w:pPr>
        <w:pStyle w:val="ListParagraph"/>
        <w:numPr>
          <w:ilvl w:val="0"/>
          <w:numId w:val="2"/>
        </w:numPr>
        <w:spacing w:after="60" w:before="60"/>
      </w:pPr>
      <w:r>
        <w:rPr>
          <w:rFonts w:ascii="Times New Roman" w:cs="Times New Roman" w:eastAsia="Times New Roman" w:hAnsi="Times New Roman"/>
          <w:sz w:val="22"/>
          <w:szCs w:val="22"/>
        </w:rPr>
        <w:t xml:space="preserve">Octal (base 8): dígitos del 0 al 7.</w:t>
      </w:r>
    </w:p>
    <w:p>
      <w:pPr>
        <w:pStyle w:val="ListParagraph"/>
        <w:numPr>
          <w:ilvl w:val="0"/>
          <w:numId w:val="2"/>
        </w:numPr>
        <w:spacing w:after="60" w:before="60"/>
      </w:pPr>
      <w:r>
        <w:rPr>
          <w:rFonts w:ascii="Times New Roman" w:cs="Times New Roman" w:eastAsia="Times New Roman" w:hAnsi="Times New Roman"/>
          <w:sz w:val="22"/>
          <w:szCs w:val="22"/>
        </w:rPr>
        <w:t xml:space="preserve">Hexadecimal (base 16): dígitos del 0 al 9 y letras A–F.</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2.2 Restricciones del sistema</w:t>
      </w:r>
    </w:p>
    <w:p>
      <w:pPr>
        <w:spacing w:after="80" w:before="80" w:line="276"/>
        <w:jc w:val="both"/>
      </w:pPr>
      <w:r>
        <w:rPr>
          <w:rFonts w:ascii="Times New Roman" w:cs="Times New Roman" w:eastAsia="Times New Roman" w:hAnsi="Times New Roman"/>
          <w:sz w:val="22"/>
          <w:szCs w:val="22"/>
        </w:rPr>
        <w:t xml:space="preserve">La aplicación opera bajo las siguientes restricciones:</w:t>
      </w:r>
    </w:p>
    <w:p>
      <w:pPr>
        <w:pStyle w:val="ListParagraph"/>
        <w:numPr>
          <w:ilvl w:val="0"/>
          <w:numId w:val="2"/>
        </w:numPr>
        <w:spacing w:after="60" w:before="60"/>
      </w:pPr>
      <w:r>
        <w:rPr>
          <w:rFonts w:ascii="Times New Roman" w:cs="Times New Roman" w:eastAsia="Times New Roman" w:hAnsi="Times New Roman"/>
          <w:sz w:val="22"/>
          <w:szCs w:val="22"/>
        </w:rPr>
        <w:t xml:space="preserve">Solo acepta números enteros positivos (sin signo negativo ni punto decimal). Es responsabilidad del usuario ingresar valores correctos para la base seleccionada.</w:t>
      </w:r>
    </w:p>
    <w:p>
      <w:pPr>
        <w:pStyle w:val="ListParagraph"/>
        <w:numPr>
          <w:ilvl w:val="0"/>
          <w:numId w:val="2"/>
        </w:numPr>
        <w:spacing w:after="60" w:before="60"/>
      </w:pPr>
      <w:r>
        <w:rPr>
          <w:rFonts w:ascii="Times New Roman" w:cs="Times New Roman" w:eastAsia="Times New Roman" w:hAnsi="Times New Roman"/>
          <w:sz w:val="22"/>
          <w:szCs w:val="22"/>
        </w:rPr>
        <w:t xml:space="preserve">El campo de texto no puede estar vacío; si se presiona un botón de conversión sin haber ingresado datos, el sistema muestra el mensaje Ingrese un número primero.</w:t>
      </w:r>
    </w:p>
    <w:p>
      <w:pPr>
        <w:pStyle w:val="ListParagraph"/>
        <w:numPr>
          <w:ilvl w:val="0"/>
          <w:numId w:val="2"/>
        </w:numPr>
        <w:spacing w:after="60" w:before="60"/>
      </w:pPr>
      <w:r>
        <w:rPr>
          <w:rFonts w:ascii="Times New Roman" w:cs="Times New Roman" w:eastAsia="Times New Roman" w:hAnsi="Times New Roman"/>
          <w:sz w:val="22"/>
          <w:szCs w:val="22"/>
        </w:rPr>
        <w:t xml:space="preserve">Al seleccionar una base de origen diferente, el campo de texto y el resultado se limpian automáticamente.</w:t>
      </w:r>
    </w:p>
    <w:p>
      <w:pPr>
        <w:spacing w:after="60" w:before="60"/>
      </w:pPr>
      <w:r>
        <w:t xml:space="preserve"/>
      </w:r>
    </w:p>
    <w:p>
      <w:pPr>
        <w:pStyle w:val="Heading1"/>
      </w:pPr>
      <w:r>
        <w:rPr>
          <w:rFonts w:ascii="Times New Roman" w:cs="Times New Roman" w:eastAsia="Times New Roman" w:hAnsi="Times New Roman"/>
          <w:b/>
          <w:bCs/>
          <w:color w:val="1F3864"/>
          <w:sz w:val="28"/>
          <w:szCs w:val="28"/>
        </w:rPr>
        <w:t xml:space="preserve">3. Descripción de la interfaz gráfica de usuario</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La aplicación consta de una única ventana denominada </w:t>
      </w:r>
      <w:r>
        <w:rPr>
          <w:rFonts w:ascii="Times New Roman" w:cs="Times New Roman" w:eastAsia="Times New Roman" w:hAnsi="Times New Roman"/>
          <w:b/>
          <w:bCs/>
          <w:sz w:val="22"/>
          <w:szCs w:val="22"/>
        </w:rPr>
        <w:t xml:space="preserve">Calculadora de bases</w:t>
      </w:r>
      <w:r>
        <w:rPr>
          <w:rFonts w:ascii="Times New Roman" w:cs="Times New Roman" w:eastAsia="Times New Roman" w:hAnsi="Times New Roman"/>
          <w:sz w:val="22"/>
          <w:szCs w:val="22"/>
        </w:rPr>
        <w:t xml:space="preserve">. A continuación se describen sus componentes, referenciados en la Figura 1.</w:t>
      </w:r>
    </w:p>
    <w:p>
      <w:pPr>
        <w:spacing w:after="60" w:before="60"/>
      </w:pPr>
      <w:r>
        <w:t xml:space="preserve"/>
      </w:r>
    </w:p>
    <w:p>
      <w:pPr>
        <w:pBdr>
          <w:top w:val="single" w:color="AAAAAA" w:sz="4"/>
          <w:bottom w:val="single" w:color="AAAAAA" w:sz="4"/>
          <w:left w:val="single" w:color="AAAAAA" w:sz="4"/>
          <w:right w:val="single" w:color="AAAAAA" w:sz="4"/>
        </w:pBdr>
        <w:spacing w:after="60" w:before="120"/>
        <w:jc w:val="center"/>
      </w:pPr>
      <w:r>
        <w:rPr>
          <w:rFonts w:ascii="Times New Roman" w:cs="Times New Roman" w:eastAsia="Times New Roman" w:hAnsi="Times New Roman"/>
          <w:i/>
          <w:iCs/>
          <w:color w:val="888888"/>
          <w:sz w:val="18"/>
          <w:szCs w:val="18"/>
        </w:rPr>
        <w:t xml:space="preserve">[ Figura 1 — Vista de la pantalla principal de la Calculadora de Bases Numéricas ]</w:t>
      </w:r>
    </w:p>
    <w:p>
      <w:pPr>
        <w:spacing w:after="80" w:before="80"/>
        <w:jc w:val="center"/>
      </w:pPr>
      <w:r>
        <w:rPr>
          <w:rFonts w:ascii="Times New Roman" w:cs="Times New Roman" w:eastAsia="Times New Roman" w:hAnsi="Times New Roman"/>
          <w:i/>
          <w:iCs/>
          <w:sz w:val="22"/>
          <w:szCs w:val="22"/>
        </w:rPr>
        <w:t xml:space="preserve">Figura 1. Pantalla principal de la Calculadora de Bases Numéricas.</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3.1 Barra de título</w:t>
      </w:r>
    </w:p>
    <w:p>
      <w:pPr>
        <w:spacing w:after="80" w:before="80" w:line="276"/>
        <w:jc w:val="both"/>
      </w:pPr>
      <w:r>
        <w:rPr>
          <w:rFonts w:ascii="Times New Roman" w:cs="Times New Roman" w:eastAsia="Times New Roman" w:hAnsi="Times New Roman"/>
          <w:sz w:val="22"/>
          <w:szCs w:val="22"/>
        </w:rPr>
        <w:t xml:space="preserve">Ubicada en la parte superior de la ventana, muestra el texto </w:t>
      </w:r>
      <w:r>
        <w:rPr>
          <w:rFonts w:ascii="Times New Roman" w:cs="Times New Roman" w:eastAsia="Times New Roman" w:hAnsi="Times New Roman"/>
          <w:b/>
          <w:bCs/>
          <w:sz w:val="22"/>
          <w:szCs w:val="22"/>
        </w:rPr>
        <w:t xml:space="preserve">Calculadora de bases</w:t>
      </w:r>
      <w:r>
        <w:rPr>
          <w:rFonts w:ascii="Times New Roman" w:cs="Times New Roman" w:eastAsia="Times New Roman" w:hAnsi="Times New Roman"/>
          <w:sz w:val="22"/>
          <w:szCs w:val="22"/>
        </w:rPr>
        <w:t xml:space="preserve"> junto con los controles estándar del sistema operativo para minimizar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maximizar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y cerrar (</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la ventana. Esta zona no requiere interacción del usuario para el funcionamiento del programa.</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3.2 Sección «Selecciona el tipo de ingreso»</w:t>
      </w:r>
    </w:p>
    <w:p>
      <w:pPr>
        <w:spacing w:after="80" w:before="80" w:line="276"/>
        <w:jc w:val="both"/>
      </w:pPr>
      <w:r>
        <w:rPr>
          <w:rFonts w:ascii="Times New Roman" w:cs="Times New Roman" w:eastAsia="Times New Roman" w:hAnsi="Times New Roman"/>
          <w:sz w:val="22"/>
          <w:szCs w:val="22"/>
        </w:rPr>
        <w:t xml:space="preserve">En la parte superior del área de trabajo aparece el encabezado </w:t>
      </w:r>
      <w:r>
        <w:rPr>
          <w:rFonts w:ascii="Times New Roman" w:cs="Times New Roman" w:eastAsia="Times New Roman" w:hAnsi="Times New Roman"/>
          <w:b/>
          <w:bCs/>
          <w:sz w:val="22"/>
          <w:szCs w:val="22"/>
        </w:rPr>
        <w:t xml:space="preserve">Selecciona el tipo de ingreso</w:t>
      </w:r>
      <w:r>
        <w:rPr>
          <w:rFonts w:ascii="Times New Roman" w:cs="Times New Roman" w:eastAsia="Times New Roman" w:hAnsi="Times New Roman"/>
          <w:sz w:val="22"/>
          <w:szCs w:val="22"/>
        </w:rPr>
        <w:t xml:space="preserve">. Debajo de este texto se presentan cuatro botones de selección de base de origen:</w:t>
      </w:r>
    </w:p>
    <w:p>
      <w:pPr>
        <w:spacing w:after="60" w:before="60"/>
      </w:pPr>
      <w:r>
        <w:t xml:space="preserve"/>
      </w:r>
    </w:p>
    <w:tbl>
      <w:tblPr>
        <w:tblW w:type="dxa" w:w="9360"/>
      </w:tblPr>
      <w:tblGrid>
        <w:gridCol w:w="1800"/>
        <w:gridCol w:w="2000"/>
        <w:gridCol w:w="5560"/>
      </w:tblGrid>
      <w:t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Botón</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Base</w:t>
            </w:r>
          </w:p>
        </w:tc>
        <w:tc>
          <w:tcPr>
            <w:tcW w:type="dxa" w:w="5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Descripción</w:t>
            </w:r>
          </w:p>
        </w:tc>
      </w:tr>
      <w:tr>
        <w:tc>
          <w:tcPr>
            <w:tcW w:type="dxa" w:w="18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DECIMAL</w:t>
            </w:r>
          </w:p>
        </w:tc>
        <w:tc>
          <w:tcPr>
            <w:tcW w:type="dxa" w:w="20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Base 10</w:t>
            </w:r>
          </w:p>
        </w:tc>
        <w:tc>
          <w:tcPr>
            <w:tcW w:type="dxa" w:w="556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Indica que el número a convertir está expresado en sistema decimal.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BINARIO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Base 2</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Indica que el número a convertir está expresado en sistema binario.</w:t>
            </w:r>
          </w:p>
        </w:tc>
      </w:tr>
      <w:tr>
        <w:tc>
          <w:tcPr>
            <w:tcW w:type="dxa" w:w="18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OCTAL</w:t>
            </w:r>
          </w:p>
        </w:tc>
        <w:tc>
          <w:tcPr>
            <w:tcW w:type="dxa" w:w="20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Base 8</w:t>
            </w:r>
          </w:p>
        </w:tc>
        <w:tc>
          <w:tcPr>
            <w:tcW w:type="dxa" w:w="556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Indica que el número a convertir está expresado en sistema octal.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HEXADECIMAL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Base 16</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Indica que el número a convertir está expresado en sistema hexadecimal.</w:t>
            </w:r>
          </w:p>
        </w:tc>
      </w:tr>
    </w:tbl>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Solo puede estar activo un botón de origen a la vez. El botón actualmente seleccionado se identifica visualmente mediante un reborde azul a su alrededor; los demás botones permanecen sin ese indicador. Al cambiar de base de origen, el campo de texto se limpia automáticamente y cualquier resultado previamente mostrado desaparece, de forma que cada conversión parte siempre de un estado limpio. El texto de sugerencia del campo se actualiza según la base activa para indicar los caracteres aceptados.</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3.3 Campo de entrada de datos</w:t>
      </w:r>
    </w:p>
    <w:p>
      <w:pPr>
        <w:spacing w:after="80" w:before="80" w:line="276"/>
        <w:jc w:val="both"/>
      </w:pPr>
      <w:r>
        <w:rPr>
          <w:rFonts w:ascii="Times New Roman" w:cs="Times New Roman" w:eastAsia="Times New Roman" w:hAnsi="Times New Roman"/>
          <w:sz w:val="22"/>
          <w:szCs w:val="22"/>
        </w:rPr>
        <w:t xml:space="preserve">El campo de texto central muestra un texto de sugerencia cuando está vacío, cuyo contenido varía según la base de origen activa:</w:t>
      </w:r>
    </w:p>
    <w:p>
      <w:pPr>
        <w:numPr>
          <w:ilvl w:val="0"/>
          <w:numId w:val="1"/>
        </w:numPr>
        <w:spacing w:after="60" w:before="60"/>
      </w:pPr>
      <w:r>
        <w:rPr>
          <w:rFonts w:ascii="Times New Roman" w:cs="Times New Roman" w:eastAsia="Times New Roman" w:hAnsi="Times New Roman"/>
          <w:b/>
          <w:bCs/>
          <w:sz w:val="22"/>
          <w:szCs w:val="22"/>
        </w:rPr>
        <w:t xml:space="preserve">DECIMAL: </w:t>
      </w:r>
      <w:r>
        <w:rPr>
          <w:rFonts w:ascii="Times New Roman" w:cs="Times New Roman" w:eastAsia="Times New Roman" w:hAnsi="Times New Roman"/>
          <w:i/>
          <w:iCs/>
          <w:sz w:val="22"/>
          <w:szCs w:val="22"/>
        </w:rPr>
        <w:t xml:space="preserve">Ingrese números enteros positivos</w:t>
      </w:r>
    </w:p>
    <w:p>
      <w:pPr>
        <w:numPr>
          <w:ilvl w:val="0"/>
          <w:numId w:val="1"/>
        </w:numPr>
        <w:spacing w:after="60" w:before="60"/>
      </w:pPr>
      <w:r>
        <w:rPr>
          <w:rFonts w:ascii="Times New Roman" w:cs="Times New Roman" w:eastAsia="Times New Roman" w:hAnsi="Times New Roman"/>
          <w:b/>
          <w:bCs/>
          <w:sz w:val="22"/>
          <w:szCs w:val="22"/>
        </w:rPr>
        <w:t xml:space="preserve">BINARIO: </w:t>
      </w:r>
      <w:r>
        <w:rPr>
          <w:rFonts w:ascii="Times New Roman" w:cs="Times New Roman" w:eastAsia="Times New Roman" w:hAnsi="Times New Roman"/>
          <w:i/>
          <w:iCs/>
          <w:sz w:val="22"/>
          <w:szCs w:val="22"/>
        </w:rPr>
        <w:t xml:space="preserve">Ingrese únicamente 0 o 1</w:t>
      </w:r>
    </w:p>
    <w:p>
      <w:pPr>
        <w:numPr>
          <w:ilvl w:val="0"/>
          <w:numId w:val="1"/>
        </w:numPr>
        <w:spacing w:after="60" w:before="60"/>
      </w:pPr>
      <w:r>
        <w:rPr>
          <w:rFonts w:ascii="Times New Roman" w:cs="Times New Roman" w:eastAsia="Times New Roman" w:hAnsi="Times New Roman"/>
          <w:b/>
          <w:bCs/>
          <w:sz w:val="22"/>
          <w:szCs w:val="22"/>
        </w:rPr>
        <w:t xml:space="preserve">OCTAL: </w:t>
      </w:r>
      <w:r>
        <w:rPr>
          <w:rFonts w:ascii="Times New Roman" w:cs="Times New Roman" w:eastAsia="Times New Roman" w:hAnsi="Times New Roman"/>
          <w:i/>
          <w:iCs/>
          <w:sz w:val="22"/>
          <w:szCs w:val="22"/>
        </w:rPr>
        <w:t xml:space="preserve">Ingrese únicamente dígitos 0-7</w:t>
      </w:r>
    </w:p>
    <w:p>
      <w:pPr>
        <w:numPr>
          <w:ilvl w:val="0"/>
          <w:numId w:val="1"/>
        </w:numPr>
        <w:spacing w:after="60" w:before="60"/>
      </w:pPr>
      <w:r>
        <w:rPr>
          <w:rFonts w:ascii="Times New Roman" w:cs="Times New Roman" w:eastAsia="Times New Roman" w:hAnsi="Times New Roman"/>
          <w:b/>
          <w:bCs/>
          <w:sz w:val="22"/>
          <w:szCs w:val="22"/>
        </w:rPr>
        <w:t xml:space="preserve">HEXADECIMAL: </w:t>
      </w:r>
      <w:r>
        <w:rPr>
          <w:rFonts w:ascii="Times New Roman" w:cs="Times New Roman" w:eastAsia="Times New Roman" w:hAnsi="Times New Roman"/>
          <w:i/>
          <w:iCs/>
          <w:sz w:val="22"/>
          <w:szCs w:val="22"/>
        </w:rPr>
        <w:t xml:space="preserve">Ingrese 0-9, A-F (mayúsculas o minúsculas)</w:t>
      </w:r>
    </w:p>
    <w:p>
      <w:pPr>
        <w:spacing w:after="80" w:before="80" w:line="276"/>
        <w:jc w:val="both"/>
      </w:pPr>
      <w:r>
        <w:rPr>
          <w:rFonts w:ascii="Times New Roman" w:cs="Times New Roman" w:eastAsia="Times New Roman" w:hAnsi="Times New Roman"/>
          <w:sz w:val="22"/>
          <w:szCs w:val="22"/>
        </w:rPr>
        <w:t xml:space="preserve">Es indispensable ingresar únicamente valores correctos para la base seleccionada, ya que el sistema no realiza validación adicional sobre los caracteres introducidos. El campo ocupa el ancho completo del área de trabajo.</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3.4 Botones de conversión</w:t>
      </w:r>
    </w:p>
    <w:p>
      <w:pPr>
        <w:spacing w:after="80" w:before="80" w:line="276"/>
        <w:jc w:val="both"/>
      </w:pPr>
      <w:r>
        <w:rPr>
          <w:rFonts w:ascii="Times New Roman" w:cs="Times New Roman" w:eastAsia="Times New Roman" w:hAnsi="Times New Roman"/>
          <w:sz w:val="22"/>
          <w:szCs w:val="22"/>
        </w:rPr>
        <w:t xml:space="preserve">En la parte inferior del área de trabajo se ubican tres botones de acción que ejecutan la conversión hacia la base de destino correspondiente:</w:t>
      </w:r>
    </w:p>
    <w:p>
      <w:pPr>
        <w:spacing w:after="60" w:before="60"/>
      </w:pPr>
      <w:r>
        <w:t xml:space="preserve"/>
      </w:r>
    </w:p>
    <w:tbl>
      <w:tblPr>
        <w:tblW w:type="dxa" w:w="9360"/>
      </w:tblPr>
      <w:tblGrid>
        <w:gridCol w:w="2600"/>
        <w:gridCol w:w="1800"/>
        <w:gridCol w:w="4960"/>
      </w:tblGrid>
      <w:tr>
        <w:tc>
          <w:tcPr>
            <w:tcW w:type="dxa" w:w="2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Botón</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Base destino</w:t>
            </w:r>
          </w:p>
        </w:tc>
        <w:tc>
          <w:tcPr>
            <w:tcW w:type="dxa" w:w="4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Acción</w:t>
            </w:r>
          </w:p>
        </w:tc>
      </w:tr>
      <w:tr>
        <w:tc>
          <w:tcPr>
            <w:tcW w:type="dxa" w:w="26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Convertir a BINARIO</w:t>
            </w:r>
          </w:p>
        </w:tc>
        <w:tc>
          <w:tcPr>
            <w:tcW w:type="dxa" w:w="18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Base 2</w:t>
            </w:r>
          </w:p>
        </w:tc>
        <w:tc>
          <w:tcPr>
            <w:tcW w:type="dxa" w:w="496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Convierte el número ingresado a su representación binaria.</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Convertir a OCTAL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Base 8</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Convierte el número ingresado a su representación octal.</w:t>
            </w:r>
          </w:p>
        </w:tc>
      </w:tr>
      <w:tr>
        <w:tc>
          <w:tcPr>
            <w:tcW w:type="dxa" w:w="26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Convertir a HEXADEC...</w:t>
            </w:r>
          </w:p>
        </w:tc>
        <w:tc>
          <w:tcPr>
            <w:tcW w:type="dxa" w:w="18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Base 16</w:t>
            </w:r>
          </w:p>
        </w:tc>
        <w:tc>
          <w:tcPr>
            <w:tcW w:type="dxa" w:w="496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Convierte el número ingresado a su representación hexadecimal.</w:t>
            </w:r>
          </w:p>
        </w:tc>
      </w:tr>
    </w:tbl>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3.5 Área de resultado</w:t>
      </w:r>
    </w:p>
    <w:p>
      <w:pPr>
        <w:spacing w:after="80" w:before="80" w:line="276"/>
        <w:jc w:val="both"/>
      </w:pPr>
      <w:r>
        <w:rPr>
          <w:rFonts w:ascii="Times New Roman" w:cs="Times New Roman" w:eastAsia="Times New Roman" w:hAnsi="Times New Roman"/>
          <w:sz w:val="22"/>
          <w:szCs w:val="22"/>
        </w:rPr>
        <w:t xml:space="preserve">Localizada debajo de los botones de conversión, esta zona permanece vacía hasta que el usuario ejecuta una conversión. Una vez realizada la operación, el sistema muestra en esta área únicamente el número convertido, sin texto adicional ni etiquetas (por ejemplo: 101010, FF, 37). Si el campo de texto está vacío al presionar un botón de conversión, el área de resultado muestra el mensaje Ingrese un número primero. Al cambiar la base de origen, el resultado desaparece y el área queda en blanco nuevamente.</w:t>
      </w:r>
    </w:p>
    <w:p>
      <w:pPr>
        <w:spacing w:after="60" w:before="60"/>
      </w:pPr>
      <w:r>
        <w:t xml:space="preserve"/>
      </w:r>
    </w:p>
    <w:p>
      <w:pPr>
        <w:pStyle w:val="Heading1"/>
      </w:pPr>
      <w:r>
        <w:rPr>
          <w:rFonts w:ascii="Times New Roman" w:cs="Times New Roman" w:eastAsia="Times New Roman" w:hAnsi="Times New Roman"/>
          <w:b/>
          <w:bCs/>
          <w:color w:val="1F3864"/>
          <w:sz w:val="28"/>
          <w:szCs w:val="28"/>
        </w:rPr>
        <w:t xml:space="preserve">4. Procedimientos operativos</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4.1 Procedimiento general de conversión</w:t>
      </w:r>
    </w:p>
    <w:p>
      <w:pPr>
        <w:spacing w:after="80" w:before="80" w:line="276"/>
        <w:jc w:val="both"/>
      </w:pPr>
      <w:r>
        <w:rPr>
          <w:rFonts w:ascii="Times New Roman" w:cs="Times New Roman" w:eastAsia="Times New Roman" w:hAnsi="Times New Roman"/>
          <w:sz w:val="22"/>
          <w:szCs w:val="22"/>
        </w:rPr>
        <w:t xml:space="preserve">Para convertir un número de una base a otra, el usuario debe seguir los siguientes pasos en el orden indicado:</w:t>
      </w:r>
    </w:p>
    <w:p>
      <w:pPr>
        <w:spacing w:after="60" w:before="60"/>
      </w:pPr>
      <w:r>
        <w:t xml:space="preserve"/>
      </w:r>
    </w:p>
    <w:p>
      <w:pPr>
        <w:pStyle w:val="ListParagraph"/>
        <w:numPr>
          <w:ilvl w:val="0"/>
          <w:numId w:val="3"/>
        </w:numPr>
        <w:spacing w:after="60" w:before="60"/>
      </w:pPr>
      <w:r>
        <w:rPr>
          <w:rFonts w:ascii="Times New Roman" w:cs="Times New Roman" w:eastAsia="Times New Roman" w:hAnsi="Times New Roman"/>
          <w:sz w:val="22"/>
          <w:szCs w:val="22"/>
        </w:rPr>
        <w:t xml:space="preserve">Seleccionar la base de origen: Haga clic en uno de los cuatro botones superiores (DECIMAL, BINARIO, OCTAL o HEXADECIMAL) que corresponda al sistema numérico en que está expresado su número.</w:t>
      </w:r>
    </w:p>
    <w:p>
      <w:pPr>
        <w:pStyle w:val="ListParagraph"/>
        <w:numPr>
          <w:ilvl w:val="0"/>
          <w:numId w:val="3"/>
        </w:numPr>
        <w:spacing w:after="60" w:before="60"/>
      </w:pPr>
      <w:r>
        <w:rPr>
          <w:rFonts w:ascii="Times New Roman" w:cs="Times New Roman" w:eastAsia="Times New Roman" w:hAnsi="Times New Roman"/>
          <w:sz w:val="22"/>
          <w:szCs w:val="22"/>
        </w:rPr>
        <w:t xml:space="preserve">Ingresar el número: Escriba en el campo de texto el valor entero positivo que desea convertir. Asegúrese de utilizar únicamente los caracteres válidos para la base seleccionada, ya que ingresar valores incorrectos producirá resultados erróneos.</w:t>
      </w:r>
    </w:p>
    <w:p>
      <w:pPr>
        <w:pStyle w:val="ListParagraph"/>
        <w:numPr>
          <w:ilvl w:val="0"/>
          <w:numId w:val="3"/>
        </w:numPr>
        <w:spacing w:after="60" w:before="60"/>
      </w:pPr>
      <w:r>
        <w:rPr>
          <w:rFonts w:ascii="Times New Roman" w:cs="Times New Roman" w:eastAsia="Times New Roman" w:hAnsi="Times New Roman"/>
          <w:sz w:val="22"/>
          <w:szCs w:val="22"/>
        </w:rPr>
        <w:t xml:space="preserve">Ejecutar la conversión: Haga clic en el botón de conversión de destino deseado (Convertir a BINARIO, Convertir a OCTAL o Convertir a HEXADEC...).</w:t>
      </w:r>
    </w:p>
    <w:p>
      <w:pPr>
        <w:pStyle w:val="ListParagraph"/>
        <w:numPr>
          <w:ilvl w:val="0"/>
          <w:numId w:val="3"/>
        </w:numPr>
        <w:spacing w:after="60" w:before="60"/>
      </w:pPr>
      <w:r>
        <w:rPr>
          <w:rFonts w:ascii="Times New Roman" w:cs="Times New Roman" w:eastAsia="Times New Roman" w:hAnsi="Times New Roman"/>
          <w:sz w:val="22"/>
          <w:szCs w:val="22"/>
        </w:rPr>
        <w:t xml:space="preserve">Visualizar el resultado: El resultado de la conversión aparecerá en el área de resultado, ubicada debajo de los botones de conversión.</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4.2 Ejemplos de operación</w:t>
      </w:r>
    </w:p>
    <w:p>
      <w:pPr>
        <w:spacing w:after="60" w:before="60"/>
      </w:pPr>
      <w:r>
        <w:t xml:space="preserve"/>
      </w:r>
    </w:p>
    <w:p>
      <w:pPr>
        <w:spacing w:after="80" w:before="80" w:line="276"/>
        <w:jc w:val="both"/>
      </w:pPr>
      <w:r>
        <w:rPr>
          <w:rFonts w:ascii="Times New Roman" w:cs="Times New Roman" w:eastAsia="Times New Roman" w:hAnsi="Times New Roman"/>
          <w:b/>
          <w:bCs/>
          <w:sz w:val="22"/>
          <w:szCs w:val="22"/>
        </w:rPr>
        <w:t xml:space="preserve">Ejemplo 1: </w:t>
      </w:r>
      <w:r>
        <w:rPr>
          <w:rFonts w:ascii="Times New Roman" w:cs="Times New Roman" w:eastAsia="Times New Roman" w:hAnsi="Times New Roman"/>
          <w:sz w:val="22"/>
          <w:szCs w:val="22"/>
        </w:rPr>
        <w:t xml:space="preserve">Conversión de Decimal a Binario</w:t>
      </w:r>
    </w:p>
    <w:p>
      <w:pPr>
        <w:pStyle w:val="ListParagraph"/>
        <w:numPr>
          <w:ilvl w:val="0"/>
          <w:numId w:val="2"/>
        </w:numPr>
        <w:spacing w:after="60" w:before="60"/>
      </w:pPr>
      <w:r>
        <w:rPr>
          <w:rFonts w:ascii="Times New Roman" w:cs="Times New Roman" w:eastAsia="Times New Roman" w:hAnsi="Times New Roman"/>
          <w:sz w:val="22"/>
          <w:szCs w:val="22"/>
        </w:rPr>
        <w:t xml:space="preserve">Clic en DECIMAL.</w:t>
      </w:r>
    </w:p>
    <w:p>
      <w:pPr>
        <w:pStyle w:val="ListParagraph"/>
        <w:numPr>
          <w:ilvl w:val="0"/>
          <w:numId w:val="2"/>
        </w:numPr>
        <w:spacing w:after="60" w:before="60"/>
      </w:pPr>
      <w:r>
        <w:rPr>
          <w:rFonts w:ascii="Times New Roman" w:cs="Times New Roman" w:eastAsia="Times New Roman" w:hAnsi="Times New Roman"/>
          <w:sz w:val="22"/>
          <w:szCs w:val="22"/>
        </w:rPr>
        <w:t xml:space="preserve">Ingresar 42 en el campo de texto.</w:t>
      </w:r>
    </w:p>
    <w:p>
      <w:pPr>
        <w:pStyle w:val="ListParagraph"/>
        <w:numPr>
          <w:ilvl w:val="0"/>
          <w:numId w:val="2"/>
        </w:numPr>
        <w:spacing w:after="60" w:before="60"/>
      </w:pPr>
      <w:r>
        <w:rPr>
          <w:rFonts w:ascii="Times New Roman" w:cs="Times New Roman" w:eastAsia="Times New Roman" w:hAnsi="Times New Roman"/>
          <w:sz w:val="22"/>
          <w:szCs w:val="22"/>
        </w:rPr>
        <w:t xml:space="preserve">Clic en Convertir a BINARIO.</w:t>
      </w:r>
    </w:p>
    <w:p>
      <w:pPr>
        <w:pStyle w:val="ListParagraph"/>
        <w:numPr>
          <w:ilvl w:val="0"/>
          <w:numId w:val="2"/>
        </w:numPr>
        <w:spacing w:after="60" w:before="60"/>
      </w:pPr>
      <w:r>
        <w:rPr>
          <w:rFonts w:ascii="Times New Roman" w:cs="Times New Roman" w:eastAsia="Times New Roman" w:hAnsi="Times New Roman"/>
          <w:sz w:val="22"/>
          <w:szCs w:val="22"/>
        </w:rPr>
        <w:t xml:space="preserve">Resultado mostrado: 101010.</w:t>
      </w:r>
    </w:p>
    <w:p>
      <w:pPr>
        <w:spacing w:after="60" w:before="60"/>
      </w:pPr>
      <w:r>
        <w:t xml:space="preserve"/>
      </w:r>
    </w:p>
    <w:p>
      <w:pPr>
        <w:spacing w:after="80" w:before="80" w:line="276"/>
        <w:jc w:val="both"/>
      </w:pPr>
      <w:r>
        <w:rPr>
          <w:rFonts w:ascii="Times New Roman" w:cs="Times New Roman" w:eastAsia="Times New Roman" w:hAnsi="Times New Roman"/>
          <w:b/>
          <w:bCs/>
          <w:sz w:val="22"/>
          <w:szCs w:val="22"/>
        </w:rPr>
        <w:t xml:space="preserve">Ejemplo 2: </w:t>
      </w:r>
      <w:r>
        <w:rPr>
          <w:rFonts w:ascii="Times New Roman" w:cs="Times New Roman" w:eastAsia="Times New Roman" w:hAnsi="Times New Roman"/>
          <w:sz w:val="22"/>
          <w:szCs w:val="22"/>
        </w:rPr>
        <w:t xml:space="preserve">Conversión de Binario a Hexadecimal</w:t>
      </w:r>
    </w:p>
    <w:p>
      <w:pPr>
        <w:pStyle w:val="ListParagraph"/>
        <w:numPr>
          <w:ilvl w:val="0"/>
          <w:numId w:val="2"/>
        </w:numPr>
        <w:spacing w:after="60" w:before="60"/>
      </w:pPr>
      <w:r>
        <w:rPr>
          <w:rFonts w:ascii="Times New Roman" w:cs="Times New Roman" w:eastAsia="Times New Roman" w:hAnsi="Times New Roman"/>
          <w:sz w:val="22"/>
          <w:szCs w:val="22"/>
        </w:rPr>
        <w:t xml:space="preserve">Clic en BINARIO.</w:t>
      </w:r>
    </w:p>
    <w:p>
      <w:pPr>
        <w:pStyle w:val="ListParagraph"/>
        <w:numPr>
          <w:ilvl w:val="0"/>
          <w:numId w:val="2"/>
        </w:numPr>
        <w:spacing w:after="60" w:before="60"/>
      </w:pPr>
      <w:r>
        <w:rPr>
          <w:rFonts w:ascii="Times New Roman" w:cs="Times New Roman" w:eastAsia="Times New Roman" w:hAnsi="Times New Roman"/>
          <w:sz w:val="22"/>
          <w:szCs w:val="22"/>
        </w:rPr>
        <w:t xml:space="preserve">Ingresar 11111111 en el campo de texto.</w:t>
      </w:r>
    </w:p>
    <w:p>
      <w:pPr>
        <w:pStyle w:val="ListParagraph"/>
        <w:numPr>
          <w:ilvl w:val="0"/>
          <w:numId w:val="2"/>
        </w:numPr>
        <w:spacing w:after="60" w:before="60"/>
      </w:pPr>
      <w:r>
        <w:rPr>
          <w:rFonts w:ascii="Times New Roman" w:cs="Times New Roman" w:eastAsia="Times New Roman" w:hAnsi="Times New Roman"/>
          <w:sz w:val="22"/>
          <w:szCs w:val="22"/>
        </w:rPr>
        <w:t xml:space="preserve">Clic en Convertir a HEXADEC...</w:t>
      </w:r>
    </w:p>
    <w:p>
      <w:pPr>
        <w:pStyle w:val="ListParagraph"/>
        <w:numPr>
          <w:ilvl w:val="0"/>
          <w:numId w:val="2"/>
        </w:numPr>
        <w:spacing w:after="60" w:before="60"/>
      </w:pPr>
      <w:r>
        <w:rPr>
          <w:rFonts w:ascii="Times New Roman" w:cs="Times New Roman" w:eastAsia="Times New Roman" w:hAnsi="Times New Roman"/>
          <w:sz w:val="22"/>
          <w:szCs w:val="22"/>
        </w:rPr>
        <w:t xml:space="preserve">Resultado mostrado: FF.</w:t>
      </w:r>
    </w:p>
    <w:p>
      <w:pPr>
        <w:spacing w:after="60" w:before="60"/>
      </w:pPr>
      <w:r>
        <w:t xml:space="preserve"/>
      </w:r>
    </w:p>
    <w:p>
      <w:pPr>
        <w:spacing w:after="80" w:before="80" w:line="276"/>
        <w:jc w:val="both"/>
      </w:pPr>
      <w:r>
        <w:rPr>
          <w:rFonts w:ascii="Times New Roman" w:cs="Times New Roman" w:eastAsia="Times New Roman" w:hAnsi="Times New Roman"/>
          <w:b/>
          <w:bCs/>
          <w:sz w:val="22"/>
          <w:szCs w:val="22"/>
        </w:rPr>
        <w:t xml:space="preserve">Ejemplo 3: </w:t>
      </w:r>
      <w:r>
        <w:rPr>
          <w:rFonts w:ascii="Times New Roman" w:cs="Times New Roman" w:eastAsia="Times New Roman" w:hAnsi="Times New Roman"/>
          <w:sz w:val="22"/>
          <w:szCs w:val="22"/>
        </w:rPr>
        <w:t xml:space="preserve">Conversión de Hexadecimal a Octal</w:t>
      </w:r>
    </w:p>
    <w:p>
      <w:pPr>
        <w:pStyle w:val="ListParagraph"/>
        <w:numPr>
          <w:ilvl w:val="0"/>
          <w:numId w:val="2"/>
        </w:numPr>
        <w:spacing w:after="60" w:before="60"/>
      </w:pPr>
      <w:r>
        <w:rPr>
          <w:rFonts w:ascii="Times New Roman" w:cs="Times New Roman" w:eastAsia="Times New Roman" w:hAnsi="Times New Roman"/>
          <w:sz w:val="22"/>
          <w:szCs w:val="22"/>
        </w:rPr>
        <w:t xml:space="preserve">Clic en HEXADECIMAL.</w:t>
      </w:r>
    </w:p>
    <w:p>
      <w:pPr>
        <w:pStyle w:val="ListParagraph"/>
        <w:numPr>
          <w:ilvl w:val="0"/>
          <w:numId w:val="2"/>
        </w:numPr>
        <w:spacing w:after="60" w:before="60"/>
      </w:pPr>
      <w:r>
        <w:rPr>
          <w:rFonts w:ascii="Times New Roman" w:cs="Times New Roman" w:eastAsia="Times New Roman" w:hAnsi="Times New Roman"/>
          <w:sz w:val="22"/>
          <w:szCs w:val="22"/>
        </w:rPr>
        <w:t xml:space="preserve">Ingresar 1F en el campo de texto.</w:t>
      </w:r>
    </w:p>
    <w:p>
      <w:pPr>
        <w:pStyle w:val="ListParagraph"/>
        <w:numPr>
          <w:ilvl w:val="0"/>
          <w:numId w:val="2"/>
        </w:numPr>
        <w:spacing w:after="60" w:before="60"/>
      </w:pPr>
      <w:r>
        <w:rPr>
          <w:rFonts w:ascii="Times New Roman" w:cs="Times New Roman" w:eastAsia="Times New Roman" w:hAnsi="Times New Roman"/>
          <w:sz w:val="22"/>
          <w:szCs w:val="22"/>
        </w:rPr>
        <w:t xml:space="preserve">Clic en Convertir a OCTAL.</w:t>
      </w:r>
    </w:p>
    <w:p>
      <w:pPr>
        <w:pStyle w:val="ListParagraph"/>
        <w:numPr>
          <w:ilvl w:val="0"/>
          <w:numId w:val="2"/>
        </w:numPr>
        <w:spacing w:after="60" w:before="60"/>
      </w:pPr>
      <w:r>
        <w:rPr>
          <w:rFonts w:ascii="Times New Roman" w:cs="Times New Roman" w:eastAsia="Times New Roman" w:hAnsi="Times New Roman"/>
          <w:sz w:val="22"/>
          <w:szCs w:val="22"/>
        </w:rPr>
        <w:t xml:space="preserve">Resultado mostrado: 37.</w:t>
      </w:r>
    </w:p>
    <w:p>
      <w:pPr>
        <w:spacing w:after="60" w:before="60"/>
      </w:pPr>
      <w:r>
        <w:t xml:space="preserve"/>
      </w:r>
    </w:p>
    <w:p>
      <w:pPr>
        <w:pStyle w:val="Heading2"/>
      </w:pPr>
      <w:r>
        <w:rPr>
          <w:rFonts w:ascii="Times New Roman" w:cs="Times New Roman" w:eastAsia="Times New Roman" w:hAnsi="Times New Roman"/>
          <w:b/>
          <w:bCs/>
          <w:color w:val="2E4057"/>
          <w:sz w:val="24"/>
          <w:szCs w:val="24"/>
        </w:rPr>
        <w:t xml:space="preserve">4.3 Realizar una nueva conversión</w:t>
      </w:r>
    </w:p>
    <w:p>
      <w:pPr>
        <w:spacing w:after="80" w:before="80" w:line="276"/>
        <w:jc w:val="both"/>
      </w:pPr>
      <w:r>
        <w:rPr>
          <w:rFonts w:ascii="Times New Roman" w:cs="Times New Roman" w:eastAsia="Times New Roman" w:hAnsi="Times New Roman"/>
          <w:sz w:val="22"/>
          <w:szCs w:val="22"/>
        </w:rPr>
        <w:t xml:space="preserve">Para realizar una conversión adicional, el usuario puede:</w:t>
      </w:r>
    </w:p>
    <w:p>
      <w:pPr>
        <w:pStyle w:val="ListParagraph"/>
        <w:numPr>
          <w:ilvl w:val="0"/>
          <w:numId w:val="2"/>
        </w:numPr>
        <w:spacing w:after="60" w:before="60"/>
      </w:pPr>
      <w:r>
        <w:rPr>
          <w:rFonts w:ascii="Times New Roman" w:cs="Times New Roman" w:eastAsia="Times New Roman" w:hAnsi="Times New Roman"/>
          <w:sz w:val="22"/>
          <w:szCs w:val="22"/>
        </w:rPr>
        <w:t xml:space="preserve">Borrar el contenido del campo de texto y escribir el nuevo número, manteniendo la misma base de origen, luego presionar el botón de conversión deseado.</w:t>
      </w:r>
    </w:p>
    <w:p>
      <w:pPr>
        <w:pStyle w:val="ListParagraph"/>
        <w:numPr>
          <w:ilvl w:val="0"/>
          <w:numId w:val="2"/>
        </w:numPr>
        <w:spacing w:after="60" w:before="60"/>
      </w:pPr>
      <w:r>
        <w:rPr>
          <w:rFonts w:ascii="Times New Roman" w:cs="Times New Roman" w:eastAsia="Times New Roman" w:hAnsi="Times New Roman"/>
          <w:sz w:val="22"/>
          <w:szCs w:val="22"/>
        </w:rPr>
        <w:t xml:space="preserve">Seleccionar una base de origen diferente: el sistema limpiará automáticamente el campo y el resultado; luego ingresar el nuevo número y presionar el botón de conversión correspondiente.</w:t>
      </w:r>
    </w:p>
    <w:p>
      <w:pPr>
        <w:spacing w:after="60" w:before="60"/>
      </w:pPr>
      <w:r>
        <w:t xml:space="preserve"/>
      </w:r>
    </w:p>
    <w:p>
      <w:pPr>
        <w:pStyle w:val="Heading1"/>
      </w:pPr>
      <w:r>
        <w:rPr>
          <w:rFonts w:ascii="Times New Roman" w:cs="Times New Roman" w:eastAsia="Times New Roman" w:hAnsi="Times New Roman"/>
          <w:b/>
          <w:bCs/>
          <w:color w:val="1F3864"/>
          <w:sz w:val="28"/>
          <w:szCs w:val="28"/>
        </w:rPr>
        <w:t xml:space="preserve">5. Mensajes y condiciones de error</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La siguiente tabla describe las situaciones de error más comunes que puede encontrar el usuario, su causa probable y la acción correctiva recomendada:</w:t>
      </w:r>
    </w:p>
    <w:p>
      <w:pPr>
        <w:spacing w:after="60" w:before="60"/>
      </w:pPr>
      <w:r>
        <w:t xml:space="preserve"/>
      </w:r>
    </w:p>
    <w:tbl>
      <w:tblPr>
        <w:tblW w:type="dxa" w:w="9360"/>
      </w:tblPr>
      <w:tblGrid>
        <w:gridCol w:w="2800"/>
        <w:gridCol w:w="3000"/>
        <w:gridCol w:w="3560"/>
      </w:tblGrid>
      <w:tr>
        <w:tc>
          <w:tcPr>
            <w:tcW w:type="dxa" w:w="2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Situación</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Causa probable</w:t>
            </w:r>
          </w:p>
        </w:tc>
        <w:tc>
          <w:tcPr>
            <w:tcW w:type="dxa" w:w="35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Acción correctiva</w:t>
            </w:r>
          </w:p>
        </w:tc>
      </w:tr>
      <w:tr>
        <w:tc>
          <w:tcPr>
            <w:tcW w:type="dxa" w:w="28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El campo de texto permanece vacío al presionar un botón de conversión.</w:t>
            </w:r>
          </w:p>
        </w:tc>
        <w:tc>
          <w:tcPr>
            <w:tcW w:type="dxa" w:w="30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No se ingresó ningún número antes de presionar el botón.</w:t>
            </w:r>
          </w:p>
        </w:tc>
        <w:tc>
          <w:tcPr>
            <w:tcW w:type="dxa" w:w="356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Ingrese un número entero positivo en el campo de texto. El sistema mostrará el mensaje Ingrese un número primero en el área de resultado como indicación.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resultado no se actualiza al cambiar la base de origen.</w:t>
            </w:r>
          </w:p>
        </w:tc>
        <w:tc>
          <w:tcPr>
            <w:tcW w:type="dxa" w:w="300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Este comportamiento es el esperado: al cambiar de base de origen el campo y el resultado se reinician automáticamente.</w:t>
            </w:r>
          </w:p>
        </w:tc>
        <w:tc>
          <w:tcPr>
            <w:tcW w:type="dxa" w:w="356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r>
              <w:rPr>
                <w:rFonts w:ascii="Times New Roman" w:cs="Times New Roman" w:eastAsia="Times New Roman" w:hAnsi="Times New Roman"/>
                <w:sz w:val="20"/>
                <w:szCs w:val="20"/>
              </w:rPr>
              <w:t xml:space="preserve">Ingrese el número en la nueva base seleccionada y presione el botón de conversión deseado.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se obtiene resultado al presionar conversión a Decimal.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existe botón de conversión a Decimal; es una base de entrada.</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Seleccione DECIMAL como base de origen para convertir desde Decimal hacia otra base.</w:t>
            </w:r>
          </w:p>
        </w:tc>
      </w:tr>
    </w:tbl>
    <w:p>
      <w:pPr>
        <w:spacing w:after="60" w:before="60"/>
      </w:pPr>
      <w:r>
        <w:t xml:space="preserve"/>
      </w:r>
    </w:p>
    <w:p>
      <w:pPr>
        <w:pStyle w:val="Heading1"/>
      </w:pPr>
      <w:r>
        <w:rPr>
          <w:rFonts w:ascii="Times New Roman" w:cs="Times New Roman" w:eastAsia="Times New Roman" w:hAnsi="Times New Roman"/>
          <w:b/>
          <w:bCs/>
          <w:color w:val="1F3864"/>
          <w:sz w:val="28"/>
          <w:szCs w:val="28"/>
        </w:rPr>
        <w:t xml:space="preserve">6. Referencia rápida de caracteres válidos por base</w:t>
      </w:r>
    </w:p>
    <w:p>
      <w:pPr>
        <w:spacing w:after="60" w:before="60"/>
      </w:pPr>
      <w:r>
        <w:t xml:space="preserve"/>
      </w:r>
    </w:p>
    <w:tbl>
      <w:tblPr>
        <w:tblW w:type="dxa" w:w="9360"/>
      </w:tblPr>
      <w:tblGrid>
        <w:gridCol w:w="2340"/>
        <w:gridCol w:w="2340"/>
        <w:gridCol w:w="4680"/>
      </w:tblGrid>
      <w:tr>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Base de origen</w:t>
            </w:r>
          </w:p>
        </w:tc>
        <w:tc>
          <w:tcPr>
            <w:tcW w:type="dxa" w:w="234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Botón a seleccionar</w:t>
            </w:r>
          </w:p>
        </w:tc>
        <w:tc>
          <w:tcPr>
            <w:tcW w:type="dxa" w:w="46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Caracteres permitidos en la entrada</w:t>
            </w:r>
          </w:p>
        </w:tc>
      </w:tr>
      <w:tr>
        <w:tc>
          <w:tcPr>
            <w:tcW w:type="dxa" w:w="234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Decimal</w:t>
            </w:r>
          </w:p>
        </w:tc>
        <w:tc>
          <w:tcPr>
            <w:tcW w:type="dxa" w:w="234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DECIMAL</w:t>
            </w:r>
          </w:p>
        </w:tc>
        <w:tc>
          <w:tcPr>
            <w:tcW w:type="dxa" w:w="468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0 1 2 3 4 5 6 7 8 9</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Binario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BINARIO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0  1</w:t>
            </w:r>
          </w:p>
        </w:tc>
      </w:tr>
      <w:tr>
        <w:tc>
          <w:tcPr>
            <w:tcW w:type="dxa" w:w="234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Octal</w:t>
            </w:r>
          </w:p>
        </w:tc>
        <w:tc>
          <w:tcPr>
            <w:tcW w:type="dxa" w:w="234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OCTAL</w:t>
            </w:r>
          </w:p>
        </w:tc>
        <w:tc>
          <w:tcPr>
            <w:tcW w:type="dxa" w:w="4680"/>
            <w:tcBorders>
              <w:top w:val="single" w:color="AAAAAA" w:sz="1"/>
              <w:left w:val="single" w:color="AAAAAA" w:sz="1"/>
              <w:bottom w:val="single" w:color="AAAAAA" w:sz="1"/>
              <w:right w:val="single" w:color="AAAAAA" w:sz="1"/>
            </w:tcBorders>
            <w:shd w:fill="EF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0 1 2 3 4 5 6 7</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Hexadecimal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HEXADECIMAL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  A B C D E F  (mayúsculas/minúsculas)</w:t>
            </w:r>
          </w:p>
        </w:tc>
      </w:tr>
    </w:tbl>
    <w:p>
      <w:pPr>
        <w:spacing w:after="60" w:before="60"/>
      </w:pPr>
      <w:r>
        <w:t xml:space="preserve"/>
      </w:r>
    </w:p>
    <w:p>
      <w:pPr>
        <w:pStyle w:val="Heading1"/>
      </w:pPr>
      <w:r>
        <w:rPr>
          <w:rFonts w:ascii="Times New Roman" w:cs="Times New Roman" w:eastAsia="Times New Roman" w:hAnsi="Times New Roman"/>
          <w:b/>
          <w:bCs/>
          <w:color w:val="1F3864"/>
          <w:sz w:val="28"/>
          <w:szCs w:val="28"/>
        </w:rPr>
        <w:t xml:space="preserve">7. Glosario</w:t>
      </w:r>
    </w:p>
    <w:p>
      <w:pPr>
        <w:spacing w:after="60" w:before="60"/>
      </w:pPr>
      <w:r>
        <w:t xml:space="preserve"/>
      </w:r>
    </w:p>
    <w:p>
      <w:pPr>
        <w:spacing w:after="80" w:before="80" w:line="276"/>
        <w:jc w:val="both"/>
      </w:pPr>
      <w:r>
        <w:rPr>
          <w:rFonts w:ascii="Times New Roman" w:cs="Times New Roman" w:eastAsia="Times New Roman" w:hAnsi="Times New Roman"/>
          <w:b/>
          <w:bCs/>
          <w:sz w:val="22"/>
          <w:szCs w:val="22"/>
        </w:rPr>
        <w:t xml:space="preserve">Base numérica: </w:t>
      </w:r>
      <w:r>
        <w:rPr>
          <w:rFonts w:ascii="Times New Roman" w:cs="Times New Roman" w:eastAsia="Times New Roman" w:hAnsi="Times New Roman"/>
          <w:sz w:val="22"/>
          <w:szCs w:val="22"/>
        </w:rPr>
        <w:t xml:space="preserve">Sistema de representación de números que define el conjunto de dígitos válidos y el peso posicional de cada dígito.</w:t>
      </w:r>
    </w:p>
    <w:p>
      <w:pPr>
        <w:spacing w:after="80" w:before="80" w:line="276"/>
        <w:jc w:val="both"/>
      </w:pPr>
      <w:r>
        <w:rPr>
          <w:rFonts w:ascii="Times New Roman" w:cs="Times New Roman" w:eastAsia="Times New Roman" w:hAnsi="Times New Roman"/>
          <w:b/>
          <w:bCs/>
          <w:sz w:val="22"/>
          <w:szCs w:val="22"/>
        </w:rPr>
        <w:t xml:space="preserve">Binario: </w:t>
      </w:r>
      <w:r>
        <w:rPr>
          <w:rFonts w:ascii="Times New Roman" w:cs="Times New Roman" w:eastAsia="Times New Roman" w:hAnsi="Times New Roman"/>
          <w:sz w:val="22"/>
          <w:szCs w:val="22"/>
        </w:rPr>
        <w:t xml:space="preserve">Sistema de numeración de base 2 que emplea únicamente los dígitos 0 y 1.</w:t>
      </w:r>
    </w:p>
    <w:p>
      <w:pPr>
        <w:spacing w:after="80" w:before="80" w:line="276"/>
        <w:jc w:val="both"/>
      </w:pPr>
      <w:r>
        <w:rPr>
          <w:rFonts w:ascii="Times New Roman" w:cs="Times New Roman" w:eastAsia="Times New Roman" w:hAnsi="Times New Roman"/>
          <w:b/>
          <w:bCs/>
          <w:sz w:val="22"/>
          <w:szCs w:val="22"/>
        </w:rPr>
        <w:t xml:space="preserve">Decimal: </w:t>
      </w:r>
      <w:r>
        <w:rPr>
          <w:rFonts w:ascii="Times New Roman" w:cs="Times New Roman" w:eastAsia="Times New Roman" w:hAnsi="Times New Roman"/>
          <w:sz w:val="22"/>
          <w:szCs w:val="22"/>
        </w:rPr>
        <w:t xml:space="preserve">Sistema de numeración de base 10, el más utilizado en contextos cotidianos.</w:t>
      </w:r>
    </w:p>
    <w:p>
      <w:pPr>
        <w:spacing w:after="80" w:before="80" w:line="276"/>
        <w:jc w:val="both"/>
      </w:pPr>
      <w:r>
        <w:rPr>
          <w:rFonts w:ascii="Times New Roman" w:cs="Times New Roman" w:eastAsia="Times New Roman" w:hAnsi="Times New Roman"/>
          <w:b/>
          <w:bCs/>
          <w:sz w:val="22"/>
          <w:szCs w:val="22"/>
        </w:rPr>
        <w:t xml:space="preserve">Hexadecimal: </w:t>
      </w:r>
      <w:r>
        <w:rPr>
          <w:rFonts w:ascii="Times New Roman" w:cs="Times New Roman" w:eastAsia="Times New Roman" w:hAnsi="Times New Roman"/>
          <w:sz w:val="22"/>
          <w:szCs w:val="22"/>
        </w:rPr>
        <w:t xml:space="preserve">Sistema de numeración de base 16 que utiliza los dígitos 0–9 y las letras A–F.</w:t>
      </w:r>
    </w:p>
    <w:p>
      <w:pPr>
        <w:spacing w:after="80" w:before="80" w:line="276"/>
        <w:jc w:val="both"/>
      </w:pPr>
      <w:r>
        <w:rPr>
          <w:rFonts w:ascii="Times New Roman" w:cs="Times New Roman" w:eastAsia="Times New Roman" w:hAnsi="Times New Roman"/>
          <w:b/>
          <w:bCs/>
          <w:sz w:val="22"/>
          <w:szCs w:val="22"/>
        </w:rPr>
        <w:t xml:space="preserve">Interfaz gráfica de usuario (GUI): </w:t>
      </w:r>
      <w:r>
        <w:rPr>
          <w:rFonts w:ascii="Times New Roman" w:cs="Times New Roman" w:eastAsia="Times New Roman" w:hAnsi="Times New Roman"/>
          <w:sz w:val="22"/>
          <w:szCs w:val="22"/>
        </w:rPr>
        <w:t xml:space="preserve">Conjunto de elementos visuales e interactivos que permiten al usuario operar un programa mediante señales gráficas en lugar de comandos de texto.</w:t>
      </w:r>
    </w:p>
    <w:p>
      <w:pPr>
        <w:spacing w:after="80" w:before="80" w:line="276"/>
        <w:jc w:val="both"/>
      </w:pPr>
      <w:r>
        <w:rPr>
          <w:rFonts w:ascii="Times New Roman" w:cs="Times New Roman" w:eastAsia="Times New Roman" w:hAnsi="Times New Roman"/>
          <w:b/>
          <w:bCs/>
          <w:sz w:val="22"/>
          <w:szCs w:val="22"/>
        </w:rPr>
        <w:t xml:space="preserve">Octal: </w:t>
      </w:r>
      <w:r>
        <w:rPr>
          <w:rFonts w:ascii="Times New Roman" w:cs="Times New Roman" w:eastAsia="Times New Roman" w:hAnsi="Times New Roman"/>
          <w:sz w:val="22"/>
          <w:szCs w:val="22"/>
        </w:rPr>
        <w:t xml:space="preserve">Sistema de numeración de base 8 que emplea los dígitos del 0 al 7.</w:t>
      </w:r>
    </w:p>
    <w:p>
      <w:pPr>
        <w:spacing w:after="80" w:before="80" w:line="276"/>
        <w:jc w:val="both"/>
      </w:pPr>
      <w:r>
        <w:rPr>
          <w:rFonts w:ascii="Times New Roman" w:cs="Times New Roman" w:eastAsia="Times New Roman" w:hAnsi="Times New Roman"/>
          <w:b/>
          <w:bCs/>
          <w:sz w:val="22"/>
          <w:szCs w:val="22"/>
        </w:rPr>
        <w:t xml:space="preserve">Conversión de bases: </w:t>
      </w:r>
      <w:r>
        <w:rPr>
          <w:rFonts w:ascii="Times New Roman" w:cs="Times New Roman" w:eastAsia="Times New Roman" w:hAnsi="Times New Roman"/>
          <w:sz w:val="22"/>
          <w:szCs w:val="22"/>
        </w:rPr>
        <w:t xml:space="preserve">Proceso matemático que transforma la representación de un número de un sistema de numeración a otro manteniendo su valor intrínseco.</w:t>
      </w:r>
    </w:p>
    <w:p>
      <w:pPr>
        <w:spacing w:after="60" w:before="60"/>
      </w:pPr>
      <w:r>
        <w:t xml:space="preserve"/>
      </w:r>
    </w:p>
    <w:p>
      <w:pPr>
        <w:pStyle w:val="Heading1"/>
      </w:pPr>
      <w:r>
        <w:rPr>
          <w:rFonts w:ascii="Times New Roman" w:cs="Times New Roman" w:eastAsia="Times New Roman" w:hAnsi="Times New Roman"/>
          <w:b/>
          <w:bCs/>
          <w:color w:val="1F3864"/>
          <w:sz w:val="28"/>
          <w:szCs w:val="28"/>
        </w:rPr>
        <w:t xml:space="preserve">8. Referencias</w:t>
      </w:r>
    </w:p>
    <w:p>
      <w:pPr>
        <w:spacing w:after="60" w:before="60"/>
      </w:pPr>
      <w:r>
        <w:t xml:space="preserve"/>
      </w:r>
    </w:p>
    <w:p>
      <w:pPr>
        <w:spacing w:after="80" w:before="80" w:line="276"/>
        <w:jc w:val="both"/>
      </w:pPr>
      <w:r>
        <w:rPr>
          <w:rFonts w:ascii="Times New Roman" w:cs="Times New Roman" w:eastAsia="Times New Roman" w:hAnsi="Times New Roman"/>
          <w:sz w:val="22"/>
          <w:szCs w:val="22"/>
        </w:rPr>
        <w:t xml:space="preserve">[1] Institute of Electrical and Electronics Engineers, </w:t>
      </w:r>
      <w:r>
        <w:rPr>
          <w:rFonts w:ascii="Times New Roman" w:cs="Times New Roman" w:eastAsia="Times New Roman" w:hAnsi="Times New Roman"/>
          <w:i/>
          <w:iCs/>
          <w:sz w:val="22"/>
          <w:szCs w:val="22"/>
        </w:rPr>
        <w:t xml:space="preserve">IEEE Std 1063-2001: IEEE Standard for Software User Documentation</w:t>
      </w:r>
      <w:r>
        <w:rPr>
          <w:rFonts w:ascii="Times New Roman" w:cs="Times New Roman" w:eastAsia="Times New Roman" w:hAnsi="Times New Roman"/>
          <w:sz w:val="22"/>
          <w:szCs w:val="22"/>
        </w:rPr>
        <w:t xml:space="preserve">. New York, NY: IEEE, 2001.</w:t>
      </w:r>
    </w:p>
    <w:p>
      <w:pPr>
        <w:spacing w:after="80" w:before="80" w:line="276"/>
        <w:jc w:val="both"/>
      </w:pPr>
      <w:r>
        <w:rPr>
          <w:rFonts w:ascii="Times New Roman" w:cs="Times New Roman" w:eastAsia="Times New Roman" w:hAnsi="Times New Roman"/>
          <w:sz w:val="22"/>
          <w:szCs w:val="22"/>
        </w:rPr>
        <w:t xml:space="preserve">[2] Institute of Electrical and Electronics Engineers, </w:t>
      </w:r>
      <w:r>
        <w:rPr>
          <w:rFonts w:ascii="Times New Roman" w:cs="Times New Roman" w:eastAsia="Times New Roman" w:hAnsi="Times New Roman"/>
          <w:i/>
          <w:iCs/>
          <w:sz w:val="22"/>
          <w:szCs w:val="22"/>
        </w:rPr>
        <w:t xml:space="preserve">IEEE Std 830-1998: IEEE Recommended Practice for Software Requirements Specifications</w:t>
      </w:r>
      <w:r>
        <w:rPr>
          <w:rFonts w:ascii="Times New Roman" w:cs="Times New Roman" w:eastAsia="Times New Roman" w:hAnsi="Times New Roman"/>
          <w:sz w:val="22"/>
          <w:szCs w:val="22"/>
        </w:rPr>
        <w:t xml:space="preserve">. New York, NY: IEEE, 1998.</w:t>
      </w:r>
    </w:p>
    <w:p>
      <w:pPr>
        <w:spacing w:after="80" w:before="80" w:line="276"/>
        <w:jc w:val="both"/>
      </w:pPr>
      <w:r>
        <w:rPr>
          <w:rFonts w:ascii="Times New Roman" w:cs="Times New Roman" w:eastAsia="Times New Roman" w:hAnsi="Times New Roman"/>
          <w:sz w:val="22"/>
          <w:szCs w:val="22"/>
        </w:rPr>
        <w:t xml:space="preserve">[3] D. E. Knuth, </w:t>
      </w:r>
      <w:r>
        <w:rPr>
          <w:rFonts w:ascii="Times New Roman" w:cs="Times New Roman" w:eastAsia="Times New Roman" w:hAnsi="Times New Roman"/>
          <w:i/>
          <w:iCs/>
          <w:sz w:val="22"/>
          <w:szCs w:val="22"/>
        </w:rPr>
        <w:t xml:space="preserve">The Art of Computer Programming, Vol. 2: Seminumerical Algorithms</w:t>
      </w:r>
      <w:r>
        <w:rPr>
          <w:rFonts w:ascii="Times New Roman" w:cs="Times New Roman" w:eastAsia="Times New Roman" w:hAnsi="Times New Roman"/>
          <w:sz w:val="22"/>
          <w:szCs w:val="22"/>
        </w:rPr>
        <w:t xml:space="preserve">, 3rd ed. Boston, MA: Addison-Wesley, 1997.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tabs>
        <w:tab w:val="right" w:pos="9026"/>
      </w:tabs>
    </w:pPr>
    <w:r>
      <w:rPr>
        <w:rFonts w:ascii="Times New Roman" w:cs="Times New Roman" w:eastAsia="Times New Roman" w:hAnsi="Times New Roman"/>
        <w:color w:val="555555"/>
        <w:sz w:val="18"/>
        <w:szCs w:val="18"/>
      </w:rPr>
      <w:t xml:space="preserve">Versión 1.0 — 2026</w:t>
    </w:r>
    <w:r>
      <w:rPr>
        <w:sz w:val="18"/>
        <w:szCs w:val="18"/>
      </w:rPr>
      <w:t xml:space="preserve">	</w:t>
    </w:r>
    <w:r>
      <w:rPr>
        <w:rFonts w:ascii="Times New Roman" w:cs="Times New Roman" w:eastAsia="Times New Roman" w:hAnsi="Times New Roman"/>
        <w:color w:val="555555"/>
        <w:sz w:val="18"/>
        <w:szCs w:val="18"/>
      </w:rPr>
      <w:t xml:space="preserve">Página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pPr>
    <w:r>
      <w:rPr>
        <w:rFonts w:ascii="Times New Roman" w:cs="Times New Roman" w:eastAsia="Times New Roman" w:hAnsi="Times New Roman"/>
        <w:i/>
        <w:iCs/>
        <w:color w:val="555555"/>
        <w:sz w:val="18"/>
        <w:szCs w:val="18"/>
      </w:rPr>
      <w:t xml:space="preserve">Manual de Usuario — Calculadora de Bases Numéricas</w:t>
    </w:r>
    <w:r>
      <w:rPr>
        <w:sz w:val="18"/>
        <w:szCs w:val="18"/>
      </w:rPr>
      <w:t xml:space="preserve">	</w:t>
    </w:r>
    <w:r>
      <w:rPr>
        <w:rFonts w:ascii="Times New Roman" w:cs="Times New Roman" w:eastAsia="Times New Roman" w:hAnsi="Times New Roman"/>
        <w:color w:val="555555"/>
        <w:sz w:val="18"/>
        <w:szCs w:val="18"/>
      </w:rPr>
      <w:t xml:space="preserve">IEEE Std 1063-2001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2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2026-05-27T00:18:16.914Z</dcterms:created>
  <dcterms:modified xsi:type="dcterms:W3CDTF">2026-05-27T00:18:16.914Z</dcterms:modified>
</cp:coreProperties>
</file>

<file path=docProps/custom.xml><?xml version="1.0" encoding="utf-8"?>
<Properties xmlns="http://schemas.openxmlformats.org/officeDocument/2006/custom-properties" xmlns:vt="http://schemas.openxmlformats.org/officeDocument/2006/docPropsVTypes"/>
</file>