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Сравнение методов выравнивания</w:t>
      </w:r>
    </w:p>
    <w:p>
      <w:pPr>
        <w:pStyle w:val="ListBullet"/>
      </w:pPr>
      <w:r>
        <w:t>Тексты: 6 (my_family, example, letter_xian, market, tea_history, child_language); предложений EN 111, ZH 115, RU 111.</w:t>
      </w:r>
    </w:p>
    <w:p>
      <w:pPr>
        <w:pStyle w:val="ListBullet"/>
      </w:pPr>
      <w:r>
        <w:t>Условия одинаковы для всех методов: та же сегментация, выравнивание по абзацам, EN — опорный язык, EN–ZH и EN–RU выравниваются отдельно.</w:t>
      </w:r>
    </w:p>
    <w:p>
      <w:pPr>
        <w:pStyle w:val="ListBullet"/>
      </w:pPr>
      <w:r>
        <w:t>Сравниваются группы предложений в тройках EN–ZH–RU — так, как они попали бы в корпус: граница между группами остаётся, только если её поставили оба попарных выравнивания. Поэтому объединение предложений в одной паре языков отражается и в группах другой.</w:t>
      </w:r>
    </w:p>
    <w:p>
      <w:pPr>
        <w:pStyle w:val="Heading2"/>
      </w:pPr>
      <w:r>
        <w:t>Методы и время работы</w:t>
      </w:r>
    </w:p>
    <w:p>
      <w:pPr>
        <w:keepNext/>
        <w:ind w:firstLine="0"/>
        <w:jc w:val="left"/>
      </w:pPr>
      <w:r>
        <w:rPr>
          <w:sz w:val="24"/>
        </w:rPr>
        <w:t>Таблица 1 — Методы и время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Выполнен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Загрузка,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Выравнивание,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bertalign (LaBSE)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(bertalign)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LaBSE (алгоритм Bertalign)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(sentence_transformers)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 порядку (базовый)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</w:tbl>
    <w:p/>
    <w:p>
      <w:pPr>
        <w:ind w:firstLine="709"/>
      </w:pPr>
      <w:r>
        <w:t>Время зависит от компьютера; для нейросетевых методов «загрузка» включает чтение модели LaBSE. Время LLM включает сетевые запросы (из кэша — почти мгновенно).</w:t>
      </w:r>
    </w:p>
    <w:p>
      <w:pPr>
        <w:ind w:firstLine="709"/>
      </w:pPr>
      <w:r>
        <w:t>Как запустить пропущенные методы:</w:t>
      </w:r>
    </w:p>
    <w:p>
      <w:pPr>
        <w:pStyle w:val="ListBullet"/>
      </w:pPr>
      <w:r>
        <w:rPr>
          <w:b/>
        </w:rPr>
        <w:t>bertalign (LaBSE)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huggingface.co); пакет bertalign 2.x — Python ≥ 3.12.</w:t>
      </w:r>
    </w:p>
    <w:p>
      <w:pPr>
        <w:pStyle w:val="ListBullet"/>
      </w:pPr>
      <w:r>
        <w:rPr>
          <w:b/>
        </w:rPr>
        <w:t>LaBSE (алгоритм Bertalign)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huggingface.co).</w:t>
      </w:r>
    </w:p>
    <w:p>
      <w:pPr>
        <w:pStyle w:val="Heading2"/>
      </w:pPr>
      <w:r>
        <w:t>Качество по эталону</w:t>
      </w:r>
    </w:p>
    <w:p>
      <w:pPr>
        <w:ind w:firstLine="709"/>
      </w:pPr>
      <w:r>
        <w:rPr>
          <w:b/>
        </w:rPr>
        <w:t>Метрики не рассчитаны:</w:t>
      </w:r>
      <w:r>
        <w:t xml:space="preserve"> файл gold.json не найден. Эталон составляет эксперт в режиме «Проверка» на сайте (см. </w:t>
      </w:r>
      <w:r>
        <w:rPr>
          <w:rFonts w:ascii="Courier New" w:hAnsi="Courier New" w:cs="Courier New" w:eastAsia="Courier New"/>
          <w:sz w:val="24"/>
        </w:rPr>
        <w:t>data/gold/README.md</w:t>
      </w:r>
      <w:r>
        <w:t>).</w:t>
      </w:r>
    </w:p>
    <w:p>
      <w:pPr>
        <w:pStyle w:val="Heading2"/>
      </w:pPr>
      <w:r>
        <w:t>Согласие методов между собой</w:t>
      </w:r>
    </w:p>
    <w:p>
      <w:pPr>
        <w:ind w:firstLine="709"/>
      </w:pPr>
      <w:r>
        <w:t>Доля предложений EN, которые два метода отнесли к одинаковой группе (эталон не нужен).</w:t>
      </w:r>
    </w:p>
    <w:p>
      <w:pPr>
        <w:keepNext/>
        <w:ind w:firstLine="0"/>
        <w:jc w:val="left"/>
      </w:pPr>
      <w:r>
        <w:rPr>
          <w:sz w:val="24"/>
        </w:rPr>
        <w:t>Таблица 2 — Согласие методов между собой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Пара методов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EN–ZH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EN–RU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 — По порядку (базовый)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90,1 % (100/111)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96,4 % (107/111)</w:t>
            </w:r>
          </w:p>
        </w:tc>
      </w:tr>
    </w:tbl>
    <w:p/>
    <w:p>
      <w:pPr>
        <w:pStyle w:val="Heading2"/>
      </w:pPr>
      <w:r>
        <w:t>Показательные расхождения</w:t>
      </w:r>
    </w:p>
    <w:p>
      <w:pPr>
        <w:ind w:firstLine="709"/>
      </w:pPr>
      <w:r>
        <w:t>Отобрано 10: разные тексты и языковые пары, более крупные участки — раньше.</w:t>
      </w:r>
    </w:p>
    <w:p>
      <w:pPr>
        <w:pStyle w:val="Heading3"/>
      </w:pPr>
      <w:r>
        <w:t>1. example, EN–RU,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RU 17–18: «At noon Anna felt hungry. Near the library there is a small café.» ↔ «В полдень Анна проголодалась. Рядом с библиотекой есть маленькое кафе.»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RU 17: «At noon Anna felt hungry.» ↔ «В полдень Анна проголодалась.»</w:t>
      </w:r>
    </w:p>
    <w:p>
      <w:pPr>
        <w:pStyle w:val="ListBullet2"/>
      </w:pPr>
      <w:r>
        <w:t>EN 18 ↔ RU 18: «Near the library there is a small café.» ↔ «Рядом с библиотекой есть маленькое кафе.»</w:t>
      </w:r>
    </w:p>
    <w:p>
      <w:pPr>
        <w:pStyle w:val="Heading3"/>
      </w:pPr>
      <w:r>
        <w:t>2. example, EN–ZH,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ZH 18: «At noon Anna felt hungry. Near the library there is a small café.» ↔ «中午，安娜饿了，正好图书馆附近有一家小咖啡馆。»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ZH 18: «At noon Anna felt hungry.» ↔ «中午，安娜饿了，正好图书馆附近有一家小咖啡馆。»</w:t>
      </w:r>
    </w:p>
    <w:p>
      <w:pPr>
        <w:pStyle w:val="ListBullet2"/>
      </w:pPr>
      <w:r>
        <w:t>EN 18 ↔ ZH 19: «Near the library there is a small café.» ↔ «她点了一杯茶和一块苹果派。»</w:t>
      </w:r>
    </w:p>
    <w:p>
      <w:pPr>
        <w:pStyle w:val="Heading3"/>
      </w:pPr>
      <w:r>
        <w:t>3. child_language, EN–ZH, EN 11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 ↔ ZH 11–12: «They do not simply acquire two separate systems; the two languages constantly interact.» ↔ «他们并不是简单地习得两个独立的系统；两种语言一直在相互影响。»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 ↔ ZH 11: «They do not simply acquire two separate systems; the two languages constantly interact.» ↔ «他们并不是简单地习得两个独立的系统；»</w:t>
      </w:r>
    </w:p>
    <w:p>
      <w:pPr>
        <w:pStyle w:val="Heading3"/>
      </w:pPr>
      <w:r>
        <w:t>4. letter_xian, EN–ZH, EN 2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 ↔ ZH 2–3: «I am writing to you from Xi'an, an ancient city in the north-west of China.» ↔ «我在西安给你写信。西安是中国西北部的一座古城。»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 ↔ ZH 2: «I am writing to you from Xi'an, an ancient city in the north-west of China.» ↔ «我在西安给你写信。»</w:t>
      </w:r>
    </w:p>
    <w:p>
      <w:pPr>
        <w:pStyle w:val="Heading3"/>
      </w:pPr>
      <w:r>
        <w:t>5. example, EN–RU, EN 19, 20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19 ↔ RU 19: «She ordered a cup of tea and a piece of apple pie.» ↔ «Она заказала чашку чая и кусок яблочного пирога.»</w:t>
      </w:r>
    </w:p>
    <w:p>
      <w:pPr>
        <w:pStyle w:val="ListBullet2"/>
      </w:pPr>
      <w:r>
        <w:t>EN 20 ↔ RU 20: «The tea was hot, and the pie was delicious.» ↔ «Чай был горячим, а пирог — очень вкусным.»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19–20 ↔ RU 19–20: «She ordered a cup of tea and a piece of apple pie. The tea was hot, and the pie was delicious.» ↔ «Она заказала чашку чая и кусок яблочного пирога. Чай был горячим, а пирог — очень вкусным.»</w:t>
      </w:r>
    </w:p>
    <w:p>
      <w:pPr>
        <w:pStyle w:val="Heading3"/>
      </w:pPr>
      <w:r>
        <w:t>6. example, EN–ZH, EN 19, 20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19 ↔ ZH 19: «She ordered a cup of tea and a piece of apple pie.» ↔ «她点了一杯茶和一块苹果派。»</w:t>
      </w:r>
    </w:p>
    <w:p>
      <w:pPr>
        <w:pStyle w:val="ListBullet2"/>
      </w:pPr>
      <w:r>
        <w:t>EN 20 ↔ ZH 20: «The tea was hot, and the pie was delicious.» ↔ «茶很热，派也很好吃。»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19–20 ↔ ZH 20: «She ordered a cup of tea and a piece of apple pie. The tea was hot, and the pie was delicious.» ↔ «茶很热，派也很好吃。»</w:t>
      </w:r>
    </w:p>
    <w:p>
      <w:pPr>
        <w:pStyle w:val="Heading3"/>
      </w:pPr>
      <w:r>
        <w:t>7. child_language, EN–ZH, EN 12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12 ↔ ZH 13–14: «A Russian-speaking child learning English, for example, may at first omit articles, because Russian has no such category, while a Chinese-speaking child may struggle with the case endings of Russian nouns.» ↔ «例如，一个学英语的俄罗斯孩子一开始可能会漏掉冠词，因为俄语里没有这个语法范畴；而一个说汉语的孩子在学俄语时，可能很难掌握名词的格词尾。»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12 ↔ ZH 12–14: «A Russian-speaking child learning English, for example, may at first omit articles, because Russian has no such category, while a Chinese-speaking child may struggle with the case endings of Russian nouns.» ↔ «两种语言一直在相互影响。例如，一个学英语的俄罗斯孩子一开始可能会漏掉冠词，因为俄语里没有这个语法范畴；而一个说汉语的孩子在学俄语时，可能很难掌握名词的格词尾。»</w:t>
      </w:r>
    </w:p>
    <w:p>
      <w:pPr>
        <w:pStyle w:val="Heading3"/>
      </w:pPr>
      <w:r>
        <w:t>8. letter_xian, EN–ZH, EN 3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3 ↔ ZH 4: «I arrived here three days ago with a group of students from our university.» ↔ «三天前，我和我们大学的一群学生来到这里。»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3 ↔ ZH 3: «I arrived here three days ago with a group of students from our university.» ↔ «西安是中国西北部的一座古城。»</w:t>
      </w:r>
    </w:p>
    <w:p>
      <w:pPr>
        <w:pStyle w:val="Heading3"/>
      </w:pPr>
      <w:r>
        <w:t>9. example, EN–ZH, EN 24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24 ↔ ZH 24–25: «"Come again next Saturday," she said.» ↔ «“下个星期六再来吧！”她说。»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24 ↔ ZH 24: «"Come again next Saturday," she said.» ↔ «“下个星期六再来吧！”»</w:t>
      </w:r>
    </w:p>
    <w:p>
      <w:pPr>
        <w:pStyle w:val="Heading3"/>
      </w:pPr>
      <w:r>
        <w:t>10. letter_xian, EN–ZH, EN 4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4 ↔ ZH 5: «We are staying in a hotel near the old city wall.» ↔ «我们住在古城墙附近的一家酒店里。»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4 ↔ ZH 4–5: «We are staying in a hotel near the old city wall.» ↔ «三天前，我和我们大学的一群学生来到这里。我们住在古城墙附近的一家酒店里。»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igners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Время работы методов выравнивания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