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Сравнение методов выравнивания</w:t>
      </w:r>
    </w:p>
    <w:p>
      <w:pPr>
        <w:pStyle w:val="ListBullet"/>
      </w:pPr>
      <w:r>
        <w:t>Тексты: 8 (my_family, tatoeba, example, letter_xian, market, tea_history, child_language, un_corpus); предложений EN 2637, ZH 2667, RU 2685.</w:t>
      </w:r>
    </w:p>
    <w:p>
      <w:pPr>
        <w:pStyle w:val="ListBullet"/>
      </w:pPr>
      <w:r>
        <w:t>Условия одинаковы для всех методов: та же сегментация, выравнивание по абзацам, EN — опорный язык, EN–ZH и EN–RU выравниваются отдельно.</w:t>
      </w:r>
    </w:p>
    <w:p>
      <w:pPr>
        <w:pStyle w:val="ListBullet"/>
      </w:pPr>
      <w:r>
        <w:t>Сравниваются группы предложений в тройках EN–ZH–RU — так, как они попали бы в корпус: граница между группами остаётся, только если её поставили оба попарных выравнивания. Поэтому объединение предложений в одной паре языков отражается и в группах другой.</w:t>
      </w:r>
    </w:p>
    <w:p>
      <w:pPr>
        <w:pStyle w:val="Heading2"/>
      </w:pPr>
      <w:r>
        <w:t>Методы и время работы</w:t>
      </w:r>
    </w:p>
    <w:p>
      <w:pPr>
        <w:keepNext/>
        <w:ind w:firstLine="0"/>
        <w:jc w:val="left"/>
      </w:pPr>
      <w:r>
        <w:rPr>
          <w:sz w:val="24"/>
        </w:rPr>
        <w:t>Таблица 1 — Методы и время работы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b/>
                <w:sz w:val="22"/>
              </w:rPr>
              <w:t>Метод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b/>
                <w:sz w:val="22"/>
              </w:rPr>
              <w:t>Выполнен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b/>
                <w:sz w:val="22"/>
              </w:rPr>
              <w:t>Загрузка, с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b/>
                <w:sz w:val="22"/>
              </w:rPr>
              <w:t>Выравнивание, с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b/>
                <w:sz w:val="22"/>
              </w:rPr>
              <w:t>Примечание</w:t>
            </w:r>
          </w:p>
        </w:tc>
      </w:tr>
      <w:tr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bertalign (LaBSE)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нет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—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—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пакет не установлен (bertalign)</w:t>
            </w:r>
          </w:p>
        </w:tc>
      </w:tr>
      <w:tr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LaBSE (алгоритм Bertalign)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нет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—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—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пакет не установлен (sentence_transformers)</w:t>
            </w:r>
          </w:p>
        </w:tc>
      </w:tr>
      <w:tr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Гейл–Чёрч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да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0,00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0,20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</w:p>
        </w:tc>
      </w:tr>
      <w:tr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По порядку (базовый)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да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0,00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0,04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</w:p>
        </w:tc>
      </w:tr>
    </w:tbl>
    <w:p/>
    <w:p>
      <w:pPr>
        <w:ind w:firstLine="709"/>
      </w:pPr>
      <w:r>
        <w:t>Время зависит от компьютера; для нейросетевых методов «загрузка» включает чтение модели LaBSE. Время LLM включает сетевые запросы (из кэша — почти мгновенно).</w:t>
      </w:r>
    </w:p>
    <w:p>
      <w:pPr>
        <w:ind w:firstLine="709"/>
      </w:pPr>
      <w:r>
        <w:t>Как запустить пропущенные методы:</w:t>
      </w:r>
    </w:p>
    <w:p>
      <w:pPr>
        <w:pStyle w:val="ListBullet"/>
      </w:pPr>
      <w:r>
        <w:rPr>
          <w:b/>
        </w:rPr>
        <w:t>bertalign (LaBSE)</w:t>
      </w:r>
      <w:r>
        <w:t xml:space="preserve">: </w:t>
      </w:r>
      <w:r>
        <w:rPr>
          <w:rFonts w:ascii="Courier New" w:hAnsi="Courier New" w:cs="Courier New" w:eastAsia="Courier New"/>
          <w:sz w:val="24"/>
        </w:rPr>
        <w:t>pip install -r pipeline/requirements-neural.txt</w:t>
      </w:r>
      <w:r>
        <w:t xml:space="preserve"> (≈ 2 ГБ, нужен доступ к huggingface.co); пакет bertalign 2.x — Python ≥ 3.12.</w:t>
      </w:r>
    </w:p>
    <w:p>
      <w:pPr>
        <w:pStyle w:val="ListBullet"/>
      </w:pPr>
      <w:r>
        <w:rPr>
          <w:b/>
        </w:rPr>
        <w:t>LaBSE (алгоритм Bertalign)</w:t>
      </w:r>
      <w:r>
        <w:t xml:space="preserve">: </w:t>
      </w:r>
      <w:r>
        <w:rPr>
          <w:rFonts w:ascii="Courier New" w:hAnsi="Courier New" w:cs="Courier New" w:eastAsia="Courier New"/>
          <w:sz w:val="24"/>
        </w:rPr>
        <w:t>pip install -r pipeline/requirements-neural.txt</w:t>
      </w:r>
      <w:r>
        <w:t xml:space="preserve"> (≈ 2 ГБ, нужен доступ к huggingface.co).</w:t>
      </w:r>
    </w:p>
    <w:p>
      <w:pPr>
        <w:pStyle w:val="Heading2"/>
      </w:pPr>
      <w:r>
        <w:t>Качество по эталону</w:t>
      </w:r>
    </w:p>
    <w:p>
      <w:pPr>
        <w:ind w:firstLine="709"/>
      </w:pPr>
      <w:r>
        <w:rPr>
          <w:b/>
        </w:rPr>
        <w:t>Метрики не рассчитаны:</w:t>
      </w:r>
      <w:r>
        <w:t xml:space="preserve"> файл gold.json не найден. Эталон составляет эксперт в режиме «Проверка» на сайте (см. </w:t>
      </w:r>
      <w:r>
        <w:rPr>
          <w:rFonts w:ascii="Courier New" w:hAnsi="Courier New" w:cs="Courier New" w:eastAsia="Courier New"/>
          <w:sz w:val="24"/>
        </w:rPr>
        <w:t>data/gold/README.md</w:t>
      </w:r>
      <w:r>
        <w:t>).</w:t>
      </w:r>
    </w:p>
    <w:p>
      <w:pPr>
        <w:pStyle w:val="Heading2"/>
      </w:pPr>
      <w:r>
        <w:t>Согласие методов между собой</w:t>
      </w:r>
    </w:p>
    <w:p>
      <w:pPr>
        <w:ind w:firstLine="709"/>
      </w:pPr>
      <w:r>
        <w:t>Доля предложений EN, которые два метода отнесли к одинаковой группе (эталон не нужен).</w:t>
      </w:r>
    </w:p>
    <w:p>
      <w:pPr>
        <w:keepNext/>
        <w:ind w:firstLine="0"/>
        <w:jc w:val="left"/>
      </w:pPr>
      <w:r>
        <w:rPr>
          <w:sz w:val="24"/>
        </w:rPr>
        <w:t>Таблица 2 — Согласие методов между собой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b/>
                <w:sz w:val="22"/>
              </w:rPr>
              <w:t>Пара методов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b/>
                <w:sz w:val="22"/>
              </w:rPr>
              <w:t>EN–ZH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b/>
                <w:sz w:val="22"/>
              </w:rPr>
              <w:t>EN–RU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Гейл–Чёрч — По порядку (базовый)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99,0 % (2610/2637)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99,2 % (2617/2637)</w:t>
            </w:r>
          </w:p>
        </w:tc>
      </w:tr>
    </w:tbl>
    <w:p/>
    <w:p>
      <w:pPr>
        <w:pStyle w:val="Heading2"/>
      </w:pPr>
      <w:r>
        <w:t>Показательные расхождения</w:t>
      </w:r>
    </w:p>
    <w:p>
      <w:pPr>
        <w:ind w:firstLine="709"/>
      </w:pPr>
      <w:r>
        <w:t>Отобрано 10: разные тексты и языковые пары, более крупные участки — раньше.</w:t>
      </w:r>
    </w:p>
    <w:p>
      <w:pPr>
        <w:pStyle w:val="Heading3"/>
      </w:pPr>
      <w:r>
        <w:t>1. un_corpus, EN–RU, EN 1238, 1239, 1240, 1241</w:t>
      </w:r>
    </w:p>
    <w:p>
      <w:pPr>
        <w:pStyle w:val="ListBullet"/>
      </w:pPr>
      <w:r>
        <w:rPr>
          <w:b/>
        </w:rPr>
        <w:t>Гейл–Чёрч</w:t>
      </w:r>
      <w:r>
        <w:t>:</w:t>
      </w:r>
    </w:p>
    <w:p>
      <w:pPr>
        <w:pStyle w:val="ListBullet2"/>
      </w:pPr>
      <w:r>
        <w:t>EN 1238 ↔ RU ∅: «He claims to be a victim of violations by Togo of articles 1, paragraphs 1 and 2; 2, paragraph 3» ↔ «∅»</w:t>
      </w:r>
    </w:p>
    <w:p>
      <w:pPr>
        <w:pStyle w:val="ListBullet2"/>
      </w:pPr>
      <w:r>
        <w:t>EN 1239 ↔ RU ∅: «(a),» ↔ «∅»</w:t>
      </w:r>
    </w:p>
    <w:p>
      <w:pPr>
        <w:pStyle w:val="ListBullet2"/>
      </w:pPr>
      <w:r>
        <w:t>EN 1240–1241 ↔ RU 1247: «(b) and (c); 7; 9, paragraphs 1, 2, 3 and 5; 10, paragraph 1; 12, paragraph 4; and 17, paragraphs 1 and 2, of the International Covenant on Civil and Political Rights.» ↔ «Он заявляет, что является жертвой нарушения Того пунктов 1 и 2 статьи 1; пунктов 3a, b и c статьи 2; статьи 7; пунктов 1, 2, 3 и 5 статьи 9; пункта 1 статьи 10; пункта 4 статьи 12; пунктов 1 и 2 статьи 17 Международного…»</w:t>
      </w:r>
    </w:p>
    <w:p>
      <w:pPr>
        <w:pStyle w:val="ListBullet"/>
      </w:pPr>
      <w:r>
        <w:rPr>
          <w:b/>
        </w:rPr>
        <w:t>По порядку (базовый)</w:t>
      </w:r>
      <w:r>
        <w:t>:</w:t>
      </w:r>
    </w:p>
    <w:p>
      <w:pPr>
        <w:pStyle w:val="ListBullet2"/>
      </w:pPr>
      <w:r>
        <w:t>EN 1238–1241 ↔ RU 1247: «He claims to be a victim of violations by Togo of articles 1, paragraphs 1 and 2; 2, paragraph 3 (a), (b) and (c); 7; 9, paragraphs 1, 2, 3 and 5; 10, paragraph 1; 12, paragraph 4; and 17, paragraphs 1 and 2, of the Int…» ↔ «Он заявляет, что является жертвой нарушения Того пунктов 1 и 2 статьи 1; пунктов 3a, b и c статьи 2; статьи 7; пунктов 1, 2, 3 и 5 статьи 9; пункта 1 статьи 10; пункта 4 статьи 12; пунктов 1 и 2 статьи 17 Международного…»</w:t>
      </w:r>
    </w:p>
    <w:p>
      <w:pPr>
        <w:pStyle w:val="Heading3"/>
      </w:pPr>
      <w:r>
        <w:t>2. un_corpus, EN–ZH, EN 1238, 1239, 1240, 1241</w:t>
      </w:r>
    </w:p>
    <w:p>
      <w:pPr>
        <w:pStyle w:val="ListBullet"/>
      </w:pPr>
      <w:r>
        <w:rPr>
          <w:b/>
        </w:rPr>
        <w:t>Гейл–Чёрч</w:t>
      </w:r>
      <w:r>
        <w:t>:</w:t>
      </w:r>
    </w:p>
    <w:p>
      <w:pPr>
        <w:pStyle w:val="ListBullet2"/>
      </w:pPr>
      <w:r>
        <w:t>EN 1238 ↔ ZH ∅: «He claims to be a victim of violations by Togo of articles 1, paragraphs 1 and 2; 2, paragraph 3» ↔ «∅»</w:t>
      </w:r>
    </w:p>
    <w:p>
      <w:pPr>
        <w:pStyle w:val="ListBullet2"/>
      </w:pPr>
      <w:r>
        <w:t>EN 1239 ↔ ZH ∅: «(a),» ↔ «∅»</w:t>
      </w:r>
    </w:p>
    <w:p>
      <w:pPr>
        <w:pStyle w:val="ListBullet2"/>
      </w:pPr>
      <w:r>
        <w:t>EN 1240–1241 ↔ ZH 1255: «(b) and (c); 7; 9, paragraphs 1, 2, 3 and 5; 10, paragraph 1; 12, paragraph 4; and 17, paragraphs 1 and 2, of the International Covenant on Civil and Political Rights.» ↔ «他称他是多哥侵犯《公民权利和政治权利国际盟约》第1条第1款和第2款、第2条第3款(a)项、(b)项和(c)项、第7条、第9条第1、第2、第3和第5款、第10条第1款、第12条第4款、第17条第1和第2款行为的受害者。»</w:t>
      </w:r>
    </w:p>
    <w:p>
      <w:pPr>
        <w:pStyle w:val="ListBullet"/>
      </w:pPr>
      <w:r>
        <w:rPr>
          <w:b/>
        </w:rPr>
        <w:t>По порядку (базовый)</w:t>
      </w:r>
      <w:r>
        <w:t>:</w:t>
      </w:r>
    </w:p>
    <w:p>
      <w:pPr>
        <w:pStyle w:val="ListBullet2"/>
      </w:pPr>
      <w:r>
        <w:t>EN 1238–1241 ↔ ZH 1255: «He claims to be a victim of violations by Togo of articles 1, paragraphs 1 and 2; 2, paragraph 3 (a), (b) and (c); 7; 9, paragraphs 1, 2, 3 and 5; 10, paragraph 1; 12, paragraph 4; and 17, paragraphs 1 and 2, of the Int…» ↔ «他称他是多哥侵犯《公民权利和政治权利国际盟约》第1条第1款和第2款、第2条第3款(a)项、(b)项和(c)项、第7条、第9条第1、第2、第3和第5款、第10条第1款、第12条第4款、第17条第1和第2款行为的受害者。»</w:t>
      </w:r>
    </w:p>
    <w:p>
      <w:pPr>
        <w:pStyle w:val="Heading3"/>
      </w:pPr>
      <w:r>
        <w:t>3. tatoeba, EN–RU, EN 95, 96, 97</w:t>
      </w:r>
    </w:p>
    <w:p>
      <w:pPr>
        <w:pStyle w:val="ListBullet"/>
      </w:pPr>
      <w:r>
        <w:rPr>
          <w:b/>
        </w:rPr>
        <w:t>Гейл–Чёрч</w:t>
      </w:r>
      <w:r>
        <w:t>:</w:t>
      </w:r>
    </w:p>
    <w:p>
      <w:pPr>
        <w:pStyle w:val="ListBullet2"/>
      </w:pPr>
      <w:r>
        <w:t>EN 95–96 ↔ RU 95: «I'd like a doll, a new bicycle.... .» ↔ «Я хочу куклу, новый велосипед... и мир во всём мире!»</w:t>
      </w:r>
    </w:p>
    <w:p>
      <w:pPr>
        <w:pStyle w:val="ListBullet2"/>
      </w:pPr>
      <w:r>
        <w:t>EN 97 ↔ RU ∅: «and peace on earth!» ↔ «∅»</w:t>
      </w:r>
    </w:p>
    <w:p>
      <w:pPr>
        <w:pStyle w:val="ListBullet"/>
      </w:pPr>
      <w:r>
        <w:rPr>
          <w:b/>
        </w:rPr>
        <w:t>По порядку (базовый)</w:t>
      </w:r>
      <w:r>
        <w:t>:</w:t>
      </w:r>
    </w:p>
    <w:p>
      <w:pPr>
        <w:pStyle w:val="ListBullet2"/>
      </w:pPr>
      <w:r>
        <w:t>EN 95–97 ↔ RU 95: «I'd like a doll, a new bicycle.... . and peace on earth!» ↔ «Я хочу куклу, новый велосипед... и мир во всём мире!»</w:t>
      </w:r>
    </w:p>
    <w:p>
      <w:pPr>
        <w:pStyle w:val="Heading3"/>
      </w:pPr>
      <w:r>
        <w:t>4. tatoeba, EN–ZH, EN 95, 96, 97</w:t>
      </w:r>
    </w:p>
    <w:p>
      <w:pPr>
        <w:pStyle w:val="ListBullet"/>
      </w:pPr>
      <w:r>
        <w:rPr>
          <w:b/>
        </w:rPr>
        <w:t>Гейл–Чёрч</w:t>
      </w:r>
      <w:r>
        <w:t>:</w:t>
      </w:r>
    </w:p>
    <w:p>
      <w:pPr>
        <w:pStyle w:val="ListBullet2"/>
      </w:pPr>
      <w:r>
        <w:t>EN 95–96 ↔ ZH 95: «I'd like a doll, a new bicycle.... .» ↔ «我想要一个洋娃娃，一辆新自行车……»</w:t>
      </w:r>
    </w:p>
    <w:p>
      <w:pPr>
        <w:pStyle w:val="ListBullet2"/>
      </w:pPr>
      <w:r>
        <w:t>EN 97 ↔ ZH 96: «and peace on earth!» ↔ «以及世界和平。»</w:t>
      </w:r>
    </w:p>
    <w:p>
      <w:pPr>
        <w:pStyle w:val="ListBullet"/>
      </w:pPr>
      <w:r>
        <w:rPr>
          <w:b/>
        </w:rPr>
        <w:t>По порядку (базовый)</w:t>
      </w:r>
      <w:r>
        <w:t>:</w:t>
      </w:r>
    </w:p>
    <w:p>
      <w:pPr>
        <w:pStyle w:val="ListBullet2"/>
      </w:pPr>
      <w:r>
        <w:t>EN 95–97 ↔ ZH 95–96: «I'd like a doll, a new bicycle.... . and peace on earth!» ↔ «我想要一个洋娃娃，一辆新自行车……以及世界和平。»</w:t>
      </w:r>
    </w:p>
    <w:p>
      <w:pPr>
        <w:pStyle w:val="Heading3"/>
      </w:pPr>
      <w:r>
        <w:t>5. example, EN–RU, EN 17, 18</w:t>
      </w:r>
    </w:p>
    <w:p>
      <w:pPr>
        <w:pStyle w:val="ListBullet"/>
      </w:pPr>
      <w:r>
        <w:rPr>
          <w:b/>
        </w:rPr>
        <w:t>Гейл–Чёрч</w:t>
      </w:r>
      <w:r>
        <w:t>:</w:t>
      </w:r>
    </w:p>
    <w:p>
      <w:pPr>
        <w:pStyle w:val="ListBullet2"/>
      </w:pPr>
      <w:r>
        <w:t>EN 17–18 ↔ RU 17–18: «At noon Anna felt hungry. Near the library there is a small café.» ↔ «В полдень Анна проголодалась. Рядом с библиотекой есть маленькое кафе.»</w:t>
      </w:r>
    </w:p>
    <w:p>
      <w:pPr>
        <w:pStyle w:val="ListBullet"/>
      </w:pPr>
      <w:r>
        <w:rPr>
          <w:b/>
        </w:rPr>
        <w:t>По порядку (базовый)</w:t>
      </w:r>
      <w:r>
        <w:t>:</w:t>
      </w:r>
    </w:p>
    <w:p>
      <w:pPr>
        <w:pStyle w:val="ListBullet2"/>
      </w:pPr>
      <w:r>
        <w:t>EN 17 ↔ RU 17: «At noon Anna felt hungry.» ↔ «В полдень Анна проголодалась.»</w:t>
      </w:r>
    </w:p>
    <w:p>
      <w:pPr>
        <w:pStyle w:val="ListBullet2"/>
      </w:pPr>
      <w:r>
        <w:t>EN 18 ↔ RU 18: «Near the library there is a small café.» ↔ «Рядом с библиотекой есть маленькое кафе.»</w:t>
      </w:r>
    </w:p>
    <w:p>
      <w:pPr>
        <w:pStyle w:val="Heading3"/>
      </w:pPr>
      <w:r>
        <w:t>6. example, EN–ZH, EN 17, 18</w:t>
      </w:r>
    </w:p>
    <w:p>
      <w:pPr>
        <w:pStyle w:val="ListBullet"/>
      </w:pPr>
      <w:r>
        <w:rPr>
          <w:b/>
        </w:rPr>
        <w:t>Гейл–Чёрч</w:t>
      </w:r>
      <w:r>
        <w:t>:</w:t>
      </w:r>
    </w:p>
    <w:p>
      <w:pPr>
        <w:pStyle w:val="ListBullet2"/>
      </w:pPr>
      <w:r>
        <w:t>EN 17–18 ↔ ZH 18: «At noon Anna felt hungry. Near the library there is a small café.» ↔ «中午，安娜饿了，正好图书馆附近有一家小咖啡馆。»</w:t>
      </w:r>
    </w:p>
    <w:p>
      <w:pPr>
        <w:pStyle w:val="ListBullet"/>
      </w:pPr>
      <w:r>
        <w:rPr>
          <w:b/>
        </w:rPr>
        <w:t>По порядку (базовый)</w:t>
      </w:r>
      <w:r>
        <w:t>:</w:t>
      </w:r>
    </w:p>
    <w:p>
      <w:pPr>
        <w:pStyle w:val="ListBullet2"/>
      </w:pPr>
      <w:r>
        <w:t>EN 17 ↔ ZH 18: «At noon Anna felt hungry.» ↔ «中午，安娜饿了，正好图书馆附近有一家小咖啡馆。»</w:t>
      </w:r>
    </w:p>
    <w:p>
      <w:pPr>
        <w:pStyle w:val="ListBullet2"/>
      </w:pPr>
      <w:r>
        <w:t>EN 18 ↔ ZH 19: «Near the library there is a small café.» ↔ «她点了一杯茶和一块苹果派。»</w:t>
      </w:r>
    </w:p>
    <w:p>
      <w:pPr>
        <w:pStyle w:val="Heading3"/>
      </w:pPr>
      <w:r>
        <w:t>7. child_language, EN–ZH, EN 11</w:t>
      </w:r>
    </w:p>
    <w:p>
      <w:pPr>
        <w:pStyle w:val="ListBullet"/>
      </w:pPr>
      <w:r>
        <w:rPr>
          <w:b/>
        </w:rPr>
        <w:t>Гейл–Чёрч</w:t>
      </w:r>
      <w:r>
        <w:t>:</w:t>
      </w:r>
    </w:p>
    <w:p>
      <w:pPr>
        <w:pStyle w:val="ListBullet2"/>
      </w:pPr>
      <w:r>
        <w:t>EN 11 ↔ ZH 11–12: «They do not simply acquire two separate systems; the two languages constantly interact.» ↔ «他们并不是简单地习得两个独立的系统；两种语言一直在相互影响。»</w:t>
      </w:r>
    </w:p>
    <w:p>
      <w:pPr>
        <w:pStyle w:val="ListBullet"/>
      </w:pPr>
      <w:r>
        <w:rPr>
          <w:b/>
        </w:rPr>
        <w:t>По порядку (базовый)</w:t>
      </w:r>
      <w:r>
        <w:t>:</w:t>
      </w:r>
    </w:p>
    <w:p>
      <w:pPr>
        <w:pStyle w:val="ListBullet2"/>
      </w:pPr>
      <w:r>
        <w:t>EN 11 ↔ ZH 11: «They do not simply acquire two separate systems; the two languages constantly interact.» ↔ «他们并不是简单地习得两个独立的系统；»</w:t>
      </w:r>
    </w:p>
    <w:p>
      <w:pPr>
        <w:pStyle w:val="Heading3"/>
      </w:pPr>
      <w:r>
        <w:t>8. letter_xian, EN–ZH, EN 2</w:t>
      </w:r>
    </w:p>
    <w:p>
      <w:pPr>
        <w:pStyle w:val="ListBullet"/>
      </w:pPr>
      <w:r>
        <w:rPr>
          <w:b/>
        </w:rPr>
        <w:t>Гейл–Чёрч</w:t>
      </w:r>
      <w:r>
        <w:t>:</w:t>
      </w:r>
    </w:p>
    <w:p>
      <w:pPr>
        <w:pStyle w:val="ListBullet2"/>
      </w:pPr>
      <w:r>
        <w:t>EN 2 ↔ ZH 2–3: «I am writing to you from Xi'an, an ancient city in the north-west of China.» ↔ «我在西安给你写信。西安是中国西北部的一座古城。»</w:t>
      </w:r>
    </w:p>
    <w:p>
      <w:pPr>
        <w:pStyle w:val="ListBullet"/>
      </w:pPr>
      <w:r>
        <w:rPr>
          <w:b/>
        </w:rPr>
        <w:t>По порядку (базовый)</w:t>
      </w:r>
      <w:r>
        <w:t>:</w:t>
      </w:r>
    </w:p>
    <w:p>
      <w:pPr>
        <w:pStyle w:val="ListBullet2"/>
      </w:pPr>
      <w:r>
        <w:t>EN 2 ↔ ZH 2: «I am writing to you from Xi'an, an ancient city in the north-west of China.» ↔ «我在西安给你写信。»</w:t>
      </w:r>
    </w:p>
    <w:p>
      <w:pPr>
        <w:pStyle w:val="Heading3"/>
      </w:pPr>
      <w:r>
        <w:t>9. un_corpus, EN–RU, EN 129, 130, 131</w:t>
      </w:r>
    </w:p>
    <w:p>
      <w:pPr>
        <w:pStyle w:val="ListBullet"/>
      </w:pPr>
      <w:r>
        <w:rPr>
          <w:b/>
        </w:rPr>
        <w:t>Гейл–Чёрч</w:t>
      </w:r>
      <w:r>
        <w:t>:</w:t>
      </w:r>
    </w:p>
    <w:p>
      <w:pPr>
        <w:pStyle w:val="ListBullet2"/>
      </w:pPr>
      <w:r>
        <w:t>EN 129 ↔ RU ∅: «The research activities are largely concentrated in» ↔ «∅»</w:t>
      </w:r>
    </w:p>
    <w:p>
      <w:pPr>
        <w:pStyle w:val="ListBullet2"/>
      </w:pPr>
      <w:r>
        <w:t>EN 130–131 ↔ RU 132: «(a) the Institute for Space Flight Technology and Nuclear Reactor Technology of the Technical University of Braunschweig (IfRR/TUBS) and (b) the Research Establishment for Applied Science of Wachtberg-Werthhoven (FGAN).» ↔ «Научные исследования сосредоточены в основном в а) Технологическом институте космических полетов и ядерных реакторов Технического университета Брауншвейга (ИФРР/ТУБС) и b) Центре прикладных научных исследований Вахтберг…»</w:t>
      </w:r>
    </w:p>
    <w:p>
      <w:pPr>
        <w:pStyle w:val="ListBullet"/>
      </w:pPr>
      <w:r>
        <w:rPr>
          <w:b/>
        </w:rPr>
        <w:t>По порядку (базовый)</w:t>
      </w:r>
      <w:r>
        <w:t>:</w:t>
      </w:r>
    </w:p>
    <w:p>
      <w:pPr>
        <w:pStyle w:val="ListBullet2"/>
      </w:pPr>
      <w:r>
        <w:t>EN 129–131 ↔ RU 132: «The research activities are largely concentrated in (a) the Institute for Space Flight Technology and Nuclear Reactor Technology of the Technical University of Braunschweig (IfRR/TUBS) and (b) the Research Establishment…» ↔ «Научные исследования сосредоточены в основном в а) Технологическом институте космических полетов и ядерных реакторов Технического университета Брауншвейга (ИФРР/ТУБС) и b) Центре прикладных научных исследований Вахтберг…»</w:t>
      </w:r>
    </w:p>
    <w:p>
      <w:pPr>
        <w:pStyle w:val="Heading3"/>
      </w:pPr>
      <w:r>
        <w:t>10. un_corpus, EN–ZH, EN 129, 130, 131</w:t>
      </w:r>
    </w:p>
    <w:p>
      <w:pPr>
        <w:pStyle w:val="ListBullet"/>
      </w:pPr>
      <w:r>
        <w:rPr>
          <w:b/>
        </w:rPr>
        <w:t>Гейл–Чёрч</w:t>
      </w:r>
      <w:r>
        <w:t>:</w:t>
      </w:r>
    </w:p>
    <w:p>
      <w:pPr>
        <w:pStyle w:val="ListBullet2"/>
      </w:pPr>
      <w:r>
        <w:t>EN 129 ↔ ZH ∅: «The research activities are largely concentrated in» ↔ «∅»</w:t>
      </w:r>
    </w:p>
    <w:p>
      <w:pPr>
        <w:pStyle w:val="ListBullet2"/>
      </w:pPr>
      <w:r>
        <w:t>EN 130–131 ↔ ZH 134: «(a) the Institute for Space Flight Technology and Nuclear Reactor Technology of the Technical University of Braunschweig (IfRR/TUBS) and (b) the Research Establishment for Applied Science of Wachtberg-Werthhoven (FGAN).» ↔ «这些研究活动主要都集中在(a)不伦瑞克技术大学的航天技术和核反应堆技术研究所和(b)Wachtberg-Werthhoven应用科学研究所。»</w:t>
      </w:r>
    </w:p>
    <w:p>
      <w:pPr>
        <w:pStyle w:val="ListBullet"/>
      </w:pPr>
      <w:r>
        <w:rPr>
          <w:b/>
        </w:rPr>
        <w:t>По порядку (базовый)</w:t>
      </w:r>
      <w:r>
        <w:t>:</w:t>
      </w:r>
    </w:p>
    <w:p>
      <w:pPr>
        <w:pStyle w:val="ListBullet2"/>
      </w:pPr>
      <w:r>
        <w:t>EN 129–131 ↔ ZH 134: «The research activities are largely concentrated in (a) the Institute for Space Flight Technology and Nuclear Reactor Technology of the Technical University of Braunschweig (IfRR/TUBS) and (b) the Research Establishment…» ↔ «这些研究活动主要都集中在(a)不伦瑞克技术大学的航天技术和核反应堆技术研究所和(b)Wachtberg-Werthhoven应用科学研究所。»</w:t>
      </w:r>
    </w:p>
    <w:p>
      <w:pPr>
        <w:pStyle w:val="Heading2"/>
      </w:pPr>
      <w:r>
        <w:t>Рисунки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57683" cy="32369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igners_ti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7683" cy="32369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ind w:firstLine="0"/>
        <w:jc w:val="center"/>
      </w:pPr>
      <w:r>
        <w:rPr>
          <w:sz w:val="24"/>
        </w:rPr>
        <w:t>Рисунок 1 — Время работы методов выравнивания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cs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pipeline корпуса EN/ZH/RU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