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Сравнение методов выравнивания</w:t>
      </w:r>
    </w:p>
    <w:p>
      <w:pPr>
        <w:pStyle w:val="ListBullet"/>
      </w:pPr>
      <w:r>
        <w:t>Тексты: 8 (my_family, tatoeba, example, letter_xian, market, tea_history, child_language, un_corpus); предложений EN 2641, ZH 2665, RU 2803.</w:t>
      </w:r>
    </w:p>
    <w:p>
      <w:pPr>
        <w:pStyle w:val="ListBullet"/>
      </w:pPr>
      <w:r>
        <w:t>Условия одинаковы для всех методов: та же сегментация, выравнивание по абзацам, EN — опорный язык, EN–ZH и EN–RU выравниваются отдельно.</w:t>
      </w:r>
    </w:p>
    <w:p>
      <w:pPr>
        <w:pStyle w:val="ListBullet"/>
      </w:pPr>
      <w:r>
        <w:t>Сравниваются группы предложений в тройках EN–ZH–RU — так, как они попали бы в корпус: граница между группами остаётся, только если её поставили оба попарных выравнивания. Поэтому объединение предложений в одной паре языков отражается и в группах другой.</w:t>
      </w:r>
    </w:p>
    <w:p>
      <w:pPr>
        <w:pStyle w:val="Heading2"/>
      </w:pPr>
      <w:r>
        <w:t>Методы и время работы</w:t>
      </w:r>
    </w:p>
    <w:p>
      <w:pPr>
        <w:keepNext/>
        <w:ind w:firstLine="0"/>
        <w:jc w:val="left"/>
      </w:pPr>
      <w:r>
        <w:rPr>
          <w:sz w:val="24"/>
        </w:rPr>
        <w:t>Таблица 1 — Методы и время работы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Метод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Выполнен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Загрузка, с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Выравнивание, с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Примечание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bertalign (LaBSE)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нет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—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—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пакет не установлен (bertalign)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LaBSE (алгоритм Bertalign)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нет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—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—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пакет не установлен (sentence_transformers)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Гейл–Чёрч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да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0,00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0,17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По порядку (базовый)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да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0,00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0,04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</w:p>
        </w:tc>
      </w:tr>
    </w:tbl>
    <w:p/>
    <w:p>
      <w:pPr>
        <w:ind w:firstLine="709"/>
      </w:pPr>
      <w:r>
        <w:t>Время зависит от компьютера; для нейросетевых методов «загрузка» включает чтение модели LaBSE. Время LLM включает сетевые запросы (из кэша — почти мгновенно).</w:t>
      </w:r>
    </w:p>
    <w:p>
      <w:pPr>
        <w:ind w:firstLine="709"/>
      </w:pPr>
      <w:r>
        <w:t>Как запустить пропущенные методы:</w:t>
      </w:r>
    </w:p>
    <w:p>
      <w:pPr>
        <w:pStyle w:val="ListBullet"/>
      </w:pPr>
      <w:r>
        <w:rPr>
          <w:b/>
        </w:rPr>
        <w:t>bertalign (LaBSE)</w:t>
      </w:r>
      <w:r>
        <w:t xml:space="preserve">: </w:t>
      </w:r>
      <w:r>
        <w:rPr>
          <w:rFonts w:ascii="Courier New" w:hAnsi="Courier New" w:cs="Courier New" w:eastAsia="Courier New"/>
          <w:sz w:val="24"/>
        </w:rPr>
        <w:t>pip install -r pipeline/requirements-neural.txt</w:t>
      </w:r>
      <w:r>
        <w:t xml:space="preserve"> (≈ 2 ГБ, нужен доступ к huggingface.co); пакет bertalign 2.x — Python ≥ 3.12.</w:t>
      </w:r>
    </w:p>
    <w:p>
      <w:pPr>
        <w:pStyle w:val="ListBullet"/>
      </w:pPr>
      <w:r>
        <w:rPr>
          <w:b/>
        </w:rPr>
        <w:t>LaBSE (алгоритм Bertalign)</w:t>
      </w:r>
      <w:r>
        <w:t xml:space="preserve">: </w:t>
      </w:r>
      <w:r>
        <w:rPr>
          <w:rFonts w:ascii="Courier New" w:hAnsi="Courier New" w:cs="Courier New" w:eastAsia="Courier New"/>
          <w:sz w:val="24"/>
        </w:rPr>
        <w:t>pip install -r pipeline/requirements-neural.txt</w:t>
      </w:r>
      <w:r>
        <w:t xml:space="preserve"> (≈ 2 ГБ, нужен доступ к huggingface.co).</w:t>
      </w:r>
    </w:p>
    <w:p>
      <w:pPr>
        <w:pStyle w:val="Heading2"/>
      </w:pPr>
      <w:r>
        <w:t>Качество по эталону</w:t>
      </w:r>
    </w:p>
    <w:p>
      <w:pPr>
        <w:ind w:firstLine="709"/>
      </w:pPr>
      <w:r>
        <w:rPr>
          <w:b/>
        </w:rPr>
        <w:t>Метрики не рассчитаны:</w:t>
      </w:r>
      <w:r>
        <w:t xml:space="preserve"> файл gold.json не найден. Эталон составляет эксперт в режиме «Проверка» на сайте (см. </w:t>
      </w:r>
      <w:r>
        <w:rPr>
          <w:rFonts w:ascii="Courier New" w:hAnsi="Courier New" w:cs="Courier New" w:eastAsia="Courier New"/>
          <w:sz w:val="24"/>
        </w:rPr>
        <w:t>data/gold/README.md</w:t>
      </w:r>
      <w:r>
        <w:t>).</w:t>
      </w:r>
    </w:p>
    <w:p>
      <w:pPr>
        <w:pStyle w:val="Heading2"/>
      </w:pPr>
      <w:r>
        <w:t>Согласие методов между собой</w:t>
      </w:r>
    </w:p>
    <w:p>
      <w:pPr>
        <w:ind w:firstLine="709"/>
      </w:pPr>
      <w:r>
        <w:t>Доля предложений EN, которые два метода отнесли к одинаковой группе (эталон не нужен).</w:t>
      </w:r>
    </w:p>
    <w:p>
      <w:pPr>
        <w:keepNext/>
        <w:ind w:firstLine="0"/>
        <w:jc w:val="left"/>
      </w:pPr>
      <w:r>
        <w:rPr>
          <w:sz w:val="24"/>
        </w:rPr>
        <w:t>Таблица 2 — Согласие методов между собой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Пара методов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EN–ZH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EN–RU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Гейл–Чёрч — По порядку (базовый)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99,2 % (2620/2641)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99,5 % (2627/2641)</w:t>
            </w:r>
          </w:p>
        </w:tc>
      </w:tr>
    </w:tbl>
    <w:p/>
    <w:p>
      <w:pPr>
        <w:pStyle w:val="Heading2"/>
      </w:pPr>
      <w:r>
        <w:t>Показательные расхождения</w:t>
      </w:r>
    </w:p>
    <w:p>
      <w:pPr>
        <w:ind w:firstLine="709"/>
      </w:pPr>
      <w:r>
        <w:t>Отобрано 10: разные тексты и языковые пары, более крупные участки — раньше.</w:t>
      </w:r>
    </w:p>
    <w:p>
      <w:pPr>
        <w:pStyle w:val="Heading3"/>
      </w:pPr>
      <w:r>
        <w:t>1. un_corpus, EN–RU, EN 1183, 1184, 1185, 1186</w:t>
      </w:r>
    </w:p>
    <w:p>
      <w:pPr>
        <w:pStyle w:val="ListBullet"/>
      </w:pPr>
      <w:r>
        <w:rPr>
          <w:b/>
        </w:rPr>
        <w:t>Гейл–Чёрч</w:t>
      </w:r>
      <w:r>
        <w:t>:</w:t>
      </w:r>
    </w:p>
    <w:p>
      <w:pPr>
        <w:pStyle w:val="ListBullet2"/>
      </w:pPr>
      <w:r>
        <w:t>EN 1183 ↔ RU ∅: «This would allow» ↔ «∅»</w:t>
      </w:r>
    </w:p>
    <w:p>
      <w:pPr>
        <w:pStyle w:val="ListBullet2"/>
      </w:pPr>
      <w:r>
        <w:t>EN 1184 ↔ RU ∅: «(a) the exchange of database information in a structured way,» ↔ «∅»</w:t>
      </w:r>
    </w:p>
    <w:p>
      <w:pPr>
        <w:pStyle w:val="ListBullet2"/>
      </w:pPr>
      <w:r>
        <w:t>EN 1185–1186 ↔ RU 1292: «(b) independent use of hardware, software and communications media, and (c) easy downloading into the recipients own database and the automation of much of this process.» ↔ «Это должно было позволить a) осуществлять обмен структурированной информацией, содержащейся в базах данных, b) обеспечивать независимое использование аппаратных средств, программного обеспечения и средств связи и c) упр…»</w:t>
      </w:r>
    </w:p>
    <w:p>
      <w:pPr>
        <w:pStyle w:val="ListBullet"/>
      </w:pPr>
      <w:r>
        <w:rPr>
          <w:b/>
        </w:rPr>
        <w:t>По порядку (базовый)</w:t>
      </w:r>
      <w:r>
        <w:t>:</w:t>
      </w:r>
    </w:p>
    <w:p>
      <w:pPr>
        <w:pStyle w:val="ListBullet2"/>
      </w:pPr>
      <w:r>
        <w:t>EN 1183–1186 ↔ RU 1292: «This would allow (a) the exchange of database information in a structured way, (b) independent use of hardware, software and communications media, and (c) easy downloading into the recipients own database and the automa…» ↔ «Это должно было позволить a) осуществлять обмен структурированной информацией, содержащейся в базах данных, b) обеспечивать независимое использование аппаратных средств, программного обеспечения и средств связи и c) упр…»</w:t>
      </w:r>
    </w:p>
    <w:p>
      <w:pPr>
        <w:pStyle w:val="Heading3"/>
      </w:pPr>
      <w:r>
        <w:t>2. un_corpus, EN–ZH, EN 1183, 1184, 1185, 1186</w:t>
      </w:r>
    </w:p>
    <w:p>
      <w:pPr>
        <w:pStyle w:val="ListBullet"/>
      </w:pPr>
      <w:r>
        <w:rPr>
          <w:b/>
        </w:rPr>
        <w:t>Гейл–Чёрч</w:t>
      </w:r>
      <w:r>
        <w:t>:</w:t>
      </w:r>
    </w:p>
    <w:p>
      <w:pPr>
        <w:pStyle w:val="ListBullet2"/>
      </w:pPr>
      <w:r>
        <w:t>EN 1183 ↔ ZH ∅: «This would allow» ↔ «∅»</w:t>
      </w:r>
    </w:p>
    <w:p>
      <w:pPr>
        <w:pStyle w:val="ListBullet2"/>
      </w:pPr>
      <w:r>
        <w:t>EN 1184 ↔ ZH ∅: «(a) the exchange of database information in a structured way,» ↔ «∅»</w:t>
      </w:r>
    </w:p>
    <w:p>
      <w:pPr>
        <w:pStyle w:val="ListBullet2"/>
      </w:pPr>
      <w:r>
        <w:t>EN 1185–1186 ↔ ZH 1201: «(b) independent use of hardware, software and communications media, and (c) easy downloading into the recipients own database and the automation of much of this process.» ↔ «这样做就能够(a) 以结构化方式交换数据库信息，(b) 独立使用硬件、软件和通信媒体，(c) 很容易将信息下装到接受者自己的数据库中，并使这一过程大部分实现自动化。»</w:t>
      </w:r>
    </w:p>
    <w:p>
      <w:pPr>
        <w:pStyle w:val="ListBullet"/>
      </w:pPr>
      <w:r>
        <w:rPr>
          <w:b/>
        </w:rPr>
        <w:t>По порядку (базовый)</w:t>
      </w:r>
      <w:r>
        <w:t>:</w:t>
      </w:r>
    </w:p>
    <w:p>
      <w:pPr>
        <w:pStyle w:val="ListBullet2"/>
      </w:pPr>
      <w:r>
        <w:t>EN 1183–1186 ↔ ZH 1201: «This would allow (a) the exchange of database information in a structured way, (b) independent use of hardware, software and communications media, and (c) easy downloading into the recipients own database and the automa…» ↔ «这样做就能够(a) 以结构化方式交换数据库信息，(b) 独立使用硬件、软件和通信媒体，(c) 很容易将信息下装到接受者自己的数据库中，并使这一过程大部分实现自动化。»</w:t>
      </w:r>
    </w:p>
    <w:p>
      <w:pPr>
        <w:pStyle w:val="Heading3"/>
      </w:pPr>
      <w:r>
        <w:t>3. tatoeba, EN–RU, EN 95, 96, 97</w:t>
      </w:r>
    </w:p>
    <w:p>
      <w:pPr>
        <w:pStyle w:val="ListBullet"/>
      </w:pPr>
      <w:r>
        <w:rPr>
          <w:b/>
        </w:rPr>
        <w:t>Гейл–Чёрч</w:t>
      </w:r>
      <w:r>
        <w:t>:</w:t>
      </w:r>
    </w:p>
    <w:p>
      <w:pPr>
        <w:pStyle w:val="ListBullet2"/>
      </w:pPr>
      <w:r>
        <w:t>EN 95–96 ↔ RU 95: «I'd like a doll, a new bicycle.... .» ↔ «Я хочу куклу, новый велосипед... и мир во всём мире!»</w:t>
      </w:r>
    </w:p>
    <w:p>
      <w:pPr>
        <w:pStyle w:val="ListBullet2"/>
      </w:pPr>
      <w:r>
        <w:t>EN 97 ↔ RU ∅: «and peace on earth!» ↔ «∅»</w:t>
      </w:r>
    </w:p>
    <w:p>
      <w:pPr>
        <w:pStyle w:val="ListBullet"/>
      </w:pPr>
      <w:r>
        <w:rPr>
          <w:b/>
        </w:rPr>
        <w:t>По порядку (базовый)</w:t>
      </w:r>
      <w:r>
        <w:t>:</w:t>
      </w:r>
    </w:p>
    <w:p>
      <w:pPr>
        <w:pStyle w:val="ListBullet2"/>
      </w:pPr>
      <w:r>
        <w:t>EN 95–97 ↔ RU 95: «I'd like a doll, a new bicycle.... . and peace on earth!» ↔ «Я хочу куклу, новый велосипед... и мир во всём мире!»</w:t>
      </w:r>
    </w:p>
    <w:p>
      <w:pPr>
        <w:pStyle w:val="Heading3"/>
      </w:pPr>
      <w:r>
        <w:t>4. tatoeba, EN–ZH, EN 95, 96, 97</w:t>
      </w:r>
    </w:p>
    <w:p>
      <w:pPr>
        <w:pStyle w:val="ListBullet"/>
      </w:pPr>
      <w:r>
        <w:rPr>
          <w:b/>
        </w:rPr>
        <w:t>Гейл–Чёрч</w:t>
      </w:r>
      <w:r>
        <w:t>:</w:t>
      </w:r>
    </w:p>
    <w:p>
      <w:pPr>
        <w:pStyle w:val="ListBullet2"/>
      </w:pPr>
      <w:r>
        <w:t>EN 95–96 ↔ ZH 95: «I'd like a doll, a new bicycle.... .» ↔ «我想要一个洋娃娃，一辆新自行车……»</w:t>
      </w:r>
    </w:p>
    <w:p>
      <w:pPr>
        <w:pStyle w:val="ListBullet2"/>
      </w:pPr>
      <w:r>
        <w:t>EN 97 ↔ ZH 96: «and peace on earth!» ↔ «以及世界和平。»</w:t>
      </w:r>
    </w:p>
    <w:p>
      <w:pPr>
        <w:pStyle w:val="ListBullet"/>
      </w:pPr>
      <w:r>
        <w:rPr>
          <w:b/>
        </w:rPr>
        <w:t>По порядку (базовый)</w:t>
      </w:r>
      <w:r>
        <w:t>:</w:t>
      </w:r>
    </w:p>
    <w:p>
      <w:pPr>
        <w:pStyle w:val="ListBullet2"/>
      </w:pPr>
      <w:r>
        <w:t>EN 95–97 ↔ ZH 95–96: «I'd like a doll, a new bicycle.... . and peace on earth!» ↔ «我想要一个洋娃娃，一辆新自行车……以及世界和平。»</w:t>
      </w:r>
    </w:p>
    <w:p>
      <w:pPr>
        <w:pStyle w:val="Heading3"/>
      </w:pPr>
      <w:r>
        <w:t>5. example, EN–RU, EN 17, 18</w:t>
      </w:r>
    </w:p>
    <w:p>
      <w:pPr>
        <w:pStyle w:val="ListBullet"/>
      </w:pPr>
      <w:r>
        <w:rPr>
          <w:b/>
        </w:rPr>
        <w:t>Гейл–Чёрч</w:t>
      </w:r>
      <w:r>
        <w:t>:</w:t>
      </w:r>
    </w:p>
    <w:p>
      <w:pPr>
        <w:pStyle w:val="ListBullet2"/>
      </w:pPr>
      <w:r>
        <w:t>EN 17–18 ↔ RU 17–18: «At noon Anna felt hungry. Near the library there is a small café.» ↔ «В полдень Анна проголодалась. Рядом с библиотекой есть маленькое кафе.»</w:t>
      </w:r>
    </w:p>
    <w:p>
      <w:pPr>
        <w:pStyle w:val="ListBullet"/>
      </w:pPr>
      <w:r>
        <w:rPr>
          <w:b/>
        </w:rPr>
        <w:t>По порядку (базовый)</w:t>
      </w:r>
      <w:r>
        <w:t>:</w:t>
      </w:r>
    </w:p>
    <w:p>
      <w:pPr>
        <w:pStyle w:val="ListBullet2"/>
      </w:pPr>
      <w:r>
        <w:t>EN 17 ↔ RU 17: «At noon Anna felt hungry.» ↔ «В полдень Анна проголодалась.»</w:t>
      </w:r>
    </w:p>
    <w:p>
      <w:pPr>
        <w:pStyle w:val="ListBullet2"/>
      </w:pPr>
      <w:r>
        <w:t>EN 18 ↔ RU 18: «Near the library there is a small café.» ↔ «Рядом с библиотекой есть маленькое кафе.»</w:t>
      </w:r>
    </w:p>
    <w:p>
      <w:pPr>
        <w:pStyle w:val="Heading3"/>
      </w:pPr>
      <w:r>
        <w:t>6. example, EN–ZH, EN 17, 18</w:t>
      </w:r>
    </w:p>
    <w:p>
      <w:pPr>
        <w:pStyle w:val="ListBullet"/>
      </w:pPr>
      <w:r>
        <w:rPr>
          <w:b/>
        </w:rPr>
        <w:t>Гейл–Чёрч</w:t>
      </w:r>
      <w:r>
        <w:t>:</w:t>
      </w:r>
    </w:p>
    <w:p>
      <w:pPr>
        <w:pStyle w:val="ListBullet2"/>
      </w:pPr>
      <w:r>
        <w:t>EN 17–18 ↔ ZH 18: «At noon Anna felt hungry. Near the library there is a small café.» ↔ «中午，安娜饿了，正好图书馆附近有一家小咖啡馆。»</w:t>
      </w:r>
    </w:p>
    <w:p>
      <w:pPr>
        <w:pStyle w:val="ListBullet"/>
      </w:pPr>
      <w:r>
        <w:rPr>
          <w:b/>
        </w:rPr>
        <w:t>По порядку (базовый)</w:t>
      </w:r>
      <w:r>
        <w:t>:</w:t>
      </w:r>
    </w:p>
    <w:p>
      <w:pPr>
        <w:pStyle w:val="ListBullet2"/>
      </w:pPr>
      <w:r>
        <w:t>EN 17 ↔ ZH 18: «At noon Anna felt hungry.» ↔ «中午，安娜饿了，正好图书馆附近有一家小咖啡馆。»</w:t>
      </w:r>
    </w:p>
    <w:p>
      <w:pPr>
        <w:pStyle w:val="ListBullet2"/>
      </w:pPr>
      <w:r>
        <w:t>EN 18 ↔ ZH 19: «Near the library there is a small café.» ↔ «她点了一杯茶和一块苹果派。»</w:t>
      </w:r>
    </w:p>
    <w:p>
      <w:pPr>
        <w:pStyle w:val="Heading3"/>
      </w:pPr>
      <w:r>
        <w:t>7. child_language, EN–ZH, EN 11</w:t>
      </w:r>
    </w:p>
    <w:p>
      <w:pPr>
        <w:pStyle w:val="ListBullet"/>
      </w:pPr>
      <w:r>
        <w:rPr>
          <w:b/>
        </w:rPr>
        <w:t>Гейл–Чёрч</w:t>
      </w:r>
      <w:r>
        <w:t>:</w:t>
      </w:r>
    </w:p>
    <w:p>
      <w:pPr>
        <w:pStyle w:val="ListBullet2"/>
      </w:pPr>
      <w:r>
        <w:t>EN 11 ↔ ZH 11–12: «They do not simply acquire two separate systems; the two languages constantly interact.» ↔ «他们并不是简单地习得两个独立的系统；两种语言一直在相互影响。»</w:t>
      </w:r>
    </w:p>
    <w:p>
      <w:pPr>
        <w:pStyle w:val="ListBullet"/>
      </w:pPr>
      <w:r>
        <w:rPr>
          <w:b/>
        </w:rPr>
        <w:t>По порядку (базовый)</w:t>
      </w:r>
      <w:r>
        <w:t>:</w:t>
      </w:r>
    </w:p>
    <w:p>
      <w:pPr>
        <w:pStyle w:val="ListBullet2"/>
      </w:pPr>
      <w:r>
        <w:t>EN 11 ↔ ZH 11: «They do not simply acquire two separate systems; the two languages constantly interact.» ↔ «他们并不是简单地习得两个独立的系统；»</w:t>
      </w:r>
    </w:p>
    <w:p>
      <w:pPr>
        <w:pStyle w:val="Heading3"/>
      </w:pPr>
      <w:r>
        <w:t>8. letter_xian, EN–ZH, EN 2</w:t>
      </w:r>
    </w:p>
    <w:p>
      <w:pPr>
        <w:pStyle w:val="ListBullet"/>
      </w:pPr>
      <w:r>
        <w:rPr>
          <w:b/>
        </w:rPr>
        <w:t>Гейл–Чёрч</w:t>
      </w:r>
      <w:r>
        <w:t>:</w:t>
      </w:r>
    </w:p>
    <w:p>
      <w:pPr>
        <w:pStyle w:val="ListBullet2"/>
      </w:pPr>
      <w:r>
        <w:t>EN 2 ↔ ZH 2–3: «I am writing to you from Xi'an, an ancient city in the north-west of China.» ↔ «我在西安给你写信。西安是中国西北部的一座古城。»</w:t>
      </w:r>
    </w:p>
    <w:p>
      <w:pPr>
        <w:pStyle w:val="ListBullet"/>
      </w:pPr>
      <w:r>
        <w:rPr>
          <w:b/>
        </w:rPr>
        <w:t>По порядку (базовый)</w:t>
      </w:r>
      <w:r>
        <w:t>:</w:t>
      </w:r>
    </w:p>
    <w:p>
      <w:pPr>
        <w:pStyle w:val="ListBullet2"/>
      </w:pPr>
      <w:r>
        <w:t>EN 2 ↔ ZH 2: «I am writing to you from Xi'an, an ancient city in the north-west of China.» ↔ «我在西安给你写信。»</w:t>
      </w:r>
    </w:p>
    <w:p>
      <w:pPr>
        <w:pStyle w:val="Heading3"/>
      </w:pPr>
      <w:r>
        <w:t>9. un_corpus, EN–RU, EN 1049, 1050, 1051</w:t>
      </w:r>
    </w:p>
    <w:p>
      <w:pPr>
        <w:pStyle w:val="ListBullet"/>
      </w:pPr>
      <w:r>
        <w:rPr>
          <w:b/>
        </w:rPr>
        <w:t>Гейл–Чёрч</w:t>
      </w:r>
      <w:r>
        <w:t>:</w:t>
      </w:r>
    </w:p>
    <w:p>
      <w:pPr>
        <w:pStyle w:val="ListBullet2"/>
      </w:pPr>
      <w:r>
        <w:t>EN 1049–1050 ↔ RU 1133–1136: «Source: Adapted from J. D. Hawkins, M. W. Arthur and R. F. Catalano, &amp;quot; Preventing substance abuse &amp;quot; , Crime and Justice: A Review of Research, vol. 19, M. Tonry and D. Farrington, eds.» ↔ «Источник: На основе J.D. Hawkins, M.W. Arthur and R.F. Catalano, &amp;quot; Preventing substance abuse &amp;quot; , Crime and Justice: A Review of Research, vol. 19, M. Tonry and D. Farrington, eds.»</w:t>
      </w:r>
    </w:p>
    <w:p>
      <w:pPr>
        <w:pStyle w:val="ListBullet2"/>
      </w:pPr>
      <w:r>
        <w:t>EN 1051 ↔ RU 1137–1138: «(Chicago, University of Chicago Press, 1995), table 1, pp. 371-379.» ↔ «(Chicago, University of Chicago Press, 1995), table 1, pp. 371-379.»</w:t>
      </w:r>
    </w:p>
    <w:p>
      <w:pPr>
        <w:pStyle w:val="ListBullet"/>
      </w:pPr>
      <w:r>
        <w:rPr>
          <w:b/>
        </w:rPr>
        <w:t>По порядку (базовый)</w:t>
      </w:r>
      <w:r>
        <w:t>:</w:t>
      </w:r>
    </w:p>
    <w:p>
      <w:pPr>
        <w:pStyle w:val="ListBullet2"/>
      </w:pPr>
      <w:r>
        <w:t>EN 1049–1051 ↔ RU 1133–1138: «Source: Adapted from J. D. Hawkins, M. W. Arthur and R. F. Catalano, &amp;quot; Preventing substance abuse &amp;quot; , Crime and Justice: A Review of Research, vol. 19, M. Tonry and D. Farrington, eds. (Chicago, University of …» ↔ «Источник: На основе J.D. Hawkins, M.W. Arthur and R.F. Catalano, &amp;quot; Preventing substance abuse &amp;quot; , Crime and Justice: A Review of Research, vol. 19, M. Tonry and D. Farrington, eds. (Chicago, University of Chic…»</w:t>
      </w:r>
    </w:p>
    <w:p>
      <w:pPr>
        <w:pStyle w:val="Heading3"/>
      </w:pPr>
      <w:r>
        <w:t>10. un_corpus, EN–ZH, EN 1049, 1050, 1051</w:t>
      </w:r>
    </w:p>
    <w:p>
      <w:pPr>
        <w:pStyle w:val="ListBullet"/>
      </w:pPr>
      <w:r>
        <w:rPr>
          <w:b/>
        </w:rPr>
        <w:t>Гейл–Чёрч</w:t>
      </w:r>
      <w:r>
        <w:t>:</w:t>
      </w:r>
    </w:p>
    <w:p>
      <w:pPr>
        <w:pStyle w:val="ListBullet2"/>
      </w:pPr>
      <w:r>
        <w:t>EN 1049–1050 ↔ ZH 1069: «Source: Adapted from J. D. Hawkins, M. W. Arthur and R. F. Catalano, &amp;quot; Preventing substance abuse &amp;quot; , Crime and Justice: A Review of Research, vol. 19, M. Tonry and D. Farrington, eds.» ↔ «来源：摘自：Hawking,Arthur和Catalano,， &amp;quot; 预防药物滥用 &amp;quot; ，载于《犯罪和司法：调 查概述》，第19卷，编辑Tonry和Farrington（芝加哥：芝加哥大学出版社，1995年），表1，第371－379页。»</w:t>
      </w:r>
    </w:p>
    <w:p>
      <w:pPr>
        <w:pStyle w:val="ListBullet2"/>
      </w:pPr>
      <w:r>
        <w:t>EN 1051 ↔ ZH ∅: «(Chicago, University of Chicago Press, 1995), table 1, pp. 371-379.» ↔ «∅»</w:t>
      </w:r>
    </w:p>
    <w:p>
      <w:pPr>
        <w:pStyle w:val="ListBullet"/>
      </w:pPr>
      <w:r>
        <w:rPr>
          <w:b/>
        </w:rPr>
        <w:t>По порядку (базовый)</w:t>
      </w:r>
      <w:r>
        <w:t>:</w:t>
      </w:r>
    </w:p>
    <w:p>
      <w:pPr>
        <w:pStyle w:val="ListBullet2"/>
      </w:pPr>
      <w:r>
        <w:t>EN 1049–1051 ↔ ZH 1069: «Source: Adapted from J. D. Hawkins, M. W. Arthur and R. F. Catalano, &amp;quot; Preventing substance abuse &amp;quot; , Crime and Justice: A Review of Research, vol. 19, M. Tonry and D. Farrington, eds. (Chicago, University of …» ↔ «来源：摘自：Hawking,Arthur和Catalano,， &amp;quot; 预防药物滥用 &amp;quot; ，载于《犯罪和司法：调 查概述》，第19卷，编辑Tonry和Farrington（芝加哥：芝加哥大学出版社，1995年），表1，第371－379页。»</w:t>
      </w:r>
    </w:p>
    <w:p>
      <w:pPr>
        <w:pStyle w:val="Heading2"/>
      </w:pPr>
      <w:r>
        <w:t>Рисунки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57683" cy="3236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igners_ti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7683" cy="3236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ind w:firstLine="0"/>
        <w:jc w:val="center"/>
      </w:pPr>
      <w:r>
        <w:rPr>
          <w:sz w:val="24"/>
        </w:rPr>
        <w:t>Рисунок 1 — Время работы методов выравнивания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pipeline корпуса EN/ZH/RU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