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r>
        <w:rPr>
          <w:b/>
          <w:bCs/>
          <w:color w:val="1D4ED8"/>
          <w:sz w:val="56"/>
          <w:szCs w:val="56"/>
        </w:rPr>
        <w:t xml:space="preserve">Anomaly Detection</w:t>
      </w:r>
    </w:p>
    <w:p>
      <w:pPr>
        <w:spacing w:after="80"/>
      </w:pPr>
      <w:r>
        <w:rPr>
          <w:color w:val="444444"/>
          <w:sz w:val="28"/>
          <w:szCs w:val="28"/>
        </w:rPr>
        <w:t xml:space="preserve">Theory notes from the AI in Industry course</w:t>
      </w:r>
    </w:p>
    <w:p>
      <w:pPr>
        <w:spacing w:after="1600"/>
      </w:pPr>
      <w:r>
        <w:rPr>
          <w:i/>
          <w:iCs/>
          <w:color w:val="666666"/>
          <w:sz w:val="24"/>
          <w:szCs w:val="24"/>
        </w:rPr>
        <w:t xml:space="preserve">Modules 01 (Density Estimation) and 02 (High-Dimensional Data)</w:t>
      </w:r>
    </w:p>
    <w:p>
      <w:pPr>
        <w:spacing w:after="200"/>
      </w:pPr>
      <w:r>
        <w:rPr>
          <w:color w:val="333333"/>
          <w:sz w:val="21"/>
          <w:szCs w:val="21"/>
        </w:rPr>
        <w:t xml:space="preserve">This document consolidates the theory presented across the two anomaly-detection lecture modules of the “AI in Industry” course (Prof. Michele Lombardi, University of Bologna), taught through interactive Jupyter notebooks built around a running case study (taxi-call volume in New York City) and a second, higher-dimensional case study (High Performance Computing node monitoring). It is meant as a single, linear source covering the concepts, formalizations, algorithms and reasoning steps used in the lectures, independent of any specific downstream project.</w:t>
      </w:r>
    </w:p>
    <w:p>
      <w:r>
        <w:br w:type="page"/>
      </w:r>
    </w:p>
    <w:p>
      <w:pPr>
        <w:pStyle w:val="Heading1"/>
        <w:spacing w:after="200" w:before="480"/>
      </w:pPr>
      <w:r>
        <w:t xml:space="preserve">Part I — Anomaly Detection via Density Estimation</w:t>
      </w:r>
    </w:p>
    <w:p>
      <w:pPr>
        <w:spacing w:after="180" w:line="300"/>
      </w:pPr>
      <w:r>
        <w:t xml:space="preserve">This first part builds a complete anomaly-detection pipeline around a single running example: detecting unusual patterns in the number of taxi calls recorded over time in New York City, using data from the Numenta Anomaly Benchmark (NAB). The narrative arc goes from a first, naïve density estimator to increasingly sophisticated ways of exploiting the temporal structure of the data.</w:t>
      </w:r>
    </w:p>
    <w:p>
      <w:pPr>
        <w:pStyle w:val="Heading2"/>
        <w:spacing w:after="160" w:before="340"/>
      </w:pPr>
      <w:r>
        <w:t xml:space="preserve">1. The Case Study: Anomaly Detection on Taxi Calls</w:t>
      </w:r>
    </w:p>
    <w:p>
      <w:pPr>
        <w:spacing w:after="180" w:line="300"/>
      </w:pPr>
      <w:r>
        <w:t xml:space="preserve">A taxi company records, over regular time intervals, the number of calls it receives. Two business needs follow from this data: sizing the car pool (which depends on the expected call volume) and detecting “anomalies” — deviations from the usual pattern — ideally early enough to react to them. The lectures focus specifically on the detection task.</w:t>
      </w:r>
    </w:p>
    <w:p>
      <w:pPr>
        <w:spacing w:after="180" w:line="300"/>
      </w:pPr>
      <w:r>
        <w:t xml:space="preserve">The recommended way to start any such problem is twofold: talking to the customer to understand their priorities, how their business works, and any expectations about the data; and inspecting the data itself to get a “feel” for it — formally, until its statistical distribution is understood well enough. Doing both early is good practice for any industrial problem.</w:t>
      </w:r>
    </w:p>
    <w:p>
      <w:pPr>
        <w:pStyle w:val="Heading3"/>
        <w:spacing w:after="120" w:before="260"/>
      </w:pPr>
      <w:r>
        <w:t xml:space="preserve">The data</w:t>
      </w:r>
    </w:p>
    <w:p>
      <w:pPr>
        <w:spacing w:after="180" w:line="300"/>
      </w:pPr>
      <w:r>
        <w:t xml:space="preserve">The data is loaded as a univariate time series (a sequence whose row index represents time, tracking a single quantity: the call volume). In pandas, time series are stored exactly like any other DataFrame/Series — the only difference is that the row index is meaningful, since it encodes each observation's position in the sequence. Using a datetime index is convenient because it lets you read timestamps directly, sort by time, and represent gaps between measurements, but the underlying objects are still ordinary DataFrame/Series objects.</w:t>
      </w:r>
    </w:p>
    <w:p>
      <w:pPr>
        <w:spacing w:after="180" w:line="300"/>
      </w:pPr>
      <w:r>
        <w:t xml:space="preserve">Besides the raw series, the NAB benchmark provides two more structures: a series of hand-labeled anomaly timestamps (“labels”), and a table of anomaly “windows” — start/end intervals around each labeled anomaly. Windows exist because, for this kind of problem, reporting an anomaly anywhere inside the window around the true event still has value for the company; detections that occur too early or too late count as misses. Anomalies themselves are rare, which is typical of this class of problem.</w:t>
      </w:r>
    </w:p>
    <w:p>
      <w:pPr>
        <w:pStyle w:val="Heading2"/>
        <w:spacing w:after="160" w:before="340"/>
      </w:pPr>
      <w:r>
        <w:t xml:space="preserve">2. Formalizing Anomaly Detection</w:t>
      </w:r>
    </w:p>
    <w:p>
      <w:pPr>
        <w:spacing w:after="180" w:line="300"/>
      </w:pPr>
      <w:r>
        <w:t xml:space="preserve">Plotting the histogram of the data around a known anomaly, compared with the histogram over all the data, already suggests a visible difference in distribution. This observation motivates a general strategy: characterize the data's probability distribution, and flag as anomalous any observation that this distribution assigns a low probability to. Anomalies are, by definition, rare events — so their rarity, usually seen as a nuisance, becomes the very signal used to detect them.</w:t>
      </w:r>
    </w:p>
    <w:p>
      <w:pPr>
        <w:spacing w:after="180" w:line="300"/>
      </w:pPr>
      <w:r>
        <w:t xml:space="preserve">Formally, for a random variable X with values x and Probability Density Function f(x), the detection condition is:</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f(x) ≤ ε     (flag x as anomalous when its estimated density falls below a threshold ε)</w:t>
      </w:r>
    </w:p>
    <w:p>
      <w:pPr>
        <w:spacing w:after="180" w:line="300"/>
      </w:pPr>
      <w:r>
        <w:t xml:space="preserve">This requires estimating probability densities. For a random process with an n-dimensional variable x, given the (unknown) true density f∗(x): ℝⁿ → ℝ⁺, we look for a parametric function f̂(x, θ) that approximates it as closely as possible.</w:t>
      </w:r>
    </w:p>
    <w:p>
      <w:pPr>
        <w:pStyle w:val="Heading3"/>
        <w:spacing w:after="120" w:before="260"/>
      </w:pPr>
      <w:r>
        <w:t xml:space="preserve">Why this is an unsupervised problem</w:t>
      </w:r>
    </w:p>
    <w:p>
      <w:pPr>
        <w:spacing w:after="180" w:line="300"/>
      </w:pPr>
      <w:r>
        <w:t xml:space="preserve">It is tempting to think of density estimation as a supervised regression task: pick a loss L(y, ŷ) and solve argminθ L(f̂(x, θ), f∗(x)). This cannot work, because in practice we never have access to the true density f∗ to use as a target. Density estimation is therefore an unsupervised learning problem, solvable via a number of techniques: simple histograms, Kernel Density Estimation, Gaussian Mixture Models, Normalizing Flows, or Non-Volume-Preserving (NVP) transformations.</w:t>
      </w:r>
    </w:p>
    <w:p>
      <w:pPr>
        <w:pStyle w:val="Heading3"/>
        <w:spacing w:after="120" w:before="260"/>
      </w:pPr>
      <w:r>
        <w:t xml:space="preserve">Occam’s razor</w:t>
      </w:r>
    </w:p>
    <w:p>
      <w:pPr>
        <w:spacing w:after="180" w:line="300"/>
      </w:pPr>
      <w:r>
        <w:t xml:space="preserve">Faced with this menu of techniques, the lectures adopt Occam’s razor — the philosophical principle that, between two competing hypotheses, the simpler one is usually correct. In practice this means starting with the simplest reasonable approach: if it works, you have a solution; if it doesn’t, you at least have a baseline to compare against. Either way you come out ahead. For this case study the chosen technique is Kernel Density Estimation (KDE).</w:t>
      </w:r>
    </w:p>
    <w:p>
      <w:pPr>
        <w:pStyle w:val="Heading2"/>
        <w:spacing w:after="160" w:before="340"/>
      </w:pPr>
      <w:r>
        <w:t xml:space="preserve">3. Kernel Density Estimation (KDE)</w:t>
      </w:r>
    </w:p>
    <w:p>
      <w:pPr>
        <w:spacing w:after="180" w:line="300"/>
      </w:pPr>
      <w:r>
        <w:t xml:space="preserve">The core idea of KDE: wherever, in input space, there is a training sample, it is likely that there are more samples nearby. KDE formalizes this by treating every training sample as the center of a small density “kernel” — and summing all these kernels to obtain the estimated density anywhere in the space.</w:t>
      </w:r>
    </w:p>
    <w:p>
      <w:pPr>
        <w:spacing w:after="180" w:line="300"/>
      </w:pPr>
      <w:r>
        <w:t xml:space="preserve">A kernel K(x, h) is itself a valid PDF, where x is the input (scalar or vector) and h is a bandwidth parameter (scalar or matrix) controlling its spread. Typical kernel shapes include Gaussian, exponential, cosine, and linear (“tophat” is another common choice, giving a flat, box-shaped kernel). A Gaussian kernel in scikit-learn is proportional to:</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K(x, h) ∝ exp( − x² / (2h²) )</w:t>
      </w:r>
    </w:p>
    <w:p>
      <w:pPr>
        <w:spacing w:after="180" w:line="300"/>
      </w:pPr>
      <w:r>
        <w:t xml:space="preserve">This has the same shape as a Normal PDF, with mean interpreted as 0 and h playing the role of the standard deviation (scikit-learn handles the normalization constant). Because every kernel is by default centered on 0, placing one over a sample ̄x requires an affine (scale/location) shift: K(x − ̄x, h) gives the kernel value, centered on ̄x, evaluated at x.</w:t>
      </w:r>
    </w:p>
    <w:p>
      <w:pPr>
        <w:spacing w:after="180" w:line="300"/>
      </w:pPr>
      <w:r>
        <w:t xml:space="preserve">The estimated density at any point is then the average of the kernel evaluated at every training sample:</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f(x, ̄x, h) = (1/m) Σᵢ K(x − ̄xᵢ, h)     for i = 1..m training samples</w:t>
      </w:r>
    </w:p>
    <w:p>
      <w:pPr>
        <w:spacing w:after="180" w:line="300"/>
      </w:pPr>
      <w:r>
        <w:t xml:space="preserve">Changing the kernel function lets you adjust properties of the resulting distribution, such as smoothness; the choice is typically guided by prior domain knowledge.</w:t>
      </w:r>
    </w:p>
    <w:p>
      <w:pPr>
        <w:pStyle w:val="Heading3"/>
        <w:spacing w:after="120" w:before="260"/>
      </w:pPr>
      <w:r>
        <w:t xml:space="preserve">KDE is a non-parametric, memory-based model</w:t>
      </w:r>
    </w:p>
    <w:p>
      <w:pPr>
        <w:spacing w:after="180" w:line="300"/>
      </w:pPr>
      <w:r>
        <w:t xml:space="preserve">KDE models are not “trained” in the usual sense of fitting weights: they store the entire training set internally, since the training data is itself part of the model's parameters. This is a property shared by most kernel-based models. The one quantity that genuinely needs to be tuned is the bandwidth h. A general approach for choosing it is covered later in the course, but in the univariate case a convenient rule of thumb is:</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h = 0.9 · min( σ̂, IQR / 1.34 ) · m^(−1/5)     (IQR = inter-quartile range, m = number of training samples)</w:t>
      </w:r>
    </w:p>
    <w:p>
      <w:pPr>
        <w:pStyle w:val="Heading2"/>
        <w:spacing w:after="160" w:before="340"/>
      </w:pPr>
      <w:r>
        <w:t xml:space="preserve">4. Applying KDE to the Taxi Case Study</w:t>
      </w:r>
    </w:p>
    <w:p>
      <w:pPr>
        <w:pStyle w:val="Heading3"/>
        <w:spacing w:after="120" w:before="260"/>
      </w:pPr>
      <w:r>
        <w:t xml:space="preserve">Log-probabilities and the alarm signal</w:t>
      </w:r>
    </w:p>
    <w:p>
      <w:pPr>
        <w:spacing w:after="180" w:line="300"/>
      </w:pPr>
      <w:r>
        <w:t xml:space="preserve">In practice, the lectures work with log probabilities (scikit-learn's default, which turns products into sums) and, further, with negated log probabilities — interpretable directly as “alarm signals”, the customary convention in anomaly detection. The detection condition becomes an equivalent reformulation:</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 log f(x, θ) ≥ ε</w:t>
      </w:r>
    </w:p>
    <w:p>
      <w:pPr>
        <w:pStyle w:val="Heading3"/>
        <w:spacing w:after="120" w:before="260"/>
      </w:pPr>
      <w:r>
        <w:t xml:space="preserve">Train / test split, and the role of anomalies in training</w:t>
      </w:r>
    </w:p>
    <w:p>
      <w:pPr>
        <w:spacing w:after="180" w:line="300"/>
      </w:pPr>
      <w:r>
        <w:t xml:space="preserve">The data is split into a training set, ideally free of anomalies (or at least containing them only very infrequently, since an infrequent anomaly is still learned as low-probability), used purely to fit the KDE model; and a test set used to assess generalization. In time series specifically, splits are made chronologically — not at random — so that the model is never fit on “future” information relative to what it is tested on.</w:t>
      </w:r>
    </w:p>
    <w:p>
      <w:pPr>
        <w:spacing w:after="180" w:line="300"/>
      </w:pPr>
      <w:r>
        <w:t xml:space="preserve">After fitting a univariate KDE with the bandwidth rule of thumb, the negative log-density evaluated over the whole series is the alarm signal. Notice that inference (scoring) is noticeably slower than training — a direct consequence of KDE storing the entire training set and having to sum a kernel contribution from every stored sample for every new evaluation.</w:t>
      </w:r>
    </w:p>
    <w:p>
      <w:pPr>
        <w:pStyle w:val="Heading2"/>
        <w:spacing w:after="160" w:before="340"/>
      </w:pPr>
      <w:r>
        <w:t xml:space="preserve">5. Evaluating Anomaly Detection: Cost Models and Metrics</w:t>
      </w:r>
    </w:p>
    <w:p>
      <w:pPr>
        <w:spacing w:after="180" w:line="300"/>
      </w:pPr>
      <w:r>
        <w:t xml:space="preserve">Evaluating an anomaly detector is trickier than it looks: exact timestamp matching is rarely the right criterion, sometimes anticipation matters, sometimes only past detection matters, and there is no catch-all metric analogous to accuracy in classification. The recommended approach is instead to build a cost model that captures the actual costs and benefits of predictions for the customer — keeping the focus on the value delivered, which the lectures stress as important for all industrial problems, not just this one.</w:t>
      </w:r>
    </w:p>
    <w:p>
      <w:pPr>
        <w:pStyle w:val="Heading3"/>
        <w:spacing w:after="120" w:before="260"/>
      </w:pPr>
      <w:r>
        <w:t xml:space="preserve">Definitions</w:t>
      </w:r>
    </w:p>
    <w:p>
      <w:pPr>
        <w:pStyle w:val="ListParagraph"/>
        <w:numPr>
          <w:ilvl w:val="0"/>
          <w:numId w:val="1"/>
        </w:numPr>
        <w:spacing w:after="100" w:line="300"/>
      </w:pPr>
      <w:r>
        <w:t xml:space="preserve">True Positives (TP): windows for which at least one anomaly is detected.</w:t>
      </w:r>
    </w:p>
    <w:p>
      <w:pPr>
        <w:pStyle w:val="ListParagraph"/>
        <w:numPr>
          <w:ilvl w:val="0"/>
          <w:numId w:val="1"/>
        </w:numPr>
        <w:spacing w:after="100" w:line="300"/>
      </w:pPr>
      <w:r>
        <w:t xml:space="preserve">False Positives (FP): detected anomalies that fall outside every window.</w:t>
      </w:r>
    </w:p>
    <w:p>
      <w:pPr>
        <w:pStyle w:val="ListParagraph"/>
        <w:numPr>
          <w:ilvl w:val="0"/>
          <w:numId w:val="1"/>
        </w:numPr>
        <w:spacing w:after="100" w:line="300"/>
      </w:pPr>
      <w:r>
        <w:t xml:space="preserve">False Negatives (FN): labeled anomalies that go entirely undetected.</w:t>
      </w:r>
    </w:p>
    <w:p>
      <w:pPr>
        <w:pStyle w:val="ListParagraph"/>
        <w:numPr>
          <w:ilvl w:val="0"/>
          <w:numId w:val="1"/>
        </w:numPr>
        <w:spacing w:after="100" w:line="300"/>
      </w:pPr>
      <w:r>
        <w:t xml:space="preserve">Advance: the time between an anomaly and the moment it is first detected.</w:t>
      </w:r>
    </w:p>
    <w:p>
      <w:pPr>
        <w:pStyle w:val="Heading3"/>
        <w:spacing w:after="120" w:before="260"/>
      </w:pPr>
      <w:r>
        <w:t xml:space="preserve">A simple cost model</w:t>
      </w:r>
    </w:p>
    <w:p>
      <w:pPr>
        <w:spacing w:after="180" w:line="300"/>
      </w:pPr>
      <w:r>
        <w:t xml:space="preserve">Three costs are introduced: c_alarm for the time lost investigating a false positive, c_missed for missing an anomaly outright, and c_late for a late detection (a partial loss of value). A simple, serviceable cost is then:</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cost = c_alarm · |FP| + c_missed · |FN| + c_late · |{late detections}|</w:t>
      </w:r>
    </w:p>
    <w:p>
      <w:pPr>
        <w:spacing w:after="180" w:line="300"/>
      </w:pPr>
      <w:r>
        <w:t xml:space="preserve">The lectures are explicit that, in a real deployment, this cost model should be discussed and agreed with the stakeholders, rather than picked arbitrarily.</w:t>
      </w:r>
    </w:p>
    <w:p>
      <w:pPr>
        <w:pStyle w:val="Heading3"/>
        <w:spacing w:after="120" w:before="260"/>
      </w:pPr>
      <w:r>
        <w:t xml:space="preserve">Threshold choice</w:t>
      </w:r>
    </w:p>
    <w:p>
      <w:pPr>
        <w:spacing w:after="180" w:line="300"/>
      </w:pPr>
      <w:r>
        <w:t xml:space="preserve">With a cost model in hand, the detection threshold ε can itself be optimized. Two practical obstacles arise: not all data can be used for optimization (some must be held out to test generalization), and the threshold-to-cost function is non-smooth and non-differentiable. Both are easy to address: a validation set is defined for threshold tuning, and — since ε is a scalar — a simple line-search (grid) approach over a range of candidate thresholds suffices, picking the value with lowest cost.</w:t>
      </w:r>
    </w:p>
    <w:p>
      <w:pPr>
        <w:spacing w:after="200"/>
        <w:ind w:left="300"/>
      </w:pPr>
      <w:r>
        <w:rPr>
          <w:i/>
          <w:iCs/>
          <w:color w:val="555555"/>
          <w:sz w:val="21"/>
          <w:szCs w:val="21"/>
        </w:rPr>
        <w:t xml:space="preserve">Note — The lectures highlight an intentional departure from the standard train/validation/test recipe: the “validation set” used to pick the threshold is allowed to include the training data. This is reasonable here because the validation set is not being used to guard against overfitting on model parameters — it is being used to optimize one extra scalar parameter (ε), which is really part of the training process, not a separate generalization check.</w:t>
      </w:r>
    </w:p>
    <w:p>
      <w:pPr>
        <w:spacing w:after="180" w:line="300"/>
      </w:pPr>
      <w:r>
        <w:t xml:space="preserve">Because time series often drift — the anomaly frequency, for example, can change over time — the lectures also stress splitting the series into contiguous chronological chunks (train, validation, test as sequential blocks), never at random, exactly as recommended for the initial train/test split.</w:t>
      </w:r>
    </w:p>
    <w:p>
      <w:pPr>
        <w:pStyle w:val="Heading2"/>
        <w:spacing w:after="160" w:before="340"/>
      </w:pPr>
      <w:r>
        <w:t xml:space="preserve">6. Exploiting Temporal Correlation: Sliding Windows</w:t>
      </w:r>
    </w:p>
    <w:p>
      <w:pPr>
        <w:spacing w:after="180" w:line="300"/>
      </w:pPr>
      <w:r>
        <w:t xml:space="preserve">Zooming into a short stretch of the series shows nearby points taking similar values — i.e., they are correlated. This correlation can be studied quantitatively with autocorrelation plots: for a range of candidate lags l, the series is shifted by l steps and the Pearson correlation coefficient with the original series is computed; plotting this against l shows where correlation is significant (far from zero) versus negligible (close to zero). In the taxi data, correlation is strong up to about 4–5 lags.</w:t>
      </w:r>
    </w:p>
    <w:p>
      <w:pPr>
        <w:spacing w:after="180" w:line="300"/>
      </w:pPr>
      <w:r>
        <w:t xml:space="preserve">These correlations carry information that a model scoring individual observations in isolation completely ignores. The standard way to exploit them is to feed the model sequences of observations instead of single points — a very common approach in time series analysis.</w:t>
      </w:r>
    </w:p>
    <w:p>
      <w:pPr>
        <w:pStyle w:val="Heading3"/>
        <w:spacing w:after="120" w:before="260"/>
      </w:pPr>
      <w:r>
        <w:t xml:space="preserve">The sliding window construction</w:t>
      </w:r>
    </w:p>
    <w:p>
      <w:pPr>
        <w:spacing w:after="180" w:line="300"/>
      </w:pPr>
      <w:r>
        <w:t xml:space="preserve">A sliding window of length w is placed at the start of the series, the corresponding w observations are extracted as one example, the window is then moved forward by a stride, and the process repeats. With m the resulting number of examples, the output is a table where row t_i holds w consecutive observations, and column s_j is the position of an observation within its window (0 to w−1).</w:t>
      </w:r>
    </w:p>
    <w:p>
      <w:pPr>
        <w:spacing w:after="180" w:line="300"/>
      </w:pPr>
      <w:r>
        <w:t xml:space="preserve">Pandas offers a native sliding-window iterator, DataFrame.rolling(window, ...); the first (window−1) applications are incomplete (shorter than the requested length) and are typically discarded. Building this table row-by-row via the rolling iterator works but is comparatively slow, because there are usually far fewer columns than rows in this kind of table. A faster approach builds the table column-by-column instead: each column is obtained by slicing the original series with `iloc` at a fixed offset, and the resulting columns are stacked horizontally (`np.hstack`) into the final table — wrapped in a small `sliding_window_1D(data, wlen)` utility function that generalizes beyond this specific series.</w:t>
      </w:r>
    </w:p>
    <w:p>
      <w:pPr>
        <w:pStyle w:val="Heading2"/>
        <w:spacing w:after="160" w:before="340"/>
      </w:pPr>
      <w:r>
        <w:t xml:space="preserve">7. Multivariate KDE on Sequences</w:t>
      </w:r>
    </w:p>
    <w:p>
      <w:pPr>
        <w:spacing w:after="180" w:line="300"/>
      </w:pPr>
      <w:r>
        <w:t xml:space="preserve">Feeding windowed data into KDE is straightforward in principle: treat each window as a vector-valued sample and fit a multivariate KDE as usual. Individual windows in the resulting dataset are treated as statistically independent by the estimator — a simplifying assumption rooted in KDE's basic mechanics, and one that becomes approximately valid for a sufficiently long window, since it amounts to invoking the Markov property (that the near future depends on the recent past, not the whole history).</w:t>
      </w:r>
    </w:p>
    <w:p>
      <w:pPr>
        <w:spacing w:after="180" w:line="300"/>
      </w:pPr>
      <w:r>
        <w:t xml:space="preserve">This observation also gives a practical rule for picking the window length: use the autocorrelation plot, and end the window roughly where the correlation drops to a negligible level (10 steps, in the taxi example).</w:t>
      </w:r>
    </w:p>
    <w:p>
      <w:pPr>
        <w:pStyle w:val="Heading3"/>
        <w:spacing w:after="120" w:before="260"/>
      </w:pPr>
      <w:r>
        <w:t xml:space="preserve">Choosing the bandwidth for multivariate KDE</w:t>
      </w:r>
    </w:p>
    <w:p>
      <w:pPr>
        <w:spacing w:after="180" w:line="300"/>
      </w:pPr>
      <w:r>
        <w:t xml:space="preserve">The univariate rule of thumb no longer applies once the input is a vector. The general approach instead relies on maximum likelihood: a good bandwidth is one that makes the actual (held-out) data register as likely as possible under the fitted model. Formally, for a validation set x of m independent examples, the likelihood function is:</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L(h, x, ̄x) = Πᵢ f̂(xᵢ, ̄xᵢ, h)     for i = 1..m</w:t>
      </w:r>
    </w:p>
    <w:p>
      <w:pPr>
        <w:spacing w:after="180" w:line="300"/>
      </w:pPr>
      <w:r>
        <w:t xml:space="preserve">and the bandwidth is chosen to (in expectation) maximize this likelihood:</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h* = argmaxₕ  𝔼[ L(h, x, ̄x) ]     over x ~ f(x), ̄x ~ f(x)</w:t>
      </w:r>
    </w:p>
    <w:p>
      <w:pPr>
        <w:spacing w:after="180" w:line="300"/>
      </w:pPr>
      <w:r>
        <w:t xml:space="preserve">As with most training problems, this expectation cannot be solved exactly; it is approximated by sampling multiple training/validation pairs (or, in a pinch, using just a single pair) and picking the h with the best average result. In practice this is implemented via grid search combined with cross-validation (scikit-learn's `GridSearchCV`, using cross-fold validation to generate the train/validation pairs). This is an expensive step: many bandwidth candidates must be tried, each requiring several cross-validation folds, and KDE itself becomes slower as dimensionality grows.</w:t>
      </w:r>
    </w:p>
    <w:p>
      <w:pPr>
        <w:spacing w:after="180" w:line="300"/>
      </w:pPr>
      <w:r>
        <w:t xml:space="preserve">Applying the resulting best multivariate KDE estimator to score the full windowed dataset produces an alarm signal that is visibly better (though somewhat noisier) than the single-point KDE signal, and threshold optimization proceeds exactly as before.</w:t>
      </w:r>
    </w:p>
    <w:p>
      <w:pPr>
        <w:pStyle w:val="Heading2"/>
        <w:spacing w:after="160" w:before="340"/>
      </w:pPr>
      <w:r>
        <w:t xml:space="preserve">8. Handling Periodicity: Time-Dependent Estimators</w:t>
      </w:r>
    </w:p>
    <w:p>
      <w:pPr>
        <w:spacing w:after="180" w:line="300"/>
      </w:pPr>
      <w:r>
        <w:t xml:space="preserve">A closer look at the sequence-based estimator reveals a subtle problem. Consider the first two window applications: in the first, the observations correspond to timestamps 00:00, 00:30, …; in the second (shifted by one step), the same relative positions now correspond to 00:30, 01:00, … — moving the window forward changes “who is who” within it. The model therefore ends up learning the distribution of, say, “the first position in the window” many times over, once per possible time-of-day alignment, which is both an unnecessarily complex learning problem and, at the same time, a failure to exploit a very real piece of available knowledge (the time information itself). The lectures state this as a general principle: never introduce complications unless they earn their keep, and never willingly throw away information.</w:t>
      </w:r>
    </w:p>
    <w:p>
      <w:pPr>
        <w:spacing w:after="180" w:line="300"/>
      </w:pPr>
      <w:r>
        <w:t xml:space="preserve">Looking a bit further into the series shows a clearly recurring pattern — the series is approximately periodic — confirmed by a strong autocorrelation peak at lag 48 (a 30-minute step × 48 = 24 hours).</w:t>
      </w:r>
    </w:p>
    <w:p>
      <w:pPr>
        <w:pStyle w:val="Heading3"/>
        <w:spacing w:after="120" w:before="260"/>
      </w:pPr>
      <w:r>
        <w:t xml:space="preserve">Time as an additional input</w:t>
      </w:r>
    </w:p>
    <w:p>
      <w:pPr>
        <w:spacing w:after="180" w:line="300"/>
      </w:pPr>
      <w:r>
        <w:t xml:space="preserve">The natural fix is to treat the distribution as depending on the time of day t, and to feed KDE the pair (x, t) jointly — extracting the hour-of-day directly from the timestamp index and appending it as a new column. Fitting KDE on this augmented data estimates the joint density f(t, x), visualized as a 2D histogram of value against time-of-day.</w:t>
      </w:r>
    </w:p>
    <w:p>
      <w:pPr>
        <w:pStyle w:val="Heading3"/>
        <w:spacing w:after="120" w:before="260"/>
      </w:pPr>
      <w:r>
        <w:t xml:space="preserve">Joint density is not quite what we want</w:t>
      </w:r>
    </w:p>
    <w:p>
      <w:pPr>
        <w:spacing w:after="180" w:line="300"/>
      </w:pPr>
      <w:r>
        <w:t xml:space="preserve">Flagging an anomaly whenever f(t, x) ≤ ε is subtly wrong: this joint condition can trip either because x (the call volume) is unlikely, or because t (the time) is “unlikely” — but time is completely predictable, a controlled variable whose only apparent variation in estimated density is a sampling artifact. What we actually care about is the conditional density:</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f(x ∣ t)     — the density of the observed x, given that t is known</w:t>
      </w:r>
    </w:p>
    <w:p>
      <w:pPr>
        <w:spacing w:after="180" w:line="300"/>
      </w:pPr>
      <w:r>
        <w:t xml:space="preserve">so the correct detection condition is f(x ∣ t) ≤ ε, even though what KDE can estimate directly is the joint density f(t, x). Using the definition of conditional probability, f(t, x) = f(x ∣ t) f(t), the condition rewrites to:</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f(t, x) / f(t) ≤ ε</w:t>
      </w:r>
    </w:p>
    <w:p>
      <w:pPr>
        <w:spacing w:after="180" w:line="300"/>
      </w:pPr>
      <w:r>
        <w:t xml:space="preserve">which needs both an estimator for f(t, x) (already available) and one for f(t) (easily obtained, e.g. with KDE again). In this specific case, however, the time distribution turns out to be uniform — f(t) is constant — so the condition simplifies back to checking the joint probability against a rescaled threshold:</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f(t, x) ≤ ε′     where ε′ = ε · f(t)</w:t>
      </w:r>
    </w:p>
    <w:p>
      <w:pPr>
        <w:spacing w:after="180" w:line="300"/>
      </w:pPr>
      <w:r>
        <w:t xml:space="preserve">Since ε′ still has to be chosen (tuned) anyway, this makes no practical difference, and the joint density f(t, x) can be used directly for anomaly detection in this non-degenerate case.</w:t>
      </w:r>
    </w:p>
    <w:p>
      <w:pPr>
        <w:pStyle w:val="Heading3"/>
        <w:spacing w:after="120" w:before="260"/>
      </w:pPr>
      <w:r>
        <w:t xml:space="preserve">A technical detail: normalization</w:t>
      </w:r>
    </w:p>
    <w:p>
      <w:pPr>
        <w:spacing w:after="180" w:line="300"/>
      </w:pPr>
      <w:r>
        <w:t xml:space="preserve">Choosing the bandwidth again uses grid search with cross-validation, but this time the data must first be normalized (e.g. with a MinMaxScaler, fit on the training portion only). This matters because scikit-learn's efficient KDE implementation requires using the same bandwidth for every input dimension; normalizing the features first makes this shared-bandwidth constraint far less of a limitation, and it also makes choosing a sensible grid-search range for the bandwidth easier.</w:t>
      </w:r>
    </w:p>
    <w:p>
      <w:pPr>
        <w:spacing w:after="180" w:line="300"/>
      </w:pPr>
      <w:r>
        <w:t xml:space="preserve">Adding the time feature and optimizing the threshold the same way as before yields a further improvement in cost over the sequence-only estimator (30 vs. 45 in the lecture’s example) — and the lecture notes that a second, distinct periodicity still remains to be discovered in the data (left as an exercise).</w:t>
      </w:r>
    </w:p>
    <w:p>
      <w:pPr>
        <w:pStyle w:val="Heading2"/>
        <w:spacing w:after="160" w:before="340"/>
      </w:pPr>
      <w:r>
        <w:t xml:space="preserve">9. Selection Ensembles: Time-Indexed Models</w:t>
      </w:r>
    </w:p>
    <w:p>
      <w:pPr>
        <w:spacing w:after="180" w:line="300"/>
      </w:pPr>
      <w:r>
        <w:t xml:space="preserve">The joint/conditional density trick required introducing one extra input dimension. An alternative way to exploit time, which also generalizes more cleanly to combining time with sequence input, is to learn many density estimators, each specialized for a single time value (e.g., one KDE for 00:00, one for 00:30, and so on), and to pick which one to use based on the current time.</w:t>
      </w:r>
    </w:p>
    <w:p>
      <w:pPr>
        <w:spacing w:after="180" w:line="300"/>
      </w:pPr>
      <w:r>
        <w:t xml:space="preserve">Formally, this is a first example of an ensemble model, obtained by evaluating:</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f_{g(t)}(x)</w:t>
      </w:r>
    </w:p>
    <w:p>
      <w:pPr>
        <w:spacing w:after="180" w:line="300"/>
      </w:pPr>
      <w:r>
        <w:t xml:space="preserve">where each f_i is one specialized estimator, and the selector function g(t) retrieves the correct f_i for the current time value t. The lectures name this general pattern a “selection ensemble”: each individual estimator is trained on a smaller slice of the data, but the problem each one has to solve is correspondingly easier.</w:t>
      </w:r>
    </w:p>
    <w:p>
      <w:pPr>
        <w:pStyle w:val="Heading3"/>
        <w:spacing w:after="120" w:before="260"/>
      </w:pPr>
      <w:r>
        <w:t xml:space="preserve">Building the ensemble</w:t>
      </w:r>
    </w:p>
    <w:p>
      <w:pPr>
        <w:spacing w:after="180" w:line="300"/>
      </w:pPr>
      <w:r>
        <w:t xml:space="preserve">In practice: the (windowed) training data is grouped by unique time-of-day value (48 distinct half-hour slots in the taxi example); for simplicity, a single bandwidth is chosen once via grid search on one representative time slot and reused for every specialized estimator (in principle each one could be recalibrated individually); then one KDE is fit per time slot, on only the rows belonging to that slot, and the resulting estimators are stored (e.g., in a dictionary keyed by time value).</w:t>
      </w:r>
    </w:p>
    <w:p>
      <w:pPr>
        <w:spacing w:after="180" w:line="300"/>
      </w:pPr>
      <w:r>
        <w:t xml:space="preserve">Generating the alarm signal means scoring, for each time slot, only the rows belonging to that slot with its own specialized estimator, then concatenating all the resulting partial signals into one series and sorting by timestamp (concatenating once, rather than repeatedly appending, is markedly faster in pandas). The resulting signal looks similar to the joint/conditional time-dependent model, but somewhat smoother — more like the sequence-based model — and, in the lecture's numbers, achieves the best cost of all the approaches tried in this module. Because each estimator is fit on a smaller dataset, the whole process is also faster than fitting one estimator on everything.</w:t>
      </w:r>
    </w:p>
    <w:p>
      <w:r>
        <w:br w:type="page"/>
      </w:r>
    </w:p>
    <w:p>
      <w:pPr>
        <w:pStyle w:val="Heading1"/>
        <w:spacing w:after="200" w:before="480"/>
      </w:pPr>
      <w:r>
        <w:t xml:space="preserve">Part II — Anomaly Detection in High-Dimensional Data</w:t>
      </w:r>
    </w:p>
    <w:p>
      <w:pPr>
        <w:spacing w:after="180" w:line="300"/>
      </w:pPr>
      <w:r>
        <w:t xml:space="preserve">The second module moves from the low-dimensional taxi case study to a genuinely multivariate, higher-dimensional problem: detecting misconfigurations in a High Performance Computing (HPC) system. This shift exposes real scalability and interpretability limitations of KDE, and motivates two further families of density/anomaly models: Gaussian Mixture Models and autoencoders.</w:t>
      </w:r>
    </w:p>
    <w:p>
      <w:pPr>
        <w:pStyle w:val="Heading2"/>
        <w:spacing w:after="160" w:before="340"/>
      </w:pPr>
      <w:r>
        <w:t xml:space="preserve">1. The Case Study: Anomaly Detection in HPC Centers</w:t>
      </w:r>
    </w:p>
    <w:p>
      <w:pPr>
        <w:spacing w:after="180" w:line="300"/>
      </w:pPr>
      <w:r>
        <w:t xml:space="preserve">High Performance Computing (HPC) refers to hardware/software infrastructure built for particularly intensive workloads — simulation, massive data analysis, training large ML models. It differs from cloud computing (which is mostly about running and scaling services) in that HPC is primarily about raw performance. HPC systems operate on a batch paradigm: users submit jobs, which land in queues; a job scheduler draws from those queues and dispatches jobs to compute nodes. Large systems (e.g., Leonardo, ranked 7th on the Top500 list as of June 2024, with over 1.8 million cores) are complex to configure and maintain, both because of their scale and because of node heterogeneity — hence the interest in automatically detecting anomalous conditions.</w:t>
      </w:r>
    </w:p>
    <w:p>
      <w:pPr>
        <w:pStyle w:val="Heading3"/>
        <w:spacing w:after="120" w:before="260"/>
      </w:pPr>
      <w:r>
        <w:t xml:space="preserve">The dataset</w:t>
      </w:r>
    </w:p>
    <w:p>
      <w:pPr>
        <w:spacing w:after="180" w:line="300"/>
      </w:pPr>
      <w:r>
        <w:t xml:space="preserve">The example system is DAVIDE, a small-scale, energy-aware, liquid-cooled architecture built together with the University of Bologna, monitored by the ExaMon infrastructure and decommissioned in January 2020. Its monitoring system collects data at high frequency but stores only 5-minute averages long-term. The dataset used covers the non-idle periods of a single node, and is a genuinely multivariate time series (multiple monitored signals per timestamp), unlike the univariate taxi series.</w:t>
      </w:r>
    </w:p>
    <w:p>
      <w:pPr>
        <w:spacing w:after="180" w:line="300"/>
      </w:pPr>
      <w:r>
        <w:t xml:space="preserve">Anomalies in this dataset correspond to unwanted configurations of the frequency governor, which can throttle CPU performance to save power or avoid overheating. There are three possible configurations, known and used here as ground truth: Mode 0 (“normal”, frequency proportional to workload), Mode 1 (“power saving”, frequency pinned to the minimum), and Mode 2 (“performance”, frequency pinned to the maximum). The task is framed as discriminating normal from non-normal behavior, treating both power-saving and performance modes as anomalous. This is a genuinely hard detection problem, since the monitored signals already vary a great deal simply because the running job changes.</w:t>
      </w:r>
    </w:p>
    <w:p>
      <w:pPr>
        <w:pStyle w:val="Heading3"/>
        <w:spacing w:after="120" w:before="260"/>
      </w:pPr>
      <w:r>
        <w:t xml:space="preserve">Looking at multivariate data</w:t>
      </w:r>
    </w:p>
    <w:p>
      <w:pPr>
        <w:spacing w:after="180" w:line="300"/>
      </w:pPr>
      <w:r>
        <w:t xml:space="preserve">Three complementary ways of visualizing a multivariate series are used: plotting individual columns one at a time (revealing, e.g., gaps corresponding to idle periods); summary statistics via `.describe()` (confirming no missing values and already-normalized data); and, most usefully for many signals at once, a heatmap of the standardized values over time (white = at the mean, red = below, blue = above), with a colored strip marking where the known anomalies occur.</w:t>
      </w:r>
    </w:p>
    <w:p>
      <w:pPr>
        <w:pStyle w:val="Heading2"/>
        <w:spacing w:after="160" w:before="340"/>
      </w:pPr>
      <w:r>
        <w:t xml:space="preserve">2. A First Pass: KDE on the HPC Data</w:t>
      </w:r>
    </w:p>
    <w:p>
      <w:pPr>
        <w:spacing w:after="180" w:line="300"/>
      </w:pPr>
      <w:r>
        <w:t xml:space="preserve">As in Part I, the data is standardized using statistics from the training portion only (to avoid leaking test-set information), then split chronologically into training, validation, and test segments — with the training cut chosen so as to exclude any anomalies. A KDE bandwidth is then selected by grid search with cross-validation, and the resulting model scores the whole series to produce an alarm signal.</w:t>
      </w:r>
    </w:p>
    <w:p>
      <w:pPr>
        <w:spacing w:after="180" w:line="300"/>
      </w:pPr>
      <w:r>
        <w:t xml:space="preserve">This signal shows a good match with the true anomalies but also visible spurious peaks, largely attributable to the large legitimate variation caused by jobs changing on the node. A cost model tailored to this setting is used to pick the threshold: since the goal here is detection rather than anticipation (misconfigurations are rarely acutely critical unless they persist unnoticed for a long time), the model uses a cost for false alarms (c_alarm), a cost for missed anomalies (c_missed), and a tolerance window within which a detection still “counts” as correct.</w:t>
      </w:r>
    </w:p>
    <w:p>
      <w:pPr>
        <w:pStyle w:val="Heading2"/>
        <w:spacing w:after="160" w:before="340"/>
      </w:pPr>
      <w:r>
        <w:t xml:space="preserve">3. The Trouble with KDE at Scale</w:t>
      </w:r>
    </w:p>
    <w:p>
      <w:pPr>
        <w:spacing w:after="180" w:line="300"/>
      </w:pPr>
      <w:r>
        <w:t xml:space="preserve">Moving to this higher-dimensional, larger dataset exposes three concrete problems with KDE:</w:t>
      </w:r>
    </w:p>
    <w:p>
      <w:pPr>
        <w:pStyle w:val="ListParagraph"/>
        <w:numPr>
          <w:ilvl w:val="0"/>
          <w:numId w:val="1"/>
        </w:numPr>
        <w:spacing w:after="100" w:line="300"/>
      </w:pPr>
      <w:r>
        <w:t xml:space="preserve">Dimensionality: with more input dimensions, prediction time grows, and substantially more data is needed to obtain reliable density estimates — a manifestation of the curse of dimensionality.</w:t>
      </w:r>
    </w:p>
    <w:p>
      <w:pPr>
        <w:pStyle w:val="ListParagraph"/>
        <w:numPr>
          <w:ilvl w:val="0"/>
          <w:numId w:val="1"/>
        </w:numPr>
        <w:spacing w:after="100" w:line="300"/>
      </w:pPr>
      <w:r>
        <w:t xml:space="preserve">Training-set size: KDE's cost scales with the number of stored training samples, since every prediction sums a kernel contribution from every one of them; larger training sets make every subsequent evaluation slower.</w:t>
      </w:r>
    </w:p>
    <w:p>
      <w:pPr>
        <w:pStyle w:val="ListParagraph"/>
        <w:numPr>
          <w:ilvl w:val="0"/>
          <w:numId w:val="1"/>
        </w:numPr>
        <w:spacing w:after="100" w:line="300"/>
      </w:pPr>
      <w:r>
        <w:t xml:space="preserve">Interpretability: KDE gives you nothing beyond a single anomaly signal — determining the root cause of a flagged anomaly is left entirely to a domain expert, which is manageable in low dimensions but much harder once there are many monitored signals.</w:t>
      </w:r>
    </w:p>
    <w:p>
      <w:pPr>
        <w:spacing w:after="180" w:line="300"/>
      </w:pPr>
      <w:r>
        <w:t xml:space="preserve">The root cause behind the first two issues is that KDE makes no attempt to compress information from the training data: its model size grows directly with the size of the training set. In statistical terms, KDE has very low bias but very high variance. This motivates switching to a density estimation technique that does compress the data into a fixed-size, parametric model.</w:t>
      </w:r>
    </w:p>
    <w:p>
      <w:pPr>
        <w:pStyle w:val="Heading2"/>
        <w:spacing w:after="160" w:before="340"/>
      </w:pPr>
      <w:r>
        <w:t xml:space="preserve">4. Gaussian Mixture Models (GMMs)</w:t>
      </w:r>
    </w:p>
    <w:p>
      <w:pPr>
        <w:spacing w:after="180" w:line="300"/>
      </w:pPr>
      <w:r>
        <w:t xml:space="preserve">A Gaussian Mixture Model describes a distribution as a weighted sum of Gaussian components. Its model size depends only on the input dimensionality and on the chosen number of components — not on the size of the training set — and the number of components can be tuned to control the bias/variance trade-off directly.</w:t>
      </w:r>
    </w:p>
    <w:p>
      <w:pPr>
        <w:spacing w:after="180" w:line="300"/>
      </w:pPr>
      <w:r>
        <w:t xml:space="preserve">Formally, data is assumed to be generated by a two-stage probabilistic process: first a discrete latent variable Z (the index of the generating component) is drawn, then a sample is drawn from the multivariate Gaussian X_k associated with that component. This makes a GMM a selection-based ensemble, in the same spirit as the time-indexed KDE ensemble from Part I, but with the selector itself now treated probabilistically and learned rather than fixed.</w:t>
      </w:r>
    </w:p>
    <w:p>
      <w:pPr>
        <w:spacing w:after="180" w:line="300"/>
      </w:pPr>
      <w:r>
        <w:t xml:space="preserve">The GMM's PDF is:</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g(x, μ, Σ, τ) = Σₖ τₖ · f(x, μₖ, Σₖ)     for k = 1..n components</w:t>
      </w:r>
    </w:p>
    <w:p>
      <w:pPr>
        <w:spacing w:after="180" w:line="300"/>
      </w:pPr>
      <w:r>
        <w:t xml:space="preserve">where f is the PDF of a multivariate Normal distribution, μₖ and Σₖ are the mean vector and covariance matrix of the k-th component, and τₖ = P(Z = k) is that component's mixing weight.</w:t>
      </w:r>
    </w:p>
    <w:p>
      <w:pPr>
        <w:spacing w:after="180" w:line="300"/>
      </w:pPr>
      <w:r>
        <w:t xml:space="preserve">Sampling from a GMM is a two-step process: first sample Z, then sample from the corresponding component's multivariate Normal — which means a GMM sampler also reveals which component generated each sample, unlike sampling from, say, a single fitted Gaussian.</w:t>
      </w:r>
    </w:p>
    <w:p>
      <w:pPr>
        <w:pStyle w:val="Heading3"/>
        <w:spacing w:after="120" w:before="260"/>
      </w:pPr>
      <w:r>
        <w:t xml:space="preserve">Training a GMM: from likelihood maximization to Expectation-Maximization</w:t>
      </w:r>
    </w:p>
    <w:p>
      <w:pPr>
        <w:spacing w:after="180" w:line="300"/>
      </w:pPr>
      <w:r>
        <w:t xml:space="preserve">Training is formulated as likelihood maximization subject to the mixing weights summing to one:</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argmax_{μ,Σ,τ}  𝔼_{x~X}[ L(x, μ, Σ, τ) ]     s.t.  Σₖ τₖ = 1</w:t>
      </w:r>
    </w:p>
    <w:p>
      <w:pPr>
        <w:spacing w:after="180" w:line="300"/>
      </w:pPr>
      <w:r>
        <w:t xml:space="preserve">Approximating the expectation with the training set turns this into an Empirical-Risk-Minimization-style problem (a Monte-Carlo estimate using the single available training sample, rather than the many independent samples used e.g. in cross-validation):</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argmax_{μ,Σ,τ}  Πᵢ g(xᵢ, μ, Σ, τ)     s.t.  Σₖ τₖ = 1</w:t>
      </w:r>
    </w:p>
    <w:p>
      <w:pPr>
        <w:spacing w:after="180" w:line="300"/>
      </w:pPr>
      <w:r>
        <w:t xml:space="preserve">This is an awkward optimization problem: it has a constraint, it mixes a product over examples with a sum over components inside each factor, and that product cannot be decomposed because μ, Σ, τ all appear inside every single term.</w:t>
      </w:r>
    </w:p>
    <w:p>
      <w:pPr>
        <w:spacing w:after="180" w:line="300"/>
      </w:pPr>
      <w:r>
        <w:t xml:space="preserve">The trick used to make it tractable is to (apparently) complicate the model further, by introducing one latent random variable Z_i per training example, where Z_i = k exactly when the i-th example is assumed drawn from the k-th component. Treating a specific value z_i as known collapses the per-example density to a single term with no inner sum:</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g̃ᵢ(xᵢ, zᵢ, μ, Σ, τ) = τ_{zᵢ} · f(xᵢ, μ_{zᵢ}, Σ_{zᵢ})</w:t>
      </w:r>
    </w:p>
    <w:p>
      <w:pPr>
        <w:spacing w:after="180" w:line="300"/>
      </w:pPr>
      <w:r>
        <w:t xml:space="preserve">This introduces uncertainty over the Z_i as well, which cannot be handled by sampling (they are latent — there is no data for them). Instead, new variables τ̃_{i,k} ≈ P(Z_i = k) are introduced to represent this unknown distribution directly, and the expectation over the Z_i can then be computed in closed form as:</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Πᵢ Πₖ  g̃ᵢ(xᵢ, zᵢ, μ, Σ, τ) ^ τ̃_{i,k}</w:t>
      </w:r>
    </w:p>
    <w:p>
      <w:pPr>
        <w:spacing w:after="180" w:line="300"/>
      </w:pPr>
      <w:r>
        <w:t xml:space="preserve">The intuition: if Z_i really were sampled, a τ̃_{i,k} fraction of the time it would come out as component k, so that component's density contribution is effectively raised to that fractional power. The full reworked training problem becomes:</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argmax_{μ,Σ,τ,τ̃}  Πᵢ Πₖ g̃ᵢ(xᵢ, zᵢ, μ, Σ, τ)^τ̃_{i,k}     s.t.  Σₖτₖ = 1  and  Σₖ τ̃_{i,k} = 1 ∀i</w:t>
      </w:r>
    </w:p>
    <w:p>
      <w:pPr>
        <w:spacing w:after="180" w:line="300"/>
      </w:pPr>
      <w:r>
        <w:t xml:space="preserve">There are now more variables (one τ̃_{i,k} per example per component), but they are statistically related — each Z_i is drawn from the same Z — and the problematic mixture of sums and products inside a single term is gone.</w:t>
      </w:r>
    </w:p>
    <w:p>
      <w:pPr>
        <w:spacing w:after="180" w:line="300"/>
      </w:pPr>
      <w:r>
        <w:t xml:space="preserve">This reformulated problem is solved with the Expectation–Maximization (EM) algorithm, which alternates two steps until convergence to a local optimum: an expectation (E) step, where μ, Σ, τ are held fixed and τ̃ is re-optimized (effectively, estimating how the latent sampling of Z probably went, then computing the resulting expectation over Z symbolically); and a maximization (M) step, where the just-computed expectation is used and τ̃ is held fixed while μ, Σ, τ are re-optimized. The lectures use scikit-learn's implementation rather than deriving the update equations in full.</w:t>
      </w:r>
    </w:p>
    <w:p>
      <w:pPr>
        <w:spacing w:after="180" w:line="300"/>
      </w:pPr>
      <w:r>
        <w:t xml:space="preserve">The number of mixture components must be chosen a priori; it can be tuned via maximum likelihood on a validation set (as with KDE's bandwidth), or with other criteria such as the elbow method or the Bayesian Information Criterion (BIC), or sidestepped altogether with GMM variants that infer the number of components automatically (e.g. scikit-learn's BayesianGaussianMixture).</w:t>
      </w:r>
    </w:p>
    <w:p>
      <w:pPr>
        <w:pStyle w:val="Heading3"/>
        <w:spacing w:after="120" w:before="260"/>
      </w:pPr>
      <w:r>
        <w:t xml:space="preserve">What a fitted GMM can do beyond density estimation</w:t>
      </w:r>
    </w:p>
    <w:p>
      <w:pPr>
        <w:spacing w:after="180" w:line="300"/>
      </w:pPr>
      <w:r>
        <w:t xml:space="preserve">A fitted GMM is considerably more flexible than a plain KDE model. It can evaluate the (log) density of a sample, exactly like KDE. It can generate new samples (draw Z, then draw from the corresponding component). It can compute, for any sample, the posterior probability that it belongs to each component — the same computation used internally to optimize τ̃ during the E-step — and by taking the arg-max of these posteriors it can assign each sample to a single “best” component, i.e. perform clustering. This is why GMMs are often presented as a probabilistic generalization of k-means, and why they partially address KDE's interpretability limitation: with a suitable choice of density estimator, information beyond the raw density value becomes available almost for free.</w:t>
      </w:r>
    </w:p>
    <w:p>
      <w:pPr>
        <w:pStyle w:val="Heading2"/>
        <w:spacing w:after="160" w:before="340"/>
      </w:pPr>
      <w:r>
        <w:t xml:space="preserve">5. GMMs for Anomaly Detection on the HPC Data</w:t>
      </w:r>
    </w:p>
    <w:p>
      <w:pPr>
        <w:spacing w:after="180" w:line="300"/>
      </w:pPr>
      <w:r>
        <w:t xml:space="preserve">Applied to the (again training-only-standardized) HPC data, the number of components is chosen via grid search with cross-validation over a small candidate set (e.g. 2, 4, 8 components). Training is comparatively slow, but once fit, generating the alarm signal is much faster than with KDE, since evaluating a GMM's density does not require iterating over the whole training set — only over the (few) fitted components. The resulting alarm signal, and the results after threshold optimization with the same HPC cost model as before, are broadly similar to those obtained with KDE.</w:t>
      </w:r>
    </w:p>
    <w:p>
      <w:pPr>
        <w:spacing w:after="180" w:line="300"/>
      </w:pPr>
      <w:r>
        <w:t xml:space="preserve">Inspecting which component each sample is assigned to (via `predict`) and plotting it alongside the standardized signals shows that, in practice, a given component (or a small handful of them) tends to dominate for the whole duration of a single long-running job — though, since parts of the fitting procedure are stochastic, the exact assignment can vary between runs.</w:t>
      </w:r>
    </w:p>
    <w:p>
      <w:pPr>
        <w:pStyle w:val="Heading2"/>
        <w:spacing w:after="160" w:before="340"/>
      </w:pPr>
      <w:r>
        <w:t xml:space="preserve">6. Autoencoders for Anomaly Detection</w:t>
      </w:r>
    </w:p>
    <w:p>
      <w:pPr>
        <w:spacing w:after="180" w:line="300"/>
      </w:pPr>
      <w:r>
        <w:t xml:space="preserve">An autoencoder is a neural network trained to reconstruct its own input. Formally it is split into two halves: an encoder e(x, θ_e) mapping the input x into a (typically lower-dimensional) vector of latent variables z, and a decoder d(z, θ_d) mapping z back into a reconstruction of the original input. Autoencoders are typically trained to minimize reconstruction MSE:</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argmin_{θ_e,θ_d}  ∥ d( e(xᵢ, θ_e), θ_d ) − xᵢ ∥²₂</w:t>
      </w:r>
    </w:p>
    <w:p>
      <w:pPr>
        <w:spacing w:after="180" w:line="300"/>
      </w:pPr>
      <w:r>
        <w:t xml:space="preserve">There is an obvious risk of the network learning the trivial identity transformation. This is avoided by constraining the latent space — e.g. by making it small-dimensional (a “compressing” autoencoder, forcing the network to discard some information and keep only what is useful for reconstruction), or by encouraging sparse latent activations with an L1 regularizer (a “sparse” autoencoder).</w:t>
      </w:r>
    </w:p>
    <w:p>
      <w:pPr>
        <w:pStyle w:val="Heading3"/>
        <w:spacing w:after="120" w:before="260"/>
      </w:pPr>
      <w:r>
        <w:t xml:space="preserve">Using reconstruction error as an anomaly signal</w:t>
      </w:r>
    </w:p>
    <w:p>
      <w:pPr>
        <w:spacing w:after="180" w:line="300"/>
      </w:pPr>
      <w:r>
        <w:t xml:space="preserve">For anomaly detection, the reconstruction error itself becomes the alarm signal:</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 x − d( e(x, θ_e), θ_d ) ∥²₂  ≥  θ</w:t>
      </w:r>
    </w:p>
    <w:p>
      <w:pPr>
        <w:spacing w:after="180" w:line="300"/>
      </w:pPr>
      <w:r>
        <w:t xml:space="preserve">The intuition: a network trained to reconstruct “normal” data well should reconstruct genuinely anomalous inputs poorly, so a large residual is itself evidence of anomaly. Compared to KDE, this approach trades some things for others: a neural network's size does not depend on the size of the training set (unlike KDE), neural networks tend to cope better with high-dimensional data, and they typically show limited overfitting together with fast prediction/detection time. On the other hand, learning to reconstruct the input can be a genuinely harder optimization problem than directly estimating a density.</w:t>
      </w:r>
    </w:p>
    <w:p>
      <w:pPr>
        <w:pStyle w:val="Heading3"/>
        <w:spacing w:after="120" w:before="260"/>
      </w:pPr>
      <w:r>
        <w:t xml:space="preserve">Why standardization matters even more here</w:t>
      </w:r>
    </w:p>
    <w:p>
      <w:pPr>
        <w:spacing w:after="180" w:line="300"/>
      </w:pPr>
      <w:r>
        <w:t xml:space="preserve">Normalization matters for neural networks specifically because of gradient descent: its behavior is sensitive to the starting point, and the robust default weight initializations and optimizer settings shipped with deep learning libraries are designed around data that is close to zero and roughly contained in a [-1, 1]ⁿ box. Training on non-standardized data is still possible, but noticeably less reliable. In addition — and this becomes important below — vector outputs should always be standardized/normalized as well.</w:t>
      </w:r>
    </w:p>
    <w:p>
      <w:pPr>
        <w:pStyle w:val="Heading3"/>
        <w:spacing w:after="120" w:before="260"/>
      </w:pPr>
      <w:r>
        <w:t xml:space="preserve">Building and training the autoencoder (Keras)</w:t>
      </w:r>
    </w:p>
    <w:p>
      <w:pPr>
        <w:spacing w:after="180" w:line="300"/>
      </w:pPr>
      <w:r>
        <w:t xml:space="preserve">The model is built with Keras' functional API: an `Input` layer of the appropriate shape, a `Dense` hidden layer (the latent/bottleneck representation, e.g. 64 units with a ReLU activation), and a final linear `Dense` output layer reconstructing the original number of features. It is compiled with the Adam optimizer and an MSE loss, then trained with an early-stopping callback that restores the best weights if the validation loss fails to improve for a few epochs — avoiding both under- and over-training without having to hand-pick a fixed number of epochs. Data is prepared exactly as for KDE and GMM: standardized using training-set statistics, then split chronologically into training, validation, and test segments.</w:t>
      </w:r>
    </w:p>
    <w:p>
      <w:pPr>
        <w:spacing w:after="180" w:line="300"/>
      </w:pPr>
      <w:r>
        <w:t xml:space="preserve">The resulting alarm signal (the per-timestamp sum of squared reconstruction errors) looks strikingly similar to the KDE and GMM signals — which is not a coincidence, as the next section explains — and the threshold is optimized against the same HPC cost model as before, yielding comparable overall results.</w:t>
      </w:r>
    </w:p>
    <w:p>
      <w:pPr>
        <w:pStyle w:val="Heading2"/>
        <w:spacing w:after="160" w:before="340"/>
      </w:pPr>
      <w:r>
        <w:t xml:space="preserve">7. Why Reconstruction Error Behaves Like a Density: the Semantics of MSE-Trained Regressors</w:t>
      </w:r>
    </w:p>
    <w:p>
      <w:pPr>
        <w:spacing w:after="180" w:line="300"/>
      </w:pPr>
      <w:r>
        <w:t xml:space="preserve">The lectures derive, step by step, why an MSE-trained regressor is secretly performing (approximate) maximum-likelihood density estimation. Starting from the training objective:</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argmin_θ  ∥ h(x, θ) − x ∥²₂   =   argmin_θ  Σᵢ Σⱼ ( hⱼ(xᵢ, θ) − x_{i,j} )²</w:t>
      </w:r>
    </w:p>
    <w:p>
      <w:pPr>
        <w:spacing w:after="180" w:line="300"/>
      </w:pPr>
      <w:r>
        <w:t xml:space="preserve">and applying a log-then-exp transform (which does not change the arg-min, since log and exp are monotonic), the outer sum can be rewritten, via properties of exponentials, as a log of a product of exponentials — and the inner sum, in turn, as a quadratic form in matrix notation:</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argmin_θ  log Πᵢ exp⁡( (h(xᵢ,θ) − xᵢ)ᵀ I (h(xᵢ,θ) − xᵢ) )</w:t>
      </w:r>
    </w:p>
    <w:p>
      <w:pPr>
        <w:spacing w:after="180" w:line="300"/>
      </w:pPr>
      <w:r>
        <w:t xml:space="preserve">A few adjustments that do not change the optimal solution — negating the exponent and swapping arg-min for arg-max, scaling the exponent by 1/2σ, and multiplying by the appropriate Normal normalization constant — turn this into:</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argmax_θ  log Πᵢ [ 1/(√(2π)σ) · exp( −½ (h(xᵢ,θ) − xᵢ)ᵀ (σI) (h(xᵢ,θ) − xᵢ) ) ]</w:t>
      </w:r>
    </w:p>
    <w:p>
      <w:pPr>
        <w:spacing w:after="180" w:line="300"/>
      </w:pPr>
      <w:r>
        <w:t xml:space="preserve">and the term inside the product is exactly the PDF of a multivariate Normal distribution centered on h(xᵢ), with independent components of uniform variance — so the whole expression is:</w:t>
      </w:r>
    </w:p>
    <w:p>
      <w:pPr>
        <w:pBdr>
          <w:top w:val="single" w:color="D0D5DD" w:sz="2"/>
          <w:bottom w:val="single" w:color="D0D5DD" w:sz="2"/>
        </w:pBdr>
        <w:shd w:fill="F5F6F8" w:val="clear"/>
        <w:spacing w:after="120" w:before="120"/>
        <w:ind w:left="400" w:right="400"/>
        <w:jc w:val="center"/>
      </w:pPr>
      <w:r>
        <w:rPr>
          <w:rFonts w:ascii="Cambria Math" w:cs="Cambria Math" w:eastAsia="Cambria Math" w:hAnsi="Cambria Math"/>
          <w:i/>
          <w:iCs/>
          <w:sz w:val="24"/>
          <w:szCs w:val="24"/>
        </w:rPr>
        <w:t xml:space="preserve">argmax_θ  log Πᵢ  f( xᵢ, h(xᵢ), σI )</w:t>
      </w:r>
    </w:p>
    <w:p>
      <w:pPr>
        <w:spacing w:after="180" w:line="300"/>
      </w:pPr>
      <w:r>
        <w:t xml:space="preserve">i.e., exactly a maximum-likelihood training objective, of the same family used for the explicit density estimators earlier. This is not a special property of autoencoders: it holds for MSE-trained regressors in general.</w:t>
      </w:r>
    </w:p>
    <w:p>
      <w:pPr>
        <w:pStyle w:val="Heading3"/>
        <w:spacing w:after="120" w:before="260"/>
      </w:pPr>
      <w:r>
        <w:t xml:space="preserve">Implications</w:t>
      </w:r>
    </w:p>
    <w:p>
      <w:pPr>
        <w:pStyle w:val="ListParagraph"/>
        <w:numPr>
          <w:ilvl w:val="0"/>
          <w:numId w:val="1"/>
        </w:numPr>
        <w:spacing w:after="100" w:line="300"/>
      </w:pPr>
      <w:r>
        <w:t xml:space="preserve">A regressor's output is best understood as the mean of a conditional distribution over the target, representing residual variability (“noise”) once the effect of the input has been accounted for — not a bare point estimate.</w:t>
      </w:r>
    </w:p>
    <w:p>
      <w:pPr>
        <w:pStyle w:val="ListParagraph"/>
        <w:numPr>
          <w:ilvl w:val="0"/>
          <w:numId w:val="1"/>
        </w:numPr>
        <w:spacing w:after="100" w:line="300"/>
      </w:pPr>
      <w:r>
        <w:t xml:space="preserve">Using an MSE loss implicitly assumes this noise is Normally distributed. This is often reasonable, but not always — e.g. when large target values are under-represented, a log-normal distribution may fit better, in which case applying a log transform to the output before training can help substantially.</w:t>
      </w:r>
    </w:p>
    <w:p>
      <w:pPr>
        <w:pStyle w:val="ListParagraph"/>
        <w:numPr>
          <w:ilvl w:val="0"/>
          <w:numId w:val="1"/>
        </w:numPr>
        <w:spacing w:after="100" w:line="300"/>
      </w:pPr>
      <w:r>
        <w:t xml:space="preserve">It also implicitly assumes every output component has the same variance, which is one more good reason to standardize the outputs.</w:t>
      </w:r>
    </w:p>
    <w:p>
      <w:pPr>
        <w:pStyle w:val="ListParagraph"/>
        <w:numPr>
          <w:ilvl w:val="0"/>
          <w:numId w:val="1"/>
        </w:numPr>
        <w:spacing w:after="100" w:line="300"/>
      </w:pPr>
      <w:r>
        <w:t xml:space="preserve">And it implicitly assumes the noise on different output components is independent — which can hold even when the output components themselves are correlated, but is not universally true.</w:t>
      </w:r>
    </w:p>
    <w:p>
      <w:pPr>
        <w:spacing w:after="180" w:line="300"/>
      </w:pPr>
      <w:r>
        <w:t xml:space="preserve">All of these implicit assumptions can make the reconstruction problem genuinely harder to optimize well, which is part of why autoencoder-based reconstruction error can be a harder objective to nail than direct density estimation. Finally, since the reconstruction-error alarm signal is, by the derivation above, essentially a (negative log) density under this implicit Gaussian model, it is unsurprising that it behaves so similarly to the explicit KDE and GMM signals on the same data.</w:t>
      </w:r>
    </w:p>
    <w:p>
      <w:pPr>
        <w:pStyle w:val="Heading2"/>
        <w:spacing w:after="160" w:before="340"/>
      </w:pPr>
      <w:r>
        <w:t xml:space="preserve">8. Beyond a Single Signal: Multi-Signal Analysis for Root-Cause Clues</w:t>
      </w:r>
    </w:p>
    <w:p>
      <w:pPr>
        <w:spacing w:after="180" w:line="300"/>
      </w:pPr>
      <w:r>
        <w:t xml:space="preserve">Unlike KDE or a single-output GMM density, an autoencoder naturally produces one reconstruction error per input feature, not just one aggregate signal. Plotting all of these per-feature error signals as a heatmap (alongside the true anomaly labels) shows that reconstruction error is typically concentrated on a fairly small subset of the monitored signals — those that were hardest for the network to reconstruct.</w:t>
      </w:r>
    </w:p>
    <w:p>
      <w:pPr>
        <w:spacing w:after="180" w:line="300"/>
      </w:pPr>
      <w:r>
        <w:t xml:space="preserve">Averaging the per-feature squared error specifically over the known anomalous timestamps and sorting features by decreasing average error highlights which signals matter most for a given anomaly type; in the HPC example, the largest errors concentrate on instructions-per-second (“ips”) and then on utilization (“util”) related features, with meaningful error confined to roughly 10–20 of the monitored signals overall. This kind of breakdown — impossible to get from a single aggregate KDE or GMM density — can be very valuable to a domain expert trying to understand not just that something is anomalous, but what specifically is behaving unusually.</w:t>
      </w:r>
    </w:p>
    <w:p>
      <w:r>
        <w:br w:type="page"/>
      </w:r>
    </w:p>
    <w:p>
      <w:pPr>
        <w:pStyle w:val="Heading1"/>
        <w:spacing w:after="200" w:before="480"/>
      </w:pPr>
      <w:r>
        <w:t xml:space="preserve">Summary: Three Families of Anomaly Detectors</w:t>
      </w:r>
    </w:p>
    <w:p>
      <w:pPr>
        <w:spacing w:after="180" w:line="300"/>
      </w:pPr>
      <w:r>
        <w:t xml:space="preserve">Across both modules, every anomaly detector introduced follows the same basic recipe: estimate (explicitly or implicitly) how likely / how well-reconstructed an observation is, turn that into a scalar alarm signal, and pick a detection threshold by optimizing a cost model on a held-out validation set. The three techniques covered differ mainly in how they represent “likely”, and in what, if anything, they offer beyond a single alarm signal.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940"/>
      </w:tblGrid>
      <w:tr>
        <w:trPr>
          <w:tblHeader/>
        </w:trPr>
        <w:tc>
          <w:tcPr>
            <w:tcW w:type="dxa" w:w="0"/>
            <w:shd w:fill="1D4ED8" w:val="clear"/>
            <w:tcMar>
              <w:top w:type="dxa" w:w="90"/>
              <w:left w:type="dxa" w:w="120"/>
              <w:bottom w:type="dxa" w:w="90"/>
              <w:right w:type="dxa" w:w="120"/>
            </w:tcMar>
          </w:tcPr>
          <w:p>
            <w:r>
              <w:rPr>
                <w:b/>
                <w:bCs/>
                <w:color w:val="FFFFFF"/>
                <w:sz w:val="20"/>
                <w:szCs w:val="20"/>
              </w:rPr>
              <w:t xml:space="preserve">Method</w:t>
            </w:r>
          </w:p>
        </w:tc>
        <w:tc>
          <w:tcPr>
            <w:tcW w:type="dxa" w:w="0"/>
            <w:shd w:fill="1D4ED8" w:val="clear"/>
            <w:tcMar>
              <w:top w:type="dxa" w:w="90"/>
              <w:left w:type="dxa" w:w="120"/>
              <w:bottom w:type="dxa" w:w="90"/>
              <w:right w:type="dxa" w:w="120"/>
            </w:tcMar>
          </w:tcPr>
          <w:p>
            <w:r>
              <w:rPr>
                <w:b/>
                <w:bCs/>
                <w:color w:val="FFFFFF"/>
                <w:sz w:val="20"/>
                <w:szCs w:val="20"/>
              </w:rPr>
              <w:t xml:space="preserve">How it estimates density / normality</w:t>
            </w:r>
          </w:p>
        </w:tc>
        <w:tc>
          <w:tcPr>
            <w:tcW w:type="dxa" w:w="0"/>
            <w:shd w:fill="1D4ED8" w:val="clear"/>
            <w:tcMar>
              <w:top w:type="dxa" w:w="90"/>
              <w:left w:type="dxa" w:w="120"/>
              <w:bottom w:type="dxa" w:w="90"/>
              <w:right w:type="dxa" w:w="120"/>
            </w:tcMar>
          </w:tcPr>
          <w:p>
            <w:r>
              <w:rPr>
                <w:b/>
                <w:bCs/>
                <w:color w:val="FFFFFF"/>
                <w:sz w:val="20"/>
                <w:szCs w:val="20"/>
              </w:rPr>
              <w:t xml:space="preserve">Strengths</w:t>
            </w:r>
          </w:p>
        </w:tc>
        <w:tc>
          <w:tcPr>
            <w:tcW w:type="dxa" w:w="0"/>
            <w:shd w:fill="1D4ED8" w:val="clear"/>
            <w:tcMar>
              <w:top w:type="dxa" w:w="90"/>
              <w:left w:type="dxa" w:w="120"/>
              <w:bottom w:type="dxa" w:w="90"/>
              <w:right w:type="dxa" w:w="120"/>
            </w:tcMar>
          </w:tcPr>
          <w:p>
            <w:r>
              <w:rPr>
                <w:b/>
                <w:bCs/>
                <w:color w:val="FFFFFF"/>
                <w:sz w:val="20"/>
                <w:szCs w:val="20"/>
              </w:rPr>
              <w:t xml:space="preserve">Weaknesses</w:t>
            </w:r>
          </w:p>
        </w:tc>
      </w:tr>
      <w:tr>
        <w:tc>
          <w:tcPr>
            <w:tcW w:type="dxa" w:w="2200"/>
            <w:shd w:fill="F3F4F6" w:val="clear"/>
            <w:tcMar>
              <w:top w:type="dxa" w:w="90"/>
              <w:left w:type="dxa" w:w="120"/>
              <w:bottom w:type="dxa" w:w="90"/>
              <w:right w:type="dxa" w:w="120"/>
            </w:tcMar>
          </w:tcPr>
          <w:p>
            <w:r>
              <w:rPr>
                <w:sz w:val="20"/>
                <w:szCs w:val="20"/>
              </w:rPr>
              <w:t xml:space="preserve">Kernel Density Estimation (KDE)</w:t>
            </w:r>
          </w:p>
        </w:tc>
        <w:tc>
          <w:tcPr>
            <w:tcW w:type="dxa" w:w="3200"/>
            <w:shd w:fill="F3F4F6" w:val="clear"/>
            <w:tcMar>
              <w:top w:type="dxa" w:w="90"/>
              <w:left w:type="dxa" w:w="120"/>
              <w:bottom w:type="dxa" w:w="90"/>
              <w:right w:type="dxa" w:w="120"/>
            </w:tcMar>
          </w:tcPr>
          <w:p>
            <w:r>
              <w:rPr>
                <w:sz w:val="20"/>
                <w:szCs w:val="20"/>
              </w:rPr>
              <w:t xml:space="preserve">Non-parametric: sum of kernels centered on every stored training sample.</w:t>
            </w:r>
          </w:p>
        </w:tc>
        <w:tc>
          <w:tcPr>
            <w:tcW w:type="dxa" w:w="2200"/>
            <w:shd w:fill="F3F4F6" w:val="clear"/>
            <w:tcMar>
              <w:top w:type="dxa" w:w="90"/>
              <w:left w:type="dxa" w:w="120"/>
              <w:bottom w:type="dxa" w:w="90"/>
              <w:right w:type="dxa" w:w="120"/>
            </w:tcMar>
          </w:tcPr>
          <w:p>
            <w:r>
              <w:rPr>
                <w:sz w:val="20"/>
                <w:szCs w:val="20"/>
              </w:rPr>
              <w:t xml:space="preserve">Simple, few assumptions, natural starting baseline (Occam's razor); works well in low dimensions.</w:t>
            </w:r>
          </w:p>
        </w:tc>
        <w:tc>
          <w:tcPr>
            <w:tcW w:type="dxa" w:w="1940"/>
            <w:shd w:fill="F3F4F6" w:val="clear"/>
            <w:tcMar>
              <w:top w:type="dxa" w:w="90"/>
              <w:left w:type="dxa" w:w="120"/>
              <w:bottom w:type="dxa" w:w="90"/>
              <w:right w:type="dxa" w:w="120"/>
            </w:tcMar>
          </w:tcPr>
          <w:p>
            <w:r>
              <w:rPr>
                <w:sz w:val="20"/>
                <w:szCs w:val="20"/>
              </w:rPr>
              <w:t xml:space="preserve">Model size grows with training-set size; slow at scale; struggles in high dimensions; only outputs one aggregate signal (no root-cause information).</w:t>
            </w:r>
          </w:p>
        </w:tc>
      </w:tr>
      <w:tr>
        <w:tc>
          <w:tcPr>
            <w:tcW w:type="dxa" w:w="2200"/>
            <w:shd w:fill="FFFFFF" w:val="clear"/>
            <w:tcMar>
              <w:top w:type="dxa" w:w="90"/>
              <w:left w:type="dxa" w:w="120"/>
              <w:bottom w:type="dxa" w:w="90"/>
              <w:right w:type="dxa" w:w="120"/>
            </w:tcMar>
          </w:tcPr>
          <w:p>
            <w:r>
              <w:rPr>
                <w:sz w:val="20"/>
                <w:szCs w:val="20"/>
              </w:rPr>
              <w:t xml:space="preserve">Gaussian Mixture Models (GMM)</w:t>
            </w:r>
          </w:p>
        </w:tc>
        <w:tc>
          <w:tcPr>
            <w:tcW w:type="dxa" w:w="3200"/>
            <w:shd w:fill="FFFFFF" w:val="clear"/>
            <w:tcMar>
              <w:top w:type="dxa" w:w="90"/>
              <w:left w:type="dxa" w:w="120"/>
              <w:bottom w:type="dxa" w:w="90"/>
              <w:right w:type="dxa" w:w="120"/>
            </w:tcMar>
          </w:tcPr>
          <w:p>
            <w:r>
              <w:rPr>
                <w:sz w:val="20"/>
                <w:szCs w:val="20"/>
              </w:rPr>
              <w:t xml:space="preserve">Parametric: weighted sum of a fixed number of multivariate Gaussian components, fit via Expectation-Maximization.</w:t>
            </w:r>
          </w:p>
        </w:tc>
        <w:tc>
          <w:tcPr>
            <w:tcW w:type="dxa" w:w="2200"/>
            <w:shd w:fill="FFFFFF" w:val="clear"/>
            <w:tcMar>
              <w:top w:type="dxa" w:w="90"/>
              <w:left w:type="dxa" w:w="120"/>
              <w:bottom w:type="dxa" w:w="90"/>
              <w:right w:type="dxa" w:w="120"/>
            </w:tcMar>
          </w:tcPr>
          <w:p>
            <w:r>
              <w:rPr>
                <w:sz w:val="20"/>
                <w:szCs w:val="20"/>
              </w:rPr>
              <w:t xml:space="preserve">Fixed model size (compresses the data); fast scoring once trained; also gives sampling, clustering, and component-membership probabilities.</w:t>
            </w:r>
          </w:p>
        </w:tc>
        <w:tc>
          <w:tcPr>
            <w:tcW w:type="dxa" w:w="1940"/>
            <w:shd w:fill="FFFFFF" w:val="clear"/>
            <w:tcMar>
              <w:top w:type="dxa" w:w="90"/>
              <w:left w:type="dxa" w:w="120"/>
              <w:bottom w:type="dxa" w:w="90"/>
              <w:right w:type="dxa" w:w="120"/>
            </w:tcMar>
          </w:tcPr>
          <w:p>
            <w:r>
              <w:rPr>
                <w:sz w:val="20"/>
                <w:szCs w:val="20"/>
              </w:rPr>
              <w:t xml:space="preserve">Number of components must be chosen; training (EM) can be relatively slow; assumes Gaussian-shaped components.</w:t>
            </w:r>
          </w:p>
        </w:tc>
      </w:tr>
      <w:tr>
        <w:tc>
          <w:tcPr>
            <w:tcW w:type="dxa" w:w="2200"/>
            <w:shd w:fill="F3F4F6" w:val="clear"/>
            <w:tcMar>
              <w:top w:type="dxa" w:w="90"/>
              <w:left w:type="dxa" w:w="120"/>
              <w:bottom w:type="dxa" w:w="90"/>
              <w:right w:type="dxa" w:w="120"/>
            </w:tcMar>
          </w:tcPr>
          <w:p>
            <w:r>
              <w:rPr>
                <w:sz w:val="20"/>
                <w:szCs w:val="20"/>
              </w:rPr>
              <w:t xml:space="preserve">Autoencoders</w:t>
            </w:r>
          </w:p>
        </w:tc>
        <w:tc>
          <w:tcPr>
            <w:tcW w:type="dxa" w:w="3200"/>
            <w:shd w:fill="F3F4F6" w:val="clear"/>
            <w:tcMar>
              <w:top w:type="dxa" w:w="90"/>
              <w:left w:type="dxa" w:w="120"/>
              <w:bottom w:type="dxa" w:w="90"/>
              <w:right w:type="dxa" w:w="120"/>
            </w:tcMar>
          </w:tcPr>
          <w:p>
            <w:r>
              <w:rPr>
                <w:sz w:val="20"/>
                <w:szCs w:val="20"/>
              </w:rPr>
              <w:t xml:space="preserve">Implicit: reconstruction error of a trained neural encoder/decoder, mathematically equivalent to maximum likelihood under an implicit Gaussian noise model.</w:t>
            </w:r>
          </w:p>
        </w:tc>
        <w:tc>
          <w:tcPr>
            <w:tcW w:type="dxa" w:w="2200"/>
            <w:shd w:fill="F3F4F6" w:val="clear"/>
            <w:tcMar>
              <w:top w:type="dxa" w:w="90"/>
              <w:left w:type="dxa" w:w="120"/>
              <w:bottom w:type="dxa" w:w="90"/>
              <w:right w:type="dxa" w:w="120"/>
            </w:tcMar>
          </w:tcPr>
          <w:p>
            <w:r>
              <w:rPr>
                <w:sz w:val="20"/>
                <w:szCs w:val="20"/>
              </w:rPr>
              <w:t xml:space="preserve">Size independent of training-set size; copes well with high-dimensional data; fast inference; per-feature errors give root-cause clues.</w:t>
            </w:r>
          </w:p>
        </w:tc>
        <w:tc>
          <w:tcPr>
            <w:tcW w:type="dxa" w:w="1940"/>
            <w:shd w:fill="F3F4F6" w:val="clear"/>
            <w:tcMar>
              <w:top w:type="dxa" w:w="90"/>
              <w:left w:type="dxa" w:w="120"/>
              <w:bottom w:type="dxa" w:w="90"/>
              <w:right w:type="dxa" w:w="120"/>
            </w:tcMar>
          </w:tcPr>
          <w:p>
            <w:r>
              <w:rPr>
                <w:sz w:val="20"/>
                <w:szCs w:val="20"/>
              </w:rPr>
              <w:t xml:space="preserve">Reconstruction can be a harder optimization problem than direct density estimation; relies on several implicit statistical assumptions (Gaussian, independent, equal-variance noise) that may not hold.</w:t>
            </w:r>
          </w:p>
        </w:tc>
      </w:tr>
    </w:tbl>
    <w:p>
      <w:pPr>
        <w:spacing w:before="200"/>
      </w:pPr>
    </w:p>
    <w:p>
      <w:pPr>
        <w:spacing w:after="180" w:line="300"/>
      </w:pPr>
      <w:r>
        <w:t xml:space="preserve">A recurring thread that ties every technique together, across both modules, is the emphasis on turning any anomaly-detection problem into three explicit sub-problems: (1) formalizing what “normal” means statistically, (2) picking a density/normality estimator suited to the data's dimensionality and structure (and exploiting structure such as temporal correlation or periodicity when it exists), and (3) defining a cost model, grounded in the actual value to the stakeholder, to turn a continuous signal into an actionable, thresholded decision.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2026-09-15T14:22:24.135Z</dcterms:created>
  <dcterms:modified xsi:type="dcterms:W3CDTF">2026-09-15T14:22:24.146Z</dcterms:modified>
</cp:coreProperties>
</file>

<file path=docProps/custom.xml><?xml version="1.0" encoding="utf-8"?>
<Properties xmlns="http://schemas.openxmlformats.org/officeDocument/2006/custom-properties" xmlns:vt="http://schemas.openxmlformats.org/officeDocument/2006/docPropsVTypes"/>
</file>