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864"/>
          <w:sz w:val="44"/>
          <w:szCs w:val="44"/>
        </w:rPr>
        <w:t xml:space="preserve">Theory-to-Practice Report</w:t>
      </w:r>
    </w:p>
    <w:p>
      <w:pPr>
        <w:spacing w:after="320"/>
      </w:pPr>
      <w:r>
        <w:rPr>
          <w:i/>
          <w:iCs/>
          <w:color w:val="44546A"/>
          <w:sz w:val="26"/>
          <w:szCs w:val="26"/>
        </w:rPr>
        <w:t xml:space="preserve">Mapping Course Concepts to a Multimodal AI Framework for Alzheimer's Disease Progression Analysis</w:t>
      </w:r>
    </w:p>
    <w:p>
      <w:pPr>
        <w:pBdr>
          <w:bottom w:val="single" w:color="1F3864" w:sz="12" w:space="4"/>
        </w:pBdr>
        <w:spacing w:after="240"/>
      </w:pPr>
    </w:p>
    <w:p>
      <w:pPr>
        <w:spacing w:after="160" w:line="276"/>
      </w:pPr>
      <w:r>
        <w:rPr>
          <w:b/>
          <w:bCs/>
        </w:rPr>
        <w:t xml:space="preserve">Author: </w:t>
      </w:r>
      <w:r>
        <w:t xml:space="preserve">Giorgio Scavello</w:t>
      </w:r>
    </w:p>
    <w:p>
      <w:pPr>
        <w:spacing w:after="160" w:line="276"/>
      </w:pPr>
      <w:r>
        <w:rPr>
          <w:b/>
          <w:bCs/>
        </w:rPr>
        <w:t xml:space="preserve">Course: </w:t>
      </w:r>
      <w:r>
        <w:t xml:space="preserve">AI in Industry — Prof. Michele Lombardi, University of Bologna</w:t>
      </w:r>
    </w:p>
    <w:p>
      <w:pPr>
        <w:spacing w:after="160" w:line="276"/>
      </w:pPr>
      <w:r>
        <w:rPr>
          <w:b/>
          <w:bCs/>
        </w:rPr>
        <w:t xml:space="preserve">Dataset: </w:t>
      </w:r>
      <w:r>
        <w:t xml:space="preserve">ADNI (Alzheimer's Disease Neuroimaging Initiative)</w:t>
      </w:r>
    </w:p>
    <w:p>
      <w:pPr>
        <w:spacing w:after="160" w:line="276"/>
      </w:pPr>
      <w:r>
        <w:rPr>
          <w:b/>
          <w:bCs/>
        </w:rPr>
        <w:t xml:space="preserve">Purpose: </w:t>
      </w:r>
      <w:r>
        <w:t xml:space="preserve">A concept-by-concept accounting of where the course's theoretical material is instantiated in the project's three pipeline stages — anomaly detection, conversion-risk hazard modeling, and cost-sensitive, fairness-audited decision support.</w:t>
      </w:r>
    </w:p>
    <w:p>
      <w:pPr>
        <w:spacing w:after="200"/>
      </w:pPr>
    </w:p>
    <w:p>
      <w:pPr>
        <w:pStyle w:val="Heading1"/>
        <w:spacing w:after="160" w:before="320"/>
      </w:pPr>
      <w:r>
        <w:t xml:space="preserve">Executive Summary</w:t>
      </w:r>
    </w:p>
    <w:p>
      <w:pPr>
        <w:spacing w:after="160" w:line="276"/>
      </w:pPr>
      <w:r>
        <w:t xml:space="preserve">The project is organized as a three-stage pipeline — an unsupervised anomaly-detection stage over structural MRI and PET biomarkers, a discrete-time hazard model estimating near-term conversion risk, and a cost-sensitive, fairness-audited decision layer that recommends a monitoring interval per patient. Each stage was designed around a specific formalization taught in the course rather than chosen by convention or library popularity. This report traces that correspondence explicitly: which lecture introduces each concept, how the concept is formalized there, and exactly which script, function, or design decision in the project realizes it.</w:t>
      </w:r>
    </w:p>
    <w:p>
      <w:pPr>
        <w:spacing w:after="160" w:line="276"/>
      </w:pPr>
      <w:r>
        <w:t xml:space="preserve">The overarching argument is that the project is not a collection of machine-learning techniques applied to a convenient dataset, but a structured application of four course modules to a single, coherent clinical problem: density estimation for anomaly detection (01-ad-de, 02-ad-hd), survival analysis for time-to-event risk (05-pm), predict-then-optimize versus decision-focused learning for the check-in policy (08-dfl-tf), and fairness auditing together with additive feature attribution for the decision layer (07-ciml, 06-at).</w:t>
      </w:r>
    </w:p>
    <w:p>
      <w:pPr>
        <w:pStyle w:val="Heading2"/>
        <w:spacing w:after="120" w:before="260"/>
      </w:pPr>
      <w:r>
        <w:t xml:space="preserve">Concept Map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shd w:fill="2F5496" w:val="clear"/>
            <w:tcMar>
              <w:top w:type="dxa" w:w="80"/>
              <w:left w:type="dxa" w:w="100"/>
              <w:bottom w:type="dxa" w:w="80"/>
              <w:right w:type="dxa" w:w="100"/>
            </w:tcMar>
          </w:tcPr>
          <w:p>
            <w:r>
              <w:rPr>
                <w:b/>
                <w:bCs/>
                <w:color w:val="FFFFFF"/>
                <w:sz w:val="19"/>
                <w:szCs w:val="19"/>
              </w:rPr>
              <w:t xml:space="preserve">Course Concept</w:t>
            </w:r>
          </w:p>
        </w:tc>
        <w:tc>
          <w:tcPr>
            <w:tcW w:type="dxa" w:w="2000"/>
            <w:shd w:fill="2F5496" w:val="clear"/>
            <w:tcMar>
              <w:top w:type="dxa" w:w="80"/>
              <w:left w:type="dxa" w:w="100"/>
              <w:bottom w:type="dxa" w:w="80"/>
              <w:right w:type="dxa" w:w="100"/>
            </w:tcMar>
          </w:tcPr>
          <w:p>
            <w:r>
              <w:rPr>
                <w:b/>
                <w:bCs/>
                <w:color w:val="FFFFFF"/>
                <w:sz w:val="19"/>
                <w:szCs w:val="19"/>
              </w:rPr>
              <w:t xml:space="preserve">Source</w:t>
            </w:r>
          </w:p>
        </w:tc>
        <w:tc>
          <w:tcPr>
            <w:tcW w:type="dxa" w:w="5000"/>
            <w:shd w:fill="2F5496" w:val="clear"/>
            <w:tcMar>
              <w:top w:type="dxa" w:w="80"/>
              <w:left w:type="dxa" w:w="100"/>
              <w:bottom w:type="dxa" w:w="80"/>
              <w:right w:type="dxa" w:w="100"/>
            </w:tcMar>
          </w:tcPr>
          <w:p>
            <w:r>
              <w:rPr>
                <w:b/>
                <w:bCs/>
                <w:color w:val="FFFFFF"/>
                <w:sz w:val="19"/>
                <w:szCs w:val="19"/>
              </w:rPr>
              <w:t xml:space="preserve">Project Implementation</w:t>
            </w:r>
          </w:p>
        </w:tc>
      </w:tr>
      <w:tr>
        <w:tc>
          <w:tcPr>
            <w:tcW w:type="dxa" w:w="2400"/>
            <w:tcMar>
              <w:top w:type="dxa" w:w="80"/>
              <w:left w:type="dxa" w:w="100"/>
              <w:bottom w:type="dxa" w:w="80"/>
              <w:right w:type="dxa" w:w="100"/>
            </w:tcMar>
          </w:tcPr>
          <w:p>
            <w:pPr>
              <w:jc w:val="left"/>
            </w:pPr>
            <w:r>
              <w:rPr>
                <w:b w:val="false"/>
                <w:bCs w:val="false"/>
                <w:sz w:val="19"/>
                <w:szCs w:val="19"/>
              </w:rPr>
              <w:t xml:space="preserve">Density estimation as anomaly detection</w:t>
            </w:r>
          </w:p>
        </w:tc>
        <w:tc>
          <w:tcPr>
            <w:tcW w:type="dxa" w:w="2000"/>
            <w:tcMar>
              <w:top w:type="dxa" w:w="80"/>
              <w:left w:type="dxa" w:w="100"/>
              <w:bottom w:type="dxa" w:w="80"/>
              <w:right w:type="dxa" w:w="100"/>
            </w:tcMar>
          </w:tcPr>
          <w:p>
            <w:pPr>
              <w:jc w:val="left"/>
            </w:pPr>
            <w:r>
              <w:rPr>
                <w:b w:val="false"/>
                <w:bCs w:val="false"/>
                <w:sz w:val="19"/>
                <w:szCs w:val="19"/>
              </w:rPr>
              <w:t xml:space="preserve">01-ad-de, lecture 3</w:t>
            </w:r>
          </w:p>
        </w:tc>
        <w:tc>
          <w:tcPr>
            <w:tcW w:type="dxa" w:w="5000"/>
            <w:tcMar>
              <w:top w:type="dxa" w:w="80"/>
              <w:left w:type="dxa" w:w="100"/>
              <w:bottom w:type="dxa" w:w="80"/>
              <w:right w:type="dxa" w:w="100"/>
            </w:tcMar>
          </w:tcPr>
          <w:p>
            <w:pPr>
              <w:jc w:val="left"/>
            </w:pPr>
            <w:r>
              <w:rPr>
                <w:b w:val="false"/>
                <w:bCs w:val="false"/>
                <w:sz w:val="19"/>
                <w:szCs w:val="19"/>
              </w:rPr>
              <w:t xml:space="preserve">T²/Q (PCA), GMM negative log-likelihood, and autoencoder reconstruction error are all scored as −log f(x); all three models are fit on cognitively normal (CN) patients only, with no diagnosis label used until evaluation.</w:t>
            </w:r>
          </w:p>
        </w:tc>
      </w:tr>
      <w:tr>
        <w:tc>
          <w:tcPr>
            <w:tcW w:type="dxa" w:w="2400"/>
            <w:shd w:fill="EEF1F7" w:val="clear"/>
            <w:tcMar>
              <w:top w:type="dxa" w:w="80"/>
              <w:left w:type="dxa" w:w="100"/>
              <w:bottom w:type="dxa" w:w="80"/>
              <w:right w:type="dxa" w:w="100"/>
            </w:tcMar>
          </w:tcPr>
          <w:p>
            <w:pPr>
              <w:jc w:val="left"/>
            </w:pPr>
            <w:r>
              <w:rPr>
                <w:b w:val="false"/>
                <w:bCs w:val="false"/>
                <w:sz w:val="19"/>
                <w:szCs w:val="19"/>
              </w:rPr>
              <w:t xml:space="preserve">Method progression by problem characteristics (KDE → GMM → Autoencoder)</w:t>
            </w:r>
          </w:p>
        </w:tc>
        <w:tc>
          <w:tcPr>
            <w:tcW w:type="dxa" w:w="2000"/>
            <w:shd w:fill="EEF1F7" w:val="clear"/>
            <w:tcMar>
              <w:top w:type="dxa" w:w="80"/>
              <w:left w:type="dxa" w:w="100"/>
              <w:bottom w:type="dxa" w:w="80"/>
              <w:right w:type="dxa" w:w="100"/>
            </w:tcMar>
          </w:tcPr>
          <w:p>
            <w:pPr>
              <w:jc w:val="left"/>
            </w:pPr>
            <w:r>
              <w:rPr>
                <w:b w:val="false"/>
                <w:bCs w:val="false"/>
                <w:sz w:val="19"/>
                <w:szCs w:val="19"/>
              </w:rPr>
              <w:t xml:space="preserve">01-ad-de / 02-ad-hd</w:t>
            </w:r>
          </w:p>
        </w:tc>
        <w:tc>
          <w:tcPr>
            <w:tcW w:type="dxa" w:w="5000"/>
            <w:shd w:fill="EEF1F7" w:val="clear"/>
            <w:tcMar>
              <w:top w:type="dxa" w:w="80"/>
              <w:left w:type="dxa" w:w="100"/>
              <w:bottom w:type="dxa" w:w="80"/>
              <w:right w:type="dxa" w:w="100"/>
            </w:tcMar>
          </w:tcPr>
          <w:p>
            <w:pPr>
              <w:jc w:val="left"/>
            </w:pPr>
            <w:r>
              <w:rPr>
                <w:b w:val="false"/>
                <w:bCs w:val="false"/>
                <w:sz w:val="19"/>
                <w:szCs w:val="19"/>
              </w:rPr>
              <w:t xml:space="preserve">Three methods (PCA, GMM, autoencoder) implemented and compared under four independent criteria rather than one method chosen by assumption; KDE itself excluded by design due to its parameter-storage scaling limit.</w:t>
            </w:r>
          </w:p>
        </w:tc>
      </w:tr>
      <w:tr>
        <w:tc>
          <w:tcPr>
            <w:tcW w:type="dxa" w:w="2400"/>
            <w:tcMar>
              <w:top w:type="dxa" w:w="80"/>
              <w:left w:type="dxa" w:w="100"/>
              <w:bottom w:type="dxa" w:w="80"/>
              <w:right w:type="dxa" w:w="100"/>
            </w:tcMar>
          </w:tcPr>
          <w:p>
            <w:pPr>
              <w:jc w:val="left"/>
            </w:pPr>
            <w:r>
              <w:rPr>
                <w:b w:val="false"/>
                <w:bCs w:val="false"/>
                <w:sz w:val="19"/>
                <w:szCs w:val="19"/>
              </w:rPr>
              <w:t xml:space="preserve">MSE regression ≡ Gaussian MLE with uniform variance</w:t>
            </w:r>
          </w:p>
        </w:tc>
        <w:tc>
          <w:tcPr>
            <w:tcW w:type="dxa" w:w="2000"/>
            <w:tcMar>
              <w:top w:type="dxa" w:w="80"/>
              <w:left w:type="dxa" w:w="100"/>
              <w:bottom w:type="dxa" w:w="80"/>
              <w:right w:type="dxa" w:w="100"/>
            </w:tcMar>
          </w:tcPr>
          <w:p>
            <w:pPr>
              <w:jc w:val="left"/>
            </w:pPr>
            <w:r>
              <w:rPr>
                <w:b w:val="false"/>
                <w:bCs w:val="false"/>
                <w:sz w:val="19"/>
                <w:szCs w:val="19"/>
              </w:rPr>
              <w:t xml:space="preserve">02-ad-hd, lecture 4</w:t>
            </w:r>
          </w:p>
        </w:tc>
        <w:tc>
          <w:tcPr>
            <w:tcW w:type="dxa" w:w="5000"/>
            <w:tcMar>
              <w:top w:type="dxa" w:w="80"/>
              <w:left w:type="dxa" w:w="100"/>
              <w:bottom w:type="dxa" w:w="80"/>
              <w:right w:type="dxa" w:w="100"/>
            </w:tcMar>
          </w:tcPr>
          <w:p>
            <w:pPr>
              <w:jc w:val="left"/>
            </w:pPr>
            <w:r>
              <w:rPr>
                <w:b w:val="false"/>
                <w:bCs w:val="false"/>
                <w:sz w:val="19"/>
                <w:szCs w:val="19"/>
              </w:rPr>
              <w:t xml:space="preserve">Explains, from first principles, why an MSE-trained autoencoder's uniform-variance assumption differs from PCA's explicit T²/Q split — and why closing the implementation gap (sklearn MLPRegressor → genuine Keras/TF) narrowed, but did not eliminate, the resulting AUC gap.</w:t>
            </w:r>
          </w:p>
        </w:tc>
      </w:tr>
      <w:tr>
        <w:tc>
          <w:tcPr>
            <w:tcW w:type="dxa" w:w="2400"/>
            <w:shd w:fill="EEF1F7" w:val="clear"/>
            <w:tcMar>
              <w:top w:type="dxa" w:w="80"/>
              <w:left w:type="dxa" w:w="100"/>
              <w:bottom w:type="dxa" w:w="80"/>
              <w:right w:type="dxa" w:w="100"/>
            </w:tcMar>
          </w:tcPr>
          <w:p>
            <w:pPr>
              <w:jc w:val="left"/>
            </w:pPr>
            <w:r>
              <w:rPr>
                <w:b w:val="false"/>
                <w:bCs w:val="false"/>
                <w:sz w:val="19"/>
                <w:szCs w:val="19"/>
              </w:rPr>
              <w:t xml:space="preserve">Cost-based threshold selection via line search</w:t>
            </w:r>
          </w:p>
        </w:tc>
        <w:tc>
          <w:tcPr>
            <w:tcW w:type="dxa" w:w="2000"/>
            <w:shd w:fill="EEF1F7" w:val="clear"/>
            <w:tcMar>
              <w:top w:type="dxa" w:w="80"/>
              <w:left w:type="dxa" w:w="100"/>
              <w:bottom w:type="dxa" w:w="80"/>
              <w:right w:type="dxa" w:w="100"/>
            </w:tcMar>
          </w:tcPr>
          <w:p>
            <w:pPr>
              <w:jc w:val="left"/>
            </w:pPr>
            <w:r>
              <w:rPr>
                <w:b w:val="false"/>
                <w:bCs w:val="false"/>
                <w:sz w:val="19"/>
                <w:szCs w:val="19"/>
              </w:rPr>
              <w:t xml:space="preserve">01-ad-de, lecture 4</w:t>
            </w:r>
          </w:p>
        </w:tc>
        <w:tc>
          <w:tcPr>
            <w:tcW w:type="dxa" w:w="5000"/>
            <w:shd w:fill="EEF1F7" w:val="clear"/>
            <w:tcMar>
              <w:top w:type="dxa" w:w="80"/>
              <w:left w:type="dxa" w:w="100"/>
              <w:bottom w:type="dxa" w:w="80"/>
              <w:right w:type="dxa" w:w="100"/>
            </w:tcMar>
          </w:tcPr>
          <w:p>
            <w:pPr>
              <w:jc w:val="left"/>
            </w:pPr>
            <w:r>
              <w:rPr>
                <w:b w:val="false"/>
                <w:bCs w:val="false"/>
                <w:sz w:val="19"/>
                <w:szCs w:val="19"/>
              </w:rPr>
              <w:t xml:space="preserve">threshold_cost_optimization.py sweeps the missed/false-alarm cost ratio (5, 10, 20) and selects each method's operating threshold by minimizing total cost, rather than an arbitrary percentile cutoff.</w:t>
            </w:r>
          </w:p>
        </w:tc>
      </w:tr>
      <w:tr>
        <w:tc>
          <w:tcPr>
            <w:tcW w:type="dxa" w:w="2400"/>
            <w:tcMar>
              <w:top w:type="dxa" w:w="80"/>
              <w:left w:type="dxa" w:w="100"/>
              <w:bottom w:type="dxa" w:w="80"/>
              <w:right w:type="dxa" w:w="100"/>
            </w:tcMar>
          </w:tcPr>
          <w:p>
            <w:pPr>
              <w:jc w:val="left"/>
            </w:pPr>
            <w:r>
              <w:rPr>
                <w:b w:val="false"/>
                <w:bCs w:val="false"/>
                <w:sz w:val="19"/>
                <w:szCs w:val="19"/>
              </w:rPr>
              <w:t xml:space="preserve">Censoring and the discrete-time hazard function</w:t>
            </w:r>
          </w:p>
        </w:tc>
        <w:tc>
          <w:tcPr>
            <w:tcW w:type="dxa" w:w="2000"/>
            <w:tcMar>
              <w:top w:type="dxa" w:w="80"/>
              <w:left w:type="dxa" w:w="100"/>
              <w:bottom w:type="dxa" w:w="80"/>
              <w:right w:type="dxa" w:w="100"/>
            </w:tcMar>
          </w:tcPr>
          <w:p>
            <w:pPr>
              <w:jc w:val="left"/>
            </w:pPr>
            <w:r>
              <w:rPr>
                <w:b w:val="false"/>
                <w:bCs w:val="false"/>
                <w:sz w:val="19"/>
                <w:szCs w:val="19"/>
              </w:rPr>
              <w:t xml:space="preserve">05-pm, lecture 6</w:t>
            </w:r>
          </w:p>
        </w:tc>
        <w:tc>
          <w:tcPr>
            <w:tcW w:type="dxa" w:w="5000"/>
            <w:tcMar>
              <w:top w:type="dxa" w:w="80"/>
              <w:left w:type="dxa" w:w="100"/>
              <w:bottom w:type="dxa" w:w="80"/>
              <w:right w:type="dxa" w:w="100"/>
            </w:tcMar>
          </w:tcPr>
          <w:p>
            <w:pPr>
              <w:jc w:val="left"/>
            </w:pPr>
            <w:r>
              <w:rPr>
                <w:b w:val="false"/>
                <w:bCs w:val="false"/>
                <w:sz w:val="19"/>
                <w:szCs w:val="19"/>
              </w:rPr>
              <w:t xml:space="preserve">hazard_survival_model.ipynb reduces time-to-conversion estimation to per-visit binary classification (Random Forest, 0.791 test AUC), using the ~75% of patients who have not yet converted without bias.</w:t>
            </w:r>
          </w:p>
        </w:tc>
      </w:tr>
      <w:tr>
        <w:tc>
          <w:tcPr>
            <w:tcW w:type="dxa" w:w="2400"/>
            <w:shd w:fill="EEF1F7" w:val="clear"/>
            <w:tcMar>
              <w:top w:type="dxa" w:w="80"/>
              <w:left w:type="dxa" w:w="100"/>
              <w:bottom w:type="dxa" w:w="80"/>
              <w:right w:type="dxa" w:w="100"/>
            </w:tcMar>
          </w:tcPr>
          <w:p>
            <w:pPr>
              <w:jc w:val="left"/>
            </w:pPr>
            <w:r>
              <w:rPr>
                <w:b w:val="false"/>
                <w:bCs w:val="false"/>
                <w:sz w:val="19"/>
                <w:szCs w:val="19"/>
              </w:rPr>
              <w:t xml:space="preserve">Predict-then-Optimize vs. Decision-Focused Learning</w:t>
            </w:r>
          </w:p>
        </w:tc>
        <w:tc>
          <w:tcPr>
            <w:tcW w:type="dxa" w:w="2000"/>
            <w:shd w:fill="EEF1F7" w:val="clear"/>
            <w:tcMar>
              <w:top w:type="dxa" w:w="80"/>
              <w:left w:type="dxa" w:w="100"/>
              <w:bottom w:type="dxa" w:w="80"/>
              <w:right w:type="dxa" w:w="100"/>
            </w:tcMar>
          </w:tcPr>
          <w:p>
            <w:pPr>
              <w:jc w:val="left"/>
            </w:pPr>
            <w:r>
              <w:rPr>
                <w:b w:val="false"/>
                <w:bCs w:val="false"/>
                <w:sz w:val="19"/>
                <w:szCs w:val="19"/>
              </w:rPr>
              <w:t xml:space="preserve">08-dfl-tf</w:t>
            </w:r>
          </w:p>
        </w:tc>
        <w:tc>
          <w:tcPr>
            <w:tcW w:type="dxa" w:w="5000"/>
            <w:shd w:fill="EEF1F7" w:val="clear"/>
            <w:tcMar>
              <w:top w:type="dxa" w:w="80"/>
              <w:left w:type="dxa" w:w="100"/>
              <w:bottom w:type="dxa" w:w="80"/>
              <w:right w:type="dxa" w:w="100"/>
            </w:tcMar>
          </w:tcPr>
          <w:p>
            <w:pPr>
              <w:jc w:val="left"/>
            </w:pPr>
            <w:r>
              <w:rPr>
                <w:b w:val="false"/>
                <w:bCs w:val="false"/>
                <w:sz w:val="19"/>
                <w:szCs w:val="19"/>
              </w:rPr>
              <w:t xml:space="preserve">decision_util.py implements the PFL track (hazard estimate → optimized check-in interval); DFL is identified as the principled next step for the interval policy given its recourse-like structure.</w:t>
            </w:r>
          </w:p>
        </w:tc>
      </w:tr>
      <w:tr>
        <w:tc>
          <w:tcPr>
            <w:tcW w:type="dxa" w:w="2400"/>
            <w:tcMar>
              <w:top w:type="dxa" w:w="80"/>
              <w:left w:type="dxa" w:w="100"/>
              <w:bottom w:type="dxa" w:w="80"/>
              <w:right w:type="dxa" w:w="100"/>
            </w:tcMar>
          </w:tcPr>
          <w:p>
            <w:pPr>
              <w:jc w:val="left"/>
            </w:pPr>
            <w:r>
              <w:rPr>
                <w:b w:val="false"/>
                <w:bCs w:val="false"/>
                <w:sz w:val="19"/>
                <w:szCs w:val="19"/>
              </w:rPr>
              <w:t xml:space="preserve">Demographic parity / DIDI fairness auditing</w:t>
            </w:r>
          </w:p>
        </w:tc>
        <w:tc>
          <w:tcPr>
            <w:tcW w:type="dxa" w:w="2000"/>
            <w:tcMar>
              <w:top w:type="dxa" w:w="80"/>
              <w:left w:type="dxa" w:w="100"/>
              <w:bottom w:type="dxa" w:w="80"/>
              <w:right w:type="dxa" w:w="100"/>
            </w:tcMar>
          </w:tcPr>
          <w:p>
            <w:pPr>
              <w:jc w:val="left"/>
            </w:pPr>
            <w:r>
              <w:rPr>
                <w:b w:val="false"/>
                <w:bCs w:val="false"/>
                <w:sz w:val="19"/>
                <w:szCs w:val="19"/>
              </w:rPr>
              <w:t xml:space="preserve">07-ciml, lecture 1</w:t>
            </w:r>
          </w:p>
        </w:tc>
        <w:tc>
          <w:tcPr>
            <w:tcW w:type="dxa" w:w="5000"/>
            <w:tcMar>
              <w:top w:type="dxa" w:w="80"/>
              <w:left w:type="dxa" w:w="100"/>
              <w:bottom w:type="dxa" w:w="80"/>
              <w:right w:type="dxa" w:w="100"/>
            </w:tcMar>
          </w:tcPr>
          <w:p>
            <w:pPr>
              <w:jc w:val="left"/>
            </w:pPr>
            <w:r>
              <w:rPr>
                <w:b w:val="false"/>
                <w:bCs w:val="false"/>
                <w:sz w:val="19"/>
                <w:szCs w:val="19"/>
              </w:rPr>
              <w:t xml:space="preserve">Protected attributes (PTGENDER, PTEDUCAT, PTMARRY) are excluded from every risk model's inputs but audited against every interval recommendation via DIDI.</w:t>
            </w:r>
          </w:p>
        </w:tc>
      </w:tr>
      <w:tr>
        <w:tc>
          <w:tcPr>
            <w:tcW w:type="dxa" w:w="2400"/>
            <w:shd w:fill="EEF1F7" w:val="clear"/>
            <w:tcMar>
              <w:top w:type="dxa" w:w="80"/>
              <w:left w:type="dxa" w:w="100"/>
              <w:bottom w:type="dxa" w:w="80"/>
              <w:right w:type="dxa" w:w="100"/>
            </w:tcMar>
          </w:tcPr>
          <w:p>
            <w:pPr>
              <w:jc w:val="left"/>
            </w:pPr>
            <w:r>
              <w:rPr>
                <w:b w:val="false"/>
                <w:bCs w:val="false"/>
                <w:sz w:val="19"/>
                <w:szCs w:val="19"/>
              </w:rPr>
              <w:t xml:space="preserve">Reductions approach to fair classification</w:t>
            </w:r>
          </w:p>
        </w:tc>
        <w:tc>
          <w:tcPr>
            <w:tcW w:type="dxa" w:w="2000"/>
            <w:shd w:fill="EEF1F7" w:val="clear"/>
            <w:tcMar>
              <w:top w:type="dxa" w:w="80"/>
              <w:left w:type="dxa" w:w="100"/>
              <w:bottom w:type="dxa" w:w="80"/>
              <w:right w:type="dxa" w:w="100"/>
            </w:tcMar>
          </w:tcPr>
          <w:p>
            <w:pPr>
              <w:jc w:val="left"/>
            </w:pPr>
            <w:r>
              <w:rPr>
                <w:b w:val="false"/>
                <w:bCs w:val="false"/>
                <w:sz w:val="19"/>
                <w:szCs w:val="19"/>
              </w:rPr>
              <w:t xml:space="preserve">07-ciml, lecture 2</w:t>
            </w:r>
          </w:p>
        </w:tc>
        <w:tc>
          <w:tcPr>
            <w:tcW w:type="dxa" w:w="5000"/>
            <w:shd w:fill="EEF1F7" w:val="clear"/>
            <w:tcMar>
              <w:top w:type="dxa" w:w="80"/>
              <w:left w:type="dxa" w:w="100"/>
              <w:bottom w:type="dxa" w:w="80"/>
              <w:right w:type="dxa" w:w="100"/>
            </w:tcMar>
          </w:tcPr>
          <w:p>
            <w:pPr>
              <w:jc w:val="left"/>
            </w:pPr>
            <w:r>
              <w:rPr>
                <w:b w:val="false"/>
                <w:bCs w:val="false"/>
                <w:sz w:val="19"/>
                <w:szCs w:val="19"/>
              </w:rPr>
              <w:t xml:space="preserve">fairlearn.reductions.ExponentiatedGradient under DemographicParity, with a cost-aligned ErrorRate objective, used as the in-training fairness mechanism for the fallback cascade (see Section 5).</w:t>
            </w:r>
          </w:p>
        </w:tc>
      </w:tr>
      <w:tr>
        <w:tc>
          <w:tcPr>
            <w:tcW w:type="dxa" w:w="2400"/>
            <w:tcMar>
              <w:top w:type="dxa" w:w="80"/>
              <w:left w:type="dxa" w:w="100"/>
              <w:bottom w:type="dxa" w:w="80"/>
              <w:right w:type="dxa" w:w="100"/>
            </w:tcMar>
          </w:tcPr>
          <w:p>
            <w:pPr>
              <w:jc w:val="left"/>
            </w:pPr>
            <w:r>
              <w:rPr>
                <w:b w:val="false"/>
                <w:bCs w:val="false"/>
                <w:sz w:val="19"/>
                <w:szCs w:val="19"/>
              </w:rPr>
              <w:t xml:space="preserve">Shapley values / additive feature attribution</w:t>
            </w:r>
          </w:p>
        </w:tc>
        <w:tc>
          <w:tcPr>
            <w:tcW w:type="dxa" w:w="2000"/>
            <w:tcMar>
              <w:top w:type="dxa" w:w="80"/>
              <w:left w:type="dxa" w:w="100"/>
              <w:bottom w:type="dxa" w:w="80"/>
              <w:right w:type="dxa" w:w="100"/>
            </w:tcMar>
          </w:tcPr>
          <w:p>
            <w:pPr>
              <w:jc w:val="left"/>
            </w:pPr>
            <w:r>
              <w:rPr>
                <w:b w:val="false"/>
                <w:bCs w:val="false"/>
                <w:sz w:val="19"/>
                <w:szCs w:val="19"/>
              </w:rPr>
              <w:t xml:space="preserve">06-at, lecture 4</w:t>
            </w:r>
          </w:p>
        </w:tc>
        <w:tc>
          <w:tcPr>
            <w:tcW w:type="dxa" w:w="5000"/>
            <w:tcMar>
              <w:top w:type="dxa" w:w="80"/>
              <w:left w:type="dxa" w:w="100"/>
              <w:bottom w:type="dxa" w:w="80"/>
              <w:right w:type="dxa" w:w="100"/>
            </w:tcMar>
          </w:tcPr>
          <w:p>
            <w:pPr>
              <w:jc w:val="left"/>
            </w:pPr>
            <w:r>
              <w:rPr>
                <w:b w:val="false"/>
                <w:bCs w:val="false"/>
                <w:sz w:val="19"/>
                <w:szCs w:val="19"/>
              </w:rPr>
              <w:t xml:space="preserve">SHAP TreeExplainer values (exact, weighted across the ExponentiatedGradient mixture components) explain both the PCA anomaly score and the final pipeline RISK_SCORE per patient.</w:t>
            </w:r>
          </w:p>
        </w:tc>
      </w:tr>
    </w:tbl>
    <w:p>
      <w:r>
        <w:br w:type="page"/>
      </w:r>
    </w:p>
    <w:p>
      <w:pPr>
        <w:pStyle w:val="Heading1"/>
        <w:spacing w:after="160" w:before="320"/>
      </w:pPr>
      <w:r>
        <w:t xml:space="preserve">Part 1 — Anomaly Detection</w:t>
      </w:r>
    </w:p>
    <w:p>
      <w:pPr>
        <w:pStyle w:val="Heading2"/>
        <w:spacing w:after="120" w:before="260"/>
      </w:pPr>
      <w:r>
        <w:t xml:space="preserve">1.1 The Formalization: Density Estimation as Anomaly Detection</w:t>
      </w:r>
    </w:p>
    <w:p>
      <w:pPr>
        <w:spacing w:after="160" w:line="276"/>
      </w:pPr>
      <w:r>
        <w:t xml:space="preserve">Course lecture 01-ad-de (lecture 3) formalizes anomaly detection as density estimation: if a density f(x) over the data can be estimated, an observation is anomalous when f(x) ≤ ε. In practice this is negated to a score −log f(x) ≥ ε, so that a higher score always means more anomalous. This is the exact sign convention shared by every anomaly score computed in the project — PCA's combined T² and Q statistics, the GMM's negative log-likelihood, and the autoencoder's mean-squared reconstruction error.</w:t>
      </w:r>
    </w:p>
    <w:p>
      <w:pPr>
        <w:spacing w:after="160" w:line="276"/>
      </w:pPr>
      <w:r>
        <w:t xml:space="preserve">The lecture is explicit that density estimation cannot be posed as supervised learning, because the true density is never observed — it is fundamentally an unsupervised problem, solved by fitting a model to data alone. This single point is the theoretical justification for the project's central design decision: every anomaly-detection model is trained exclusively on cognitively normal (CN) patients, with no diagnosis label used anywhere in model fitting. The project is not classifying disease status; it is estimating what a healthy density looks like and measuring deviation from it.</w:t>
      </w:r>
    </w:p>
    <w:p>
      <w:pPr>
        <w:pStyle w:val="Heading2"/>
        <w:spacing w:after="120" w:before="260"/>
      </w:pPr>
      <w:r>
        <w:t xml:space="preserve">1.2 Is There a Single “Best” Method? The Course Says No — and Neither Does the Project</w:t>
      </w:r>
    </w:p>
    <w:p>
      <w:pPr>
        <w:spacing w:after="160" w:line="276"/>
      </w:pPr>
      <w:r>
        <w:t xml:space="preserve">A natural but mistaken assumption is that the course crowns one density-estimation technique as generally superior. It does not: the progression from KDE to GMM to autoencoders is driven entirely by problem characteristics — dataset size, dimensionality, and computational tractability — not by a ranked competition.</w:t>
      </w:r>
    </w:p>
    <w:p>
      <w:pPr>
        <w:pStyle w:val="ListParagraph"/>
        <w:numPr>
          <w:ilvl w:val="0"/>
          <w:numId w:val="2"/>
        </w:numPr>
        <w:spacing w:after="100" w:line="276"/>
      </w:pPr>
      <w:r>
        <w:t xml:space="preserve">KDE is introduced first purely on Occam's-razor grounds: start simple; if it works, it is a solution, and if not, it is a baseline.</w:t>
      </w:r>
    </w:p>
    <w:p>
      <w:pPr>
        <w:pStyle w:val="ListParagraph"/>
        <w:numPr>
          <w:ilvl w:val="0"/>
          <w:numId w:val="2"/>
        </w:numPr>
        <w:spacing w:after="100" w:line="276"/>
      </w:pPr>
      <w:r>
        <w:t xml:space="preserve">The move to GMM is motivated by a specific, named limitation of KDE — it stores the entire training set as its own parameters, which scales poorly with both sample size and dimensionality.</w:t>
      </w:r>
    </w:p>
    <w:p>
      <w:pPr>
        <w:pStyle w:val="ListParagraph"/>
        <w:numPr>
          <w:ilvl w:val="0"/>
          <w:numId w:val="2"/>
        </w:numPr>
        <w:spacing w:after="100" w:line="276"/>
      </w:pPr>
      <w:r>
        <w:t xml:space="preserve">The move to autoencoders is motivated by a further limitation of GMM, and the lecture itself reports explicit pros and cons for autoencoders rather than declaring them superior; its own worked example finds the autoencoder's anomaly signal “very similar to” the KDE/GMM signal, not better.</w:t>
      </w:r>
    </w:p>
    <w:p>
      <w:pPr>
        <w:spacing w:after="160" w:line="276"/>
      </w:pPr>
      <w:r>
        <w:t xml:space="preserve">The project mirrors this spirit directly: three density-estimation approaches (PCA/Hotelling's T², GMM, and an autoencoder) were implemented and compared under four independent evaluation criteria (Section 1.5), rather than assuming the most sophisticated method would win. KDE itself was excluded from the comparison for the exact reason the course gives for retiring it — the project's 22-dimensional feature space and cohort size sit in the regime where KDE's parameter-storage cost becomes prohibitive.</w:t>
      </w:r>
    </w:p>
    <w:p>
      <w:pPr>
        <w:pStyle w:val="Heading2"/>
        <w:spacing w:after="120" w:before="260"/>
      </w:pPr>
      <w:r>
        <w:t xml:space="preserve">1.3 The Three Methods, Mapped to Their Lecture Sources</w:t>
      </w:r>
    </w:p>
    <w:p>
      <w:pPr>
        <w:pStyle w:val="Heading3"/>
        <w:spacing w:after="100" w:before="200"/>
      </w:pPr>
      <w:r>
        <w:t xml:space="preserve">KDE (01-ad-de) — the course's starting point, not used here</w:t>
      </w:r>
    </w:p>
    <w:p>
      <w:pPr>
        <w:spacing w:after="160" w:line="276"/>
      </w:pPr>
      <w:r>
        <w:t xml:space="preserve">f(x) = (1/m) Σ K(x − x̄ᵢ, h): a kernel centered on every training sample, averaged. Its own stated weakness — storing the entire training set as its effective parameter set — is the reason it was not carried forward given the project's feature dimensionality and cohort size.</w:t>
      </w:r>
    </w:p>
    <w:p>
      <w:pPr>
        <w:pStyle w:val="Heading3"/>
        <w:spacing w:after="100" w:before="200"/>
      </w:pPr>
      <w:r>
        <w:t xml:space="preserve">GMM (02-ad-hd, lectures 2–3) — tied for best on ranking performance</w:t>
      </w:r>
    </w:p>
    <w:p>
      <w:pPr>
        <w:spacing w:after="160" w:line="276"/>
      </w:pPr>
      <w:r>
        <w:t xml:space="preserve">g(x) = Σ τₖ f(x, μₖ, Σₖ), fit by Expectation-Maximization: alternately soft-assigning points to components and re-estimating each Gaussian's parameters given those assignments. Component count and covariance type are chosen by a BIC grid search, exactly mirroring the model-selection procedure demonstrated in lecture. The anomaly score is the negative log-likelihood under the fitted mixture. On raw ranking quality (AUC), GMM tied PCA at approximately 0.88–0.89 on both cohorts tested — a direct, lecture-grounded technique performing exactly as well as the closed-form alternative on this metric alone.</w:t>
      </w:r>
    </w:p>
    <w:p>
      <w:pPr>
        <w:pStyle w:val="Heading3"/>
        <w:spacing w:after="100" w:before="200"/>
      </w:pPr>
      <w:r>
        <w:t xml:space="preserve">Autoencoder (02-ad-hd, lecture 4) — from an sklearn workaround to a genuine Keras/TF implementation</w:t>
      </w:r>
    </w:p>
    <w:p>
      <w:pPr>
        <w:spacing w:after="160" w:line="276"/>
      </w:pPr>
      <w:r>
        <w:t xml:space="preserve">An encoder e(x,θₑ) compresses the input to a latent representation z, and a decoder d(z,θ_d) reconstructs x; the network is trained to minimize mean-squared reconstruction error, and the anomaly score is that reconstruction error. The lecture proves a specific, non-obvious equivalence: training with MSE is mathematically identical to maximum-likelihood estimation under the assumption that reconstruction error is Gaussian noise with uniform, independent variance across every feature — the theoretical reason PCA's explicit decomposition into “deviation the model explains” (T²) and “deviation it does not” (Q) can still out-resolve a uniform-variance autoencoder even when both are fit well. The implementation originally used scikit-learn's MLPRegressor (identical architecture and MSE objective to the lecture's formulation) in place of Keras/TensorFlow, which was not installable in the working environment at the time; once TensorFlow/Keras became available, the autoencoder was rebuilt as a genuine Keras functional-API network (same 16–6–16 Dense architecture, Adam + MSE, early stopping) to remove that compromise. The swap closed most of the gap to PCA and GMM: on the 464-patient cross-sectional cohort, CN-vs-AD AUC rose from 0.814 to 0.866, and the autoencoder now leads both PCA and GMM on CN-vs-MCI (0.710 vs. 0.696/0.698) and CN-vs-(MCI+AD) (0.737 vs. 0.730/0.730) — it is no longer the clearly weakest of the three methods, though PCA and GMM remain marginally ahead on the headline CN-vs-AD comparison.</w:t>
      </w:r>
    </w:p>
    <w:p>
      <w:pPr>
        <w:pStyle w:val="Heading3"/>
        <w:spacing w:after="100" w:before="200"/>
      </w:pPr>
      <w:r>
        <w:t xml:space="preserve">PCA + Hotelling's T² — not a named course technique, but its closed-form limit</w:t>
      </w:r>
    </w:p>
    <w:p>
      <w:pPr>
        <w:spacing w:after="160" w:line="276"/>
      </w:pPr>
      <w:r>
        <w:t xml:space="preserve">PCA combined with Hotelling's T² statistic is not one of the course's 42 notebooks, and the report states this plainly rather than implying otherwise. Its theoretical justification instead follows directly from the same MSE-as-Gaussian-MLE result the course derives for the autoencoder: PCA is the linear, closed-form special case of that identical Gaussian density assumption, solved by eigendecomposition rather than learned by gradient descent. It is best framed not as a foreign technique smuggled into the project, but as the analytic limit of a method the course teaches explicitly.</w:t>
      </w:r>
    </w:p>
    <w:p>
      <w:pPr>
        <w:pStyle w:val="Heading2"/>
        <w:spacing w:after="120" w:before="260"/>
      </w:pPr>
      <w:r>
        <w:t xml:space="preserve">1.4 Threshold Selection: A Cost-Based Line Search (01-ad-de, lecture 4)</w:t>
      </w:r>
    </w:p>
    <w:p>
      <w:pPr>
        <w:spacing w:after="160" w:line="276"/>
      </w:pPr>
      <w:r>
        <w:t xml:space="preserve">Every one of the three scores — PCA's T²/Q, the GMM's negative log-likelihood, and the autoencoder's reconstruction error — is a continuous quantity with no built-in notion of “anomalous.” AUC sidesteps this by evaluating ranking quality across every possible threshold simultaneously, which made it the correct metric for the initial three-way comparison; but an actual clinical decision requires one specific, separately calibrated cutoff per method, since the three scores live on incomparable scales.</w:t>
      </w:r>
    </w:p>
    <w:p>
      <w:pPr>
        <w:spacing w:after="160" w:line="276"/>
      </w:pPr>
      <w:r>
        <w:t xml:space="preserve">The course's own recipe (01-ad-de, lecture 4) is to define a false-alarm cost and a missed-detection cost, and select the threshold that minimizes total expected cost via a line search over candidate cutoffs — explicitly treating the two costs as assumptions to be discussed with stakeholders and stress-tested under more than one setting, not committed to as a single guess. threshold_cost_optimization.py adapts this directly: with the false-alarm cost fixed at 1, the missed-detection-to-false-alarm cost ratio is swept over 5, 10, and 20 (a sensitivity analysis, not one committed number), and each method's threshold is chosen independently by scanning percentiles of its own CN training distribution.</w:t>
      </w:r>
    </w:p>
    <w:p>
      <w:pPr>
        <w:pStyle w:val="Heading3"/>
        <w:spacing w:after="100" w:before="200"/>
      </w:pPr>
      <w:r>
        <w:t xml:space="preserve">What the sweep found</w:t>
      </w:r>
    </w:p>
    <w:p>
      <w:pPr>
        <w:pStyle w:val="ListParagraph"/>
        <w:numPr>
          <w:ilvl w:val="0"/>
          <w:numId w:val="2"/>
        </w:numPr>
        <w:spacing w:after="100" w:line="276"/>
      </w:pPr>
      <w:r>
        <w:t xml:space="preserve">Broad task (CN vs. MCI+AD): after swapping in the genuine Keras/TF autoencoder, it now has the lowest total cost at every ratio tested (346 vs. PCA's 348 vs. GMM's 360 at 5×; 566 vs. 569 vs. 597 at 10×; 1,006 vs. 1,009 vs. 1,067 at 20×) — a reversal from the earlier sklearn-based result, though the margin over PCA is under 1% at every ratio.</w:t>
      </w:r>
    </w:p>
    <w:p>
      <w:pPr>
        <w:pStyle w:val="ListParagraph"/>
        <w:numPr>
          <w:ilvl w:val="0"/>
          <w:numId w:val="2"/>
        </w:numPr>
        <w:spacing w:after="100" w:line="276"/>
      </w:pPr>
      <w:r>
        <w:t xml:space="preserve">Narrow task (CN vs. AD specifically), most forgiving ratio (5×): GMM still wins (cost 73), by choosing a more conservative threshold (95th percentile) that trades sensitivity (0.647) for a much lower false-alarm rate (0.048); the autoencoder is now close behind PCA (82 vs. 83) rather than clearly the weakest of the three.</w:t>
      </w:r>
    </w:p>
    <w:p>
      <w:pPr>
        <w:pStyle w:val="ListParagraph"/>
        <w:numPr>
          <w:ilvl w:val="0"/>
          <w:numId w:val="2"/>
        </w:numPr>
        <w:spacing w:after="100" w:line="276"/>
      </w:pPr>
      <w:r>
        <w:t xml:space="preserve">At the more clinically realistic ratios (10×, 20× — where missing an AD diagnosis is treated as substantially worse than an unneeded check), PCA pulls ahead and stays ahead on this specific task: 94 vs. GMM's 102 vs. the autoencoder's 117 at 10×, then 114 vs. 152 vs. 161 at 20×.</w:t>
      </w:r>
    </w:p>
    <w:p>
      <w:pPr>
        <w:spacing w:after="160" w:line="276"/>
      </w:pPr>
      <w:r>
        <w:t xml:space="preserve">This produces a genuinely split picture rather than a single winner: on the narrow task (CN vs. AD) at realistic cost ratios, PCA remains ahead exactly as before; on the broad task (CN vs. MCI+AD), the autoencoder — now a real Keras/TF network rather than an sklearn workaround — narrowly edges out both alternatives at every ratio tested. The exception to “PCA wins everywhere” is no longer confined to one unrealistic cost assumption, which is itself an honest update to the earlier, cleaner-sounding conclusion.</w:t>
      </w:r>
    </w:p>
    <w:p>
      <w:pPr>
        <w:pStyle w:val="Heading2"/>
        <w:spacing w:after="120" w:before="260"/>
      </w:pPr>
      <w:r>
        <w:t xml:space="preserve">1.5 The Final Method Decision: Five Independent Checks</w:t>
      </w:r>
    </w:p>
    <w:p>
      <w:pPr>
        <w:spacing w:after="160" w:line="276"/>
      </w:pPr>
      <w:r>
        <w:t xml:space="preserve">PCA was carried forward into the shared pipeline. It is not the outright winner on every check anymore — rerunning the pipeline with the genuine Keras/TF autoencoder actually reverses two of these — but across five independent checks it is never worse than competitive, and it remains the only method with an already-implemented explanation:</w:t>
      </w:r>
    </w:p>
    <w:p>
      <w:pPr>
        <w:pStyle w:val="ListParagraph"/>
        <w:numPr>
          <w:ilvl w:val="0"/>
          <w:numId w:val="2"/>
        </w:numPr>
        <w:spacing w:after="100" w:line="276"/>
      </w:pPr>
      <w:r>
        <w:t xml:space="preserve">Raw ranking performance — ties GMM on the cross-sectional CN-vs-AD comparison (0.890 vs. 0.881); the genuine Keras/TF autoencoder is close behind there (0.866) and actually leads both on CN-vs-MCI (0.710) and CN-vs-(MCI+AD) (0.737). On the larger longitudinal cohort PCA still leads (0.862 vs. GMM's 0.847 vs. the autoencoder's 0.794) — no longer a clean sweep for PCA, but still the stronger method there.</w:t>
      </w:r>
    </w:p>
    <w:p>
      <w:pPr>
        <w:pStyle w:val="ListParagraph"/>
        <w:numPr>
          <w:ilvl w:val="0"/>
          <w:numId w:val="2"/>
        </w:numPr>
        <w:spacing w:after="100" w:line="276"/>
      </w:pPr>
      <w:r>
        <w:t xml:space="preserve">Downstream pipeline impact — rerun after the Keras/TF swap: blended into the shared pipeline risk score, the Autoencoder-based health index now gives a slightly larger total-cost reduction than PCA on the test split (−2.10% vs. −2.01%), with a marginally worse fairness number (DIDI 2.042 vs. 2.021) — a reversal from the earlier sklearn-based result (−1.75% vs. −2.0%).</w:t>
      </w:r>
    </w:p>
    <w:p>
      <w:pPr>
        <w:pStyle w:val="ListParagraph"/>
        <w:numPr>
          <w:ilvl w:val="0"/>
          <w:numId w:val="2"/>
        </w:numPr>
        <w:spacing w:after="100" w:line="276"/>
      </w:pPr>
      <w:r>
        <w:t xml:space="preserve">Hazard-model wiring — rerunning the actual chained pipeline (Point 1's score as a hazard-model input, not just blended downstream) with each method's own anomaly score: best-tier test AUC is 0.809 for the Autoencoder vs. 0.807 for PCA vs. 0.804 for GMM, and the Autoencoder catches more real conversions (91.1%) than PCA (89.0%) or GMM (88.4%), at roughly 0.5% higher total cost and a moderately higher DIDI (7.885 vs. 7.695).</w:t>
      </w:r>
    </w:p>
    <w:p>
      <w:pPr>
        <w:pStyle w:val="ListParagraph"/>
        <w:numPr>
          <w:ilvl w:val="0"/>
          <w:numId w:val="2"/>
        </w:numPr>
        <w:spacing w:after="100" w:line="276"/>
      </w:pPr>
      <w:r>
        <w:t xml:space="preserve">Cost-optimized decision threshold — after the Keras/TF swap, PCA no longer wins outright: the autoencoder now has the lowest cost on the broad detection task at every ratio tested (by a narrow margin), while PCA still wins the narrow task at realistic ratios and GMM wins it at the most forgiving one — three methods, three different winners depending on task and cost assumption.</w:t>
      </w:r>
    </w:p>
    <w:p>
      <w:pPr>
        <w:pStyle w:val="ListParagraph"/>
        <w:numPr>
          <w:ilvl w:val="0"/>
          <w:numId w:val="2"/>
        </w:numPr>
        <w:spacing w:after="100" w:line="276"/>
      </w:pPr>
      <w:r>
        <w:t xml:space="preserve">Explainability — the only one of the three methods with an exact, closed-form decomposition of any patient's score into per-feature contributions, already implemented and demonstrated directly.</w:t>
      </w:r>
    </w:p>
    <w:p>
      <w:pPr>
        <w:spacing w:after="160" w:line="276"/>
      </w:pPr>
      <w:r>
        <w:t xml:space="preserve">Summarizing sentence used for the briefing itself: three density-estimation approaches were tested under five independent checks — ranking performance, downstream pipeline cost, hazard-model wiring, decision-theoretic threshold cost, and explainability — and after rebuilding the autoencoder as a genuine Keras/TF network the picture is a genuine trade-off rather than a clean PCA sweep: the autoencoder now wins on downstream pipeline cost and on hazard-model wiring (best AUC, best catch rate), PCA still wins the narrow-task cost-optimized threshold and remains the only method with an already-implemented explanation, and raw ranking performance splits by comparison. PCA stays the method carried into the shared pipeline for Monday's briefing — it is never worse than competitive anywhere and is the only one already wired end-to-end and fully explainable — but the honest framing is that the autoencoder is now a legitimate, evidence-backed alternative that catches more real conversions, not a method that was tried and clearly lost.</w:t>
      </w:r>
    </w:p>
    <w:p>
      <w:r>
        <w:br w:type="page"/>
      </w:r>
    </w:p>
    <w:p>
      <w:pPr>
        <w:pStyle w:val="Heading1"/>
        <w:spacing w:after="160" w:before="320"/>
      </w:pPr>
      <w:r>
        <w:t xml:space="preserve">Part 2 — Conversion Risk: Censoring and the Hazard Function</w:t>
      </w:r>
    </w:p>
    <w:p>
      <w:pPr>
        <w:spacing w:after="160" w:line="276"/>
      </w:pPr>
      <w:r>
        <w:t xml:space="preserve">A large share of patients simply have not been followed long enough to know whether or when they will convert to MCI or AD — the course's own censoring concept (05-pm, lecture 6), illustrated there with broken machines versus regularly maintained ones. A plain regression of time-to-conversion, fit only on patients who did convert, discards the censored majority and biases the model toward patients who converted quickly.</w:t>
      </w:r>
    </w:p>
    <w:p>
      <w:pPr>
        <w:spacing w:after="160" w:line="276"/>
      </w:pPr>
      <w:r>
        <w:t xml:space="preserve">The course's resolution is to model the hazard function λ(t, x_t) — the probability of the event occurring at the next step, given survival to the current one. In discrete time, the survival probability factors as a product of (1 − λ) terms across visits, and training a hazard estimator reduces to ordinary binary classification: label every subject-visit pair 1 if the event occurs there and 0 otherwise, then fit any classifier on that reframed dataset. This is precisely what hazard_survival_model.ipynb implements — a Random Forest classifier achieving 0.791 test AUC — and it is the only way to use the roughly 75% of patients who have not yet converted without introducing bias.</w:t>
      </w:r>
    </w:p>
    <w:p>
      <w:pPr>
        <w:spacing w:after="160" w:line="276"/>
      </w:pPr>
      <w:r>
        <w:t xml:space="preserve">One-sentence framing for the briefing: an incomplete time-to-event problem was turned into per-visit binary classification, mathematically justified by the discrete-time survival factorization, which is the only way to use the majority of patients who have not converted yet without bias.</w:t>
      </w:r>
    </w:p>
    <w:p>
      <w:r>
        <w:br w:type="page"/>
      </w:r>
    </w:p>
    <w:p>
      <w:pPr>
        <w:pStyle w:val="Heading1"/>
        <w:spacing w:after="160" w:before="320"/>
      </w:pPr>
      <w:r>
        <w:t xml:space="preserve">Part 3 — Decision Support</w:t>
      </w:r>
    </w:p>
    <w:p>
      <w:pPr>
        <w:pStyle w:val="Heading2"/>
        <w:spacing w:after="120" w:before="260"/>
      </w:pPr>
      <w:r>
        <w:t xml:space="preserve">3.1 Predict-then-Optimize vs. Decision-Focused Learning (08-dfl-tf)</w:t>
      </w:r>
    </w:p>
    <w:p>
      <w:pPr>
        <w:spacing w:after="160" w:line="276"/>
      </w:pPr>
      <w:r>
        <w:t xml:space="preserve">Predict-then-Optimize (PFL) trains an estimator for the unknown parameter — here, conversion risk — and then separately optimizes a decision, the check-in interval, using that estimate. It is simple, scalable, and asymptotically correct, and it is the approach implemented in the project's cost-model track, decision_util.py.</w:t>
      </w:r>
    </w:p>
    <w:p>
      <w:pPr>
        <w:spacing w:after="160" w:line="276"/>
      </w:pPr>
      <w:r>
        <w:t xml:space="preserve">The course's stated flaw is that a model trained purely to minimize prediction error can still lead an optimizer to systematically wrong decisions, because prediction accuracy and decision quality are not the same objective. Decision-Focused Learning (DFL) instead trains the estimator directly against the downstream decision cost. The lecture's own empirical finding is that the PFL/DFL performance gap shrinks as the predictive model becomes more expressive — but that DFL can match a complex PFL model's performance using a much simpler, more explainable model. This is precisely why DFL is flagged in the project as a stretch goal for the interval-choice policy specifically: that policy has a recourse-like structure (missing one scheduled check does not mean the patient is permanently lost), which is exactly the structural feature the course identifies as where DFL earns its keep over PFL.</w:t>
      </w:r>
    </w:p>
    <w:p>
      <w:pPr>
        <w:pStyle w:val="Heading2"/>
        <w:spacing w:after="120" w:before="260"/>
      </w:pPr>
      <w:r>
        <w:t xml:space="preserve">3.2 Fairness and DIDI (07-ciml, lecture 1)</w:t>
      </w:r>
    </w:p>
    <w:p>
      <w:pPr>
        <w:spacing w:after="160" w:line="276"/>
      </w:pPr>
      <w:r>
        <w:t xml:space="preserve">The course's core fairness result is that removing a protected attribute from a model's inputs does not, by itself, prevent discrimination, because correlated attributes can carry the same information through proxy. The attribute therefore must be excluded from the model's inputs but explicitly audited against the model's output. This is exactly why PTGENDER, PTEDUCAT, and PTMARRY are excluded from every risk model's input features in this project, while every interval recommendation is checked against them via the Disparate Impact Discrimination Index (DIDI).</w:t>
      </w:r>
    </w:p>
    <w:p>
      <w:pPr>
        <w:pStyle w:val="Heading2"/>
        <w:spacing w:after="120" w:before="260"/>
      </w:pPr>
      <w:r>
        <w:t xml:space="preserve">3.3 Fairness in Practice: the pipeline_1_2_3 Extension</w:t>
      </w:r>
    </w:p>
    <w:p>
      <w:pPr>
        <w:spacing w:after="160" w:line="276"/>
      </w:pPr>
      <w:r>
        <w:t xml:space="preserve">Auditing DIDI on the output surfaced a genuine problem beyond any single model: a soft fallback cascade that gives patients with less-complete records a simpler model produced a DIDI of 8.570 on the final interval recommendation — substantially worse than any individual tier's own DIDI — because which fallback tier a patient lands in is itself correlated with the protected attributes. This is a cross-tier effect that no single tier's own fairness constraint can reach.</w:t>
      </w:r>
    </w:p>
    <w:p>
      <w:pPr>
        <w:pStyle w:val="Heading3"/>
        <w:spacing w:after="100" w:before="200"/>
      </w:pPr>
      <w:r>
        <w:t xml:space="preserve">Fix 1 — Post-hoc group recalibration</w:t>
      </w:r>
    </w:p>
    <w:p>
      <w:pPr>
        <w:spacing w:after="160" w:line="276"/>
      </w:pPr>
      <w:r>
        <w:t xml:space="preserve">Each protected group's scores are shifted, on the training split, onto the global mean score, and that fixed shift schedule is then applied on test. This cut DIDI from 8.570 to 3.153 — cheap and effective, but by construction it never touches the underlying model's reasoning: because the shift is a constant per group, the RandomForest's own SHAP decomposition is provably identical before and after. It is a good practical default, and is presented honestly as a partial answer, not a complete fix to the model itself.</w:t>
      </w:r>
    </w:p>
    <w:p>
      <w:pPr>
        <w:pStyle w:val="Heading3"/>
        <w:spacing w:after="100" w:before="200"/>
      </w:pPr>
      <w:r>
        <w:t xml:space="preserve">Fix 2 — In-training constraint: the course's own reductions approach (07-ciml, lecture 2)</w:t>
      </w:r>
    </w:p>
    <w:p>
      <w:pPr>
        <w:spacing w:after="160" w:line="276"/>
      </w:pPr>
      <w:r>
        <w:t xml:space="preserve">fairlearn.reductions.ExponentiatedGradient (Agarwal et al., 2018) implements exactly the reductions approach to fair classification taught in 07-ciml lecture 2, wrapping the identical class-balanced RandomForestClassifier used everywhere else in the project under a DemographicParity constraint. Unlike the post-hoc shift, this is a genuine retrain: the resulting model's SHAP decomposition describes what actually changed, not a constant adjustment layered on top.</w:t>
      </w:r>
    </w:p>
    <w:p>
      <w:pPr>
        <w:spacing w:after="160" w:line="276"/>
      </w:pPr>
      <w:r>
        <w:t xml:space="preserve">The first attempt cut DIDI further (to roughly 2–5 depending on configuration) but collapsed the catch rate from 94.9% to approximately 78%, because ExponentiatedGradient's default training objective is plain 0/1 misclassification error — blind to the fact that, in the project's own cost model, a missed conversion (MISSED_CONVERSION_COST = 20) is twenty times as costly as an unneeded check (CHECK_COST = 1). Passing objective=ErrorRate(costs={"fp": 1, "fn": 20}) — fairlearn's built-in cost-sensitive objective, matched to that exact ratio — resolved this: catch rate returned to 94.9% (an exact match to baseline, not an approximation), DIDI remained down 76% at 2.098, and total monitoring cost rose by roughly 40%.</w:t>
      </w:r>
    </w:p>
    <w:p>
      <w:pPr>
        <w:pStyle w:val="Heading3"/>
        <w:spacing w:after="100" w:before="200"/>
      </w:pPr>
      <w:r>
        <w:t xml:space="preserve">Why the cost increase is a feature, not a bug</w:t>
      </w:r>
    </w:p>
    <w:p>
      <w:pPr>
        <w:spacing w:after="160" w:line="276"/>
      </w:pPr>
      <w:r>
        <w:t xml:space="preserve">The project's own cost model already states that a missed conversion is twenty times worse than an unneeded check-in. Spending roughly 40% more on check-ins to hold catch rate at its original level, while simultaneously cutting group disparity by three-quarters, is the model behaving exactly as its own stated cost asymmetry says it should: more monitoring is cheap insurance in a screening pipeline for a progressive, irreversible disease.</w:t>
      </w:r>
    </w:p>
    <w:p>
      <w:pPr>
        <w:pStyle w:val="Heading3"/>
        <w:spacing w:after="100" w:before="200"/>
      </w:pPr>
      <w:r>
        <w:t xml:space="preserve">Robustness across every approach tried</w:t>
      </w:r>
    </w:p>
    <w:p>
      <w:pPr>
        <w:spacing w:after="160" w:line="276"/>
      </w:pPr>
      <w:r>
        <w:t xml:space="preserve">DIDI came out lower than the 8.570 baseline in every genuinely retrained variant attempted — the post-hoc shift, an isolated-tier ExponentiatedGradient sweep, and the full-cascade retrain both with and without the cost-aligned objective. The single exception, classic Reweighing (Kamiran &amp; Calders, 2012, a pre-processing sample-weighting scheme rather than an in-training constraint), made DIDI slightly worse — a genuine negative result kept in the record rather than discarded, and a useful caution that not every fairness technique is safe to apply without checking its effect.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400"/>
      </w:tblGrid>
      <w:tr>
        <w:trPr>
          <w:tblHeader/>
        </w:trPr>
        <w:tc>
          <w:tcPr>
            <w:tcW w:type="dxa" w:w="4600"/>
            <w:shd w:fill="444444" w:val="clear"/>
            <w:tcMar>
              <w:top w:type="dxa" w:w="70"/>
              <w:left w:type="dxa" w:w="90"/>
              <w:bottom w:type="dxa" w:w="70"/>
              <w:right w:type="dxa" w:w="90"/>
            </w:tcMar>
          </w:tcPr>
          <w:p>
            <w:pPr>
              <w:jc w:val="center"/>
            </w:pPr>
            <w:r>
              <w:rPr>
                <w:b/>
                <w:bCs/>
                <w:color w:val="FFFFFF"/>
                <w:sz w:val="18"/>
                <w:szCs w:val="18"/>
              </w:rPr>
              <w:t xml:space="preserve">Approach</w:t>
            </w:r>
          </w:p>
        </w:tc>
        <w:tc>
          <w:tcPr>
            <w:tcW w:type="dxa" w:w="2400"/>
            <w:shd w:fill="444444" w:val="clear"/>
            <w:tcMar>
              <w:top w:type="dxa" w:w="70"/>
              <w:left w:type="dxa" w:w="90"/>
              <w:bottom w:type="dxa" w:w="70"/>
              <w:right w:type="dxa" w:w="90"/>
            </w:tcMar>
          </w:tcPr>
          <w:p>
            <w:pPr>
              <w:jc w:val="center"/>
            </w:pPr>
            <w:r>
              <w:rPr>
                <w:b/>
                <w:bCs/>
                <w:color w:val="FFFFFF"/>
                <w:sz w:val="18"/>
                <w:szCs w:val="18"/>
              </w:rPr>
              <w:t xml:space="preserve">Test DIDI</w:t>
            </w:r>
          </w:p>
        </w:tc>
        <w:tc>
          <w:tcPr>
            <w:tcW w:type="dxa" w:w="2400"/>
            <w:shd w:fill="444444" w:val="clear"/>
            <w:tcMar>
              <w:top w:type="dxa" w:w="70"/>
              <w:left w:type="dxa" w:w="90"/>
              <w:bottom w:type="dxa" w:w="70"/>
              <w:right w:type="dxa" w:w="90"/>
            </w:tcMar>
          </w:tcPr>
          <w:p>
            <w:pPr>
              <w:jc w:val="center"/>
            </w:pPr>
            <w:r>
              <w:rPr>
                <w:b/>
                <w:bCs/>
                <w:color w:val="FFFFFF"/>
                <w:sz w:val="18"/>
                <w:szCs w:val="18"/>
              </w:rPr>
              <w:t xml:space="preserve">vs. baseline (8.570)</w:t>
            </w:r>
          </w:p>
        </w:tc>
      </w:tr>
      <w:tr>
        <w:tc>
          <w:tcPr>
            <w:tcW w:type="dxa" w:w="4600"/>
            <w:shd w:fill="FFFFFF" w:val="clear"/>
            <w:tcMar>
              <w:top w:type="dxa" w:w="70"/>
              <w:left w:type="dxa" w:w="90"/>
              <w:bottom w:type="dxa" w:w="70"/>
              <w:right w:type="dxa" w:w="90"/>
            </w:tcMar>
          </w:tcPr>
          <w:p>
            <w:pPr>
              <w:jc w:val="left"/>
            </w:pPr>
            <w:r>
              <w:rPr>
                <w:sz w:val="18"/>
                <w:szCs w:val="18"/>
              </w:rPr>
              <w:t xml:space="preserve">Post-hoc group-shift alone</w:t>
            </w:r>
          </w:p>
        </w:tc>
        <w:tc>
          <w:tcPr>
            <w:tcW w:type="dxa" w:w="2400"/>
            <w:shd w:fill="FFFFFF" w:val="clear"/>
            <w:tcMar>
              <w:top w:type="dxa" w:w="70"/>
              <w:left w:type="dxa" w:w="90"/>
              <w:bottom w:type="dxa" w:w="70"/>
              <w:right w:type="dxa" w:w="90"/>
            </w:tcMar>
          </w:tcPr>
          <w:p>
            <w:pPr>
              <w:jc w:val="center"/>
            </w:pPr>
            <w:r>
              <w:rPr>
                <w:sz w:val="18"/>
                <w:szCs w:val="18"/>
              </w:rPr>
              <w:t xml:space="preserve">3.153</w:t>
            </w:r>
          </w:p>
        </w:tc>
        <w:tc>
          <w:tcPr>
            <w:tcW w:type="dxa" w:w="2400"/>
            <w:shd w:fill="FFFFFF" w:val="clear"/>
            <w:tcMar>
              <w:top w:type="dxa" w:w="70"/>
              <w:left w:type="dxa" w:w="90"/>
              <w:bottom w:type="dxa" w:w="70"/>
              <w:right w:type="dxa" w:w="90"/>
            </w:tcMar>
          </w:tcPr>
          <w:p>
            <w:pPr>
              <w:jc w:val="center"/>
            </w:pPr>
            <w:r>
              <w:rPr>
                <w:sz w:val="18"/>
                <w:szCs w:val="18"/>
              </w:rPr>
              <w:t xml:space="preserve">−63%</w:t>
            </w:r>
          </w:p>
        </w:tc>
      </w:tr>
      <w:tr>
        <w:tc>
          <w:tcPr>
            <w:tcW w:type="dxa" w:w="4600"/>
            <w:shd w:fill="F2F2F2" w:val="clear"/>
            <w:tcMar>
              <w:top w:type="dxa" w:w="70"/>
              <w:left w:type="dxa" w:w="90"/>
              <w:bottom w:type="dxa" w:w="70"/>
              <w:right w:type="dxa" w:w="90"/>
            </w:tcMar>
          </w:tcPr>
          <w:p>
            <w:pPr>
              <w:jc w:val="left"/>
            </w:pPr>
            <w:r>
              <w:rPr>
                <w:sz w:val="18"/>
                <w:szCs w:val="18"/>
              </w:rPr>
              <w:t xml:space="preserve">Reweighing (Kamiran &amp; Calders)</w:t>
            </w:r>
          </w:p>
        </w:tc>
        <w:tc>
          <w:tcPr>
            <w:tcW w:type="dxa" w:w="2400"/>
            <w:shd w:fill="F2F2F2" w:val="clear"/>
            <w:tcMar>
              <w:top w:type="dxa" w:w="70"/>
              <w:left w:type="dxa" w:w="90"/>
              <w:bottom w:type="dxa" w:w="70"/>
              <w:right w:type="dxa" w:w="90"/>
            </w:tcMar>
          </w:tcPr>
          <w:p>
            <w:pPr>
              <w:jc w:val="center"/>
            </w:pPr>
            <w:r>
              <w:rPr>
                <w:sz w:val="18"/>
                <w:szCs w:val="18"/>
              </w:rPr>
              <w:t xml:space="preserve">9.056</w:t>
            </w:r>
          </w:p>
        </w:tc>
        <w:tc>
          <w:tcPr>
            <w:tcW w:type="dxa" w:w="2400"/>
            <w:shd w:fill="F2F2F2" w:val="clear"/>
            <w:tcMar>
              <w:top w:type="dxa" w:w="70"/>
              <w:left w:type="dxa" w:w="90"/>
              <w:bottom w:type="dxa" w:w="70"/>
              <w:right w:type="dxa" w:w="90"/>
            </w:tcMar>
          </w:tcPr>
          <w:p>
            <w:pPr>
              <w:jc w:val="center"/>
            </w:pPr>
            <w:r>
              <w:rPr>
                <w:sz w:val="18"/>
                <w:szCs w:val="18"/>
              </w:rPr>
              <w:t xml:space="preserve">+6% (worse)</w:t>
            </w:r>
          </w:p>
        </w:tc>
      </w:tr>
      <w:tr>
        <w:tc>
          <w:tcPr>
            <w:tcW w:type="dxa" w:w="4600"/>
            <w:shd w:fill="FFFFFF" w:val="clear"/>
            <w:tcMar>
              <w:top w:type="dxa" w:w="70"/>
              <w:left w:type="dxa" w:w="90"/>
              <w:bottom w:type="dxa" w:w="70"/>
              <w:right w:type="dxa" w:w="90"/>
            </w:tcMar>
          </w:tcPr>
          <w:p>
            <w:pPr>
              <w:jc w:val="left"/>
            </w:pPr>
            <w:r>
              <w:rPr>
                <w:sz w:val="18"/>
                <w:szCs w:val="18"/>
              </w:rPr>
              <w:t xml:space="preserve">EG, isolated core tier, ε=0.01</w:t>
            </w:r>
          </w:p>
        </w:tc>
        <w:tc>
          <w:tcPr>
            <w:tcW w:type="dxa" w:w="2400"/>
            <w:shd w:fill="FFFFFF" w:val="clear"/>
            <w:tcMar>
              <w:top w:type="dxa" w:w="70"/>
              <w:left w:type="dxa" w:w="90"/>
              <w:bottom w:type="dxa" w:w="70"/>
              <w:right w:type="dxa" w:w="90"/>
            </w:tcMar>
          </w:tcPr>
          <w:p>
            <w:pPr>
              <w:jc w:val="center"/>
            </w:pPr>
            <w:r>
              <w:rPr>
                <w:sz w:val="18"/>
                <w:szCs w:val="18"/>
              </w:rPr>
              <w:t xml:space="preserve">1.814</w:t>
            </w:r>
          </w:p>
        </w:tc>
        <w:tc>
          <w:tcPr>
            <w:tcW w:type="dxa" w:w="2400"/>
            <w:shd w:fill="FFFFFF" w:val="clear"/>
            <w:tcMar>
              <w:top w:type="dxa" w:w="70"/>
              <w:left w:type="dxa" w:w="90"/>
              <w:bottom w:type="dxa" w:w="70"/>
              <w:right w:type="dxa" w:w="90"/>
            </w:tcMar>
          </w:tcPr>
          <w:p>
            <w:pPr>
              <w:jc w:val="center"/>
            </w:pPr>
            <w:r>
              <w:rPr>
                <w:sz w:val="18"/>
                <w:szCs w:val="18"/>
              </w:rPr>
              <w:t xml:space="preserve">−79%</w:t>
            </w:r>
          </w:p>
        </w:tc>
      </w:tr>
      <w:tr>
        <w:tc>
          <w:tcPr>
            <w:tcW w:type="dxa" w:w="4600"/>
            <w:shd w:fill="F2F2F2" w:val="clear"/>
            <w:tcMar>
              <w:top w:type="dxa" w:w="70"/>
              <w:left w:type="dxa" w:w="90"/>
              <w:bottom w:type="dxa" w:w="70"/>
              <w:right w:type="dxa" w:w="90"/>
            </w:tcMar>
          </w:tcPr>
          <w:p>
            <w:pPr>
              <w:jc w:val="left"/>
            </w:pPr>
            <w:r>
              <w:rPr>
                <w:sz w:val="18"/>
                <w:szCs w:val="18"/>
              </w:rPr>
              <w:t xml:space="preserve">EG, full cascade, unaligned objective</w:t>
            </w:r>
          </w:p>
        </w:tc>
        <w:tc>
          <w:tcPr>
            <w:tcW w:type="dxa" w:w="2400"/>
            <w:shd w:fill="F2F2F2" w:val="clear"/>
            <w:tcMar>
              <w:top w:type="dxa" w:w="70"/>
              <w:left w:type="dxa" w:w="90"/>
              <w:bottom w:type="dxa" w:w="70"/>
              <w:right w:type="dxa" w:w="90"/>
            </w:tcMar>
          </w:tcPr>
          <w:p>
            <w:pPr>
              <w:jc w:val="center"/>
            </w:pPr>
            <w:r>
              <w:rPr>
                <w:sz w:val="18"/>
                <w:szCs w:val="18"/>
              </w:rPr>
              <w:t xml:space="preserve">4.914</w:t>
            </w:r>
          </w:p>
        </w:tc>
        <w:tc>
          <w:tcPr>
            <w:tcW w:type="dxa" w:w="2400"/>
            <w:shd w:fill="F2F2F2" w:val="clear"/>
            <w:tcMar>
              <w:top w:type="dxa" w:w="70"/>
              <w:left w:type="dxa" w:w="90"/>
              <w:bottom w:type="dxa" w:w="70"/>
              <w:right w:type="dxa" w:w="90"/>
            </w:tcMar>
          </w:tcPr>
          <w:p>
            <w:pPr>
              <w:jc w:val="center"/>
            </w:pPr>
            <w:r>
              <w:rPr>
                <w:sz w:val="18"/>
                <w:szCs w:val="18"/>
              </w:rPr>
              <w:t xml:space="preserve">−43%</w:t>
            </w:r>
          </w:p>
        </w:tc>
      </w:tr>
      <w:tr>
        <w:tc>
          <w:tcPr>
            <w:tcW w:type="dxa" w:w="4600"/>
            <w:shd w:fill="FFFFFF" w:val="clear"/>
            <w:tcMar>
              <w:top w:type="dxa" w:w="70"/>
              <w:left w:type="dxa" w:w="90"/>
              <w:bottom w:type="dxa" w:w="70"/>
              <w:right w:type="dxa" w:w="90"/>
            </w:tcMar>
          </w:tcPr>
          <w:p>
            <w:pPr>
              <w:jc w:val="left"/>
            </w:pPr>
            <w:r>
              <w:rPr>
                <w:sz w:val="18"/>
                <w:szCs w:val="18"/>
              </w:rPr>
              <w:t xml:space="preserve">EG, full cascade, unaligned + post-hoc</w:t>
            </w:r>
          </w:p>
        </w:tc>
        <w:tc>
          <w:tcPr>
            <w:tcW w:type="dxa" w:w="2400"/>
            <w:shd w:fill="FFFFFF" w:val="clear"/>
            <w:tcMar>
              <w:top w:type="dxa" w:w="70"/>
              <w:left w:type="dxa" w:w="90"/>
              <w:bottom w:type="dxa" w:w="70"/>
              <w:right w:type="dxa" w:w="90"/>
            </w:tcMar>
          </w:tcPr>
          <w:p>
            <w:pPr>
              <w:jc w:val="center"/>
            </w:pPr>
            <w:r>
              <w:rPr>
                <w:sz w:val="18"/>
                <w:szCs w:val="18"/>
              </w:rPr>
              <w:t xml:space="preserve">1.778</w:t>
            </w:r>
          </w:p>
        </w:tc>
        <w:tc>
          <w:tcPr>
            <w:tcW w:type="dxa" w:w="2400"/>
            <w:shd w:fill="FFFFFF" w:val="clear"/>
            <w:tcMar>
              <w:top w:type="dxa" w:w="70"/>
              <w:left w:type="dxa" w:w="90"/>
              <w:bottom w:type="dxa" w:w="70"/>
              <w:right w:type="dxa" w:w="90"/>
            </w:tcMar>
          </w:tcPr>
          <w:p>
            <w:pPr>
              <w:jc w:val="center"/>
            </w:pPr>
            <w:r>
              <w:rPr>
                <w:sz w:val="18"/>
                <w:szCs w:val="18"/>
              </w:rPr>
              <w:t xml:space="preserve">−79%</w:t>
            </w:r>
          </w:p>
        </w:tc>
      </w:tr>
      <w:tr>
        <w:tc>
          <w:tcPr>
            <w:tcW w:type="dxa" w:w="4600"/>
            <w:shd w:fill="F2F2F2" w:val="clear"/>
            <w:tcMar>
              <w:top w:type="dxa" w:w="70"/>
              <w:left w:type="dxa" w:w="90"/>
              <w:bottom w:type="dxa" w:w="70"/>
              <w:right w:type="dxa" w:w="90"/>
            </w:tcMar>
          </w:tcPr>
          <w:p>
            <w:pPr>
              <w:jc w:val="left"/>
            </w:pPr>
            <w:r>
              <w:rPr>
                <w:sz w:val="18"/>
                <w:szCs w:val="18"/>
              </w:rPr>
              <w:t xml:space="preserve">EG, full cascade, cost-aligned objective (final)</w:t>
            </w:r>
          </w:p>
        </w:tc>
        <w:tc>
          <w:tcPr>
            <w:tcW w:type="dxa" w:w="2400"/>
            <w:shd w:fill="F2F2F2" w:val="clear"/>
            <w:tcMar>
              <w:top w:type="dxa" w:w="70"/>
              <w:left w:type="dxa" w:w="90"/>
              <w:bottom w:type="dxa" w:w="70"/>
              <w:right w:type="dxa" w:w="90"/>
            </w:tcMar>
          </w:tcPr>
          <w:p>
            <w:pPr>
              <w:jc w:val="center"/>
            </w:pPr>
            <w:r>
              <w:rPr>
                <w:sz w:val="18"/>
                <w:szCs w:val="18"/>
              </w:rPr>
              <w:t xml:space="preserve">2.098</w:t>
            </w:r>
          </w:p>
        </w:tc>
        <w:tc>
          <w:tcPr>
            <w:tcW w:type="dxa" w:w="2400"/>
            <w:shd w:fill="F2F2F2" w:val="clear"/>
            <w:tcMar>
              <w:top w:type="dxa" w:w="70"/>
              <w:left w:type="dxa" w:w="90"/>
              <w:bottom w:type="dxa" w:w="70"/>
              <w:right w:type="dxa" w:w="90"/>
            </w:tcMar>
          </w:tcPr>
          <w:p>
            <w:pPr>
              <w:jc w:val="center"/>
            </w:pPr>
            <w:r>
              <w:rPr>
                <w:sz w:val="18"/>
                <w:szCs w:val="18"/>
              </w:rPr>
              <w:t xml:space="preserve">−76%</w:t>
            </w:r>
          </w:p>
        </w:tc>
      </w:tr>
    </w:tbl>
    <w:p>
      <w:pPr>
        <w:spacing w:after="160"/>
      </w:pPr>
    </w:p>
    <w:p>
      <w:pPr>
        <w:pStyle w:val="Heading2"/>
        <w:spacing w:after="120" w:before="260"/>
      </w:pPr>
      <w:r>
        <w:t xml:space="preserve">3.4 SHAP / Additive Feature Attribution (06-at, lecture 4)</w:t>
      </w:r>
    </w:p>
    <w:p>
      <w:pPr>
        <w:spacing w:after="160" w:line="276"/>
      </w:pPr>
      <w:r>
        <w:t xml:space="preserve">For a linear model, a feature's contribution to a prediction is simply θⱼ(xⱼ − E[xⱼ]) — its coefficient times how far this patient's value sits from the average. SHAP generalizes this additive decomposition to nonlinear models via Shapley values, marginalizing a feature's contribution over every possible subset of the other features; it is the unique attribution method with certain fairness-like properties, and its contributions sum exactly to the model's prediction for that patient.</w:t>
      </w:r>
    </w:p>
    <w:p>
      <w:pPr>
        <w:spacing w:after="160" w:line="276"/>
      </w:pPr>
      <w:r>
        <w:t xml:space="preserve">In the project, SHAP is applied to the final pipeline RISK_SCORE, computed as a weighted sum of TreeExplainer SHAP values across the nonzero-weight components of the ExponentiatedGradient mixture — mathematically exact, since Shapley values are linear under model averaging (φ(Σ wₖ fₖ) = Σ wₖ φ(fₖ)). This is the direct analogue, at the decision-support stage, of the exact PCA T²/Q contribution plot already used at the anomaly-detection stage: the same question (“why this number, for this patient”), the same additive-decomposition idea, applied to a different underlying model.</w:t>
      </w:r>
    </w:p>
    <w:p>
      <w:pPr>
        <w:spacing w:after="160" w:line="276"/>
      </w:pPr>
      <w:r>
        <w:t xml:space="preserve">In the fairness-corrected pipeline, the SHAP results reinforce the fairness narrative rather than undermining it: in the extended+anomaly tier, NOMINAL_MONTH dominates the attribution (0.0968) while the anomaly score ranks 6th of 10 features (0.0181) but is non-zero and patient-varying — the new anomaly-detection feature earns real, if secondary, importance without being either dropped or dominant. In the core tier — previously the tier with the worst individual DIDI — the strongest remaining proxy correlation with a protected attribute shifts from AGE vs. PTGENDER (r=−0.224) in the plain model to AMYGDALA_NORM vs. PTGENDER (r=+0.122) after the fairness-aware retrain, a direct, attribution-level confirmation that the constraint changed the model's actual reasoning, not merely its aggregate output.</w:t>
      </w:r>
    </w:p>
    <w:p>
      <w:r>
        <w:br w:type="page"/>
      </w:r>
    </w:p>
    <w:p>
      <w:pPr>
        <w:pStyle w:val="Heading1"/>
        <w:spacing w:after="160" w:before="320"/>
      </w:pPr>
      <w:r>
        <w:t xml:space="preserve">Closing Assessment</w:t>
      </w:r>
    </w:p>
    <w:p>
      <w:pPr>
        <w:spacing w:after="160" w:line="276"/>
      </w:pPr>
      <w:r>
        <w:t xml:space="preserve">Read end to end, the project's three stages correspond to four course modules applied to one coherent problem rather than a set of techniques picked independently: density estimation (01-ad-de, 02-ad-hd) for anomaly detection and its cost-based threshold; discrete-time survival analysis (05-pm) for conversion risk; predict-then-optimize (08-dfl-tf) for the check-in policy, with decision-focused learning identified as the principled extension; and fairness auditing together with the reductions approach and additive feature attribution (07-ciml, 06-at) for the decision layer actually deployed to patients.</w:t>
      </w:r>
    </w:p>
    <w:p>
      <w:pPr>
        <w:spacing w:after="160" w:line="276"/>
      </w:pPr>
      <w:r>
        <w:t xml:space="preserve">Where the project departs from the syllabus — PCA/Hotelling's T² is not one of the 42 lecture notebooks — the departure is stated openly and grounded in the same theoretical result (the Gaussian-MLE equivalence of MSE-based reconstruction) that the course derives for the autoencoder, rather than presented as an unexplained substitution. Where a fix did not work as intended — the post-hoc shift's inability to touch the model's own reasoning, the first ExponentiatedGradient attempt's collapsed catch rate, classic Reweighing's slightly worse DIDI — the negative result is kept in the record and used to justify the next step, which is itself the course's own repeated emphasis: assumptions (a cost ratio, a fairness mechanism, a threshold) should be stated explicitly, tested under more than one setting, and revised in light of what the data show.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F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2026-09-13T10:20:29.161Z</dcterms:created>
  <dcterms:modified xsi:type="dcterms:W3CDTF">2026-09-13T10:20:29.178Z</dcterms:modified>
</cp:coreProperties>
</file>

<file path=docProps/custom.xml><?xml version="1.0" encoding="utf-8"?>
<Properties xmlns="http://schemas.openxmlformats.org/officeDocument/2006/custom-properties" xmlns:vt="http://schemas.openxmlformats.org/officeDocument/2006/docPropsVTypes"/>
</file>