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09046CD1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5436C3" w:rsidRPr="00F700CA">
        <w:rPr>
          <w:b/>
          <w:bCs/>
          <w:sz w:val="24"/>
          <w:szCs w:val="24"/>
        </w:rPr>
        <w:t xml:space="preserve">{{ </w:t>
      </w:r>
      <w:r w:rsidR="004951BA">
        <w:rPr>
          <w:b/>
          <w:bCs/>
          <w:sz w:val="24"/>
          <w:szCs w:val="24"/>
          <w:lang w:val="en-US"/>
        </w:rPr>
        <w:t>CONTRACT</w:t>
      </w:r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6B968283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AD738B" w:rsidRPr="00AD738B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>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79654BF5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r w:rsidR="007E476E">
        <w:rPr>
          <w:b/>
        </w:rPr>
        <w:t>Альфа-Меридиан</w:t>
      </w:r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7E476E">
        <w:t xml:space="preserve">в лице </w:t>
      </w:r>
      <w:r w:rsidR="00B5226D">
        <w:t>Д</w:t>
      </w:r>
      <w:r w:rsidR="00BA49EE">
        <w:t xml:space="preserve">иректора </w:t>
      </w:r>
      <w:r w:rsidR="007E476E">
        <w:t>Терновской Юлии Сергеевны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7A2700">
        <w:t xml:space="preserve"> </w:t>
      </w:r>
      <w:r w:rsidR="008D2326" w:rsidRPr="008D2326">
        <w:t xml:space="preserve">{{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8D2326" w:rsidRPr="008D2326">
        <w:t xml:space="preserve"> }}</w:t>
      </w:r>
      <w:r w:rsidR="005436C3" w:rsidRPr="005436C3">
        <w:t xml:space="preserve"> 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(-ая)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8BCFF0B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r w:rsidR="00CC795A" w:rsidRPr="00075F0D">
        <w:rPr>
          <w:sz w:val="24"/>
          <w:szCs w:val="24"/>
          <w:lang w:eastAsia="ru-RU"/>
        </w:rPr>
        <w:t>указанн</w:t>
      </w:r>
      <w:r w:rsidR="00CC795A">
        <w:rPr>
          <w:sz w:val="24"/>
          <w:szCs w:val="24"/>
          <w:lang w:eastAsia="ru-RU"/>
        </w:rPr>
        <w:t>ые</w:t>
      </w:r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{{ 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5436C3" w:rsidRPr="005436C3">
        <w:t xml:space="preserve">{{ </w:t>
      </w:r>
      <w:r w:rsidR="005436C3">
        <w:rPr>
          <w:lang w:val="en-US"/>
        </w:rPr>
        <w:t>COST</w:t>
      </w:r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2B33FA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1990AB94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r w:rsidR="007E476E">
              <w:t>Альфа-Меридиан</w:t>
            </w:r>
            <w:r w:rsidRPr="00BA49EE">
              <w:t>»</w:t>
            </w:r>
          </w:p>
          <w:p w14:paraId="3E26AEAF" w14:textId="0A98A779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Юр.адрес: </w:t>
            </w:r>
            <w:r w:rsidR="00CC795A" w:rsidRPr="00CC795A">
              <w:t>111524, г.Москва, ул Электродная, д. 2, стр. 12-13-14, эт. IV, ком.1, оф.327А</w:t>
            </w:r>
          </w:p>
          <w:p w14:paraId="739BC62A" w14:textId="35EC46A0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ИНН </w:t>
            </w:r>
            <w:r w:rsidR="007E476E" w:rsidRPr="007E476E">
              <w:t>7733140114</w:t>
            </w:r>
          </w:p>
          <w:p w14:paraId="3A0E411A" w14:textId="6CE7CB7D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</w:t>
            </w:r>
            <w:r w:rsidR="007E476E">
              <w:t>0</w:t>
            </w:r>
            <w:r>
              <w:t>01001</w:t>
            </w:r>
          </w:p>
          <w:p w14:paraId="4FE4686C" w14:textId="6BA46505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ОГРН </w:t>
            </w:r>
            <w:r w:rsidR="007E476E" w:rsidRPr="007E476E">
              <w:t>1027733006982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6189840B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="007E476E" w:rsidRPr="007E476E">
              <w:t>40702810110001009284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5CA877DF" w:rsidR="00BC273C" w:rsidRPr="00143F3B" w:rsidRDefault="007E476E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73464C77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7E476E">
              <w:rPr>
                <w:b/>
              </w:rPr>
              <w:t>Терновская</w:t>
            </w:r>
            <w:r w:rsidR="00334979">
              <w:rPr>
                <w:b/>
              </w:rPr>
              <w:t xml:space="preserve"> </w:t>
            </w:r>
            <w:r w:rsidR="007E476E">
              <w:rPr>
                <w:b/>
              </w:rPr>
              <w:t>Ю</w:t>
            </w:r>
            <w:r w:rsidR="009D0DC7" w:rsidRPr="00143F3B">
              <w:rPr>
                <w:b/>
              </w:rPr>
              <w:t>.</w:t>
            </w:r>
            <w:r w:rsidR="007E476E">
              <w:rPr>
                <w:b/>
              </w:rPr>
              <w:t>С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AD738B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AD738B">
              <w:rPr>
                <w:b/>
                <w:sz w:val="24"/>
                <w:szCs w:val="24"/>
                <w:lang w:val="en-US"/>
              </w:rPr>
              <w:t>:</w:t>
            </w:r>
          </w:p>
          <w:p w14:paraId="351779E4" w14:textId="16885BCE" w:rsidR="00F700CA" w:rsidRPr="00AA6CCF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lang w:val="en-US"/>
              </w:rPr>
            </w:pPr>
            <w:r w:rsidRPr="00AA6CC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FULL</w:t>
            </w:r>
            <w:r w:rsidRPr="00AA6CCF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AA6CCF">
              <w:rPr>
                <w:lang w:val="en-US"/>
              </w:rPr>
              <w:t xml:space="preserve"> }}</w:t>
            </w:r>
          </w:p>
          <w:p w14:paraId="07045D9A" w14:textId="73F20547" w:rsidR="00BC273C" w:rsidRPr="00AA6CCF" w:rsidRDefault="00AA1E69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AA1E69">
              <w:rPr>
                <w:sz w:val="24"/>
                <w:szCs w:val="24"/>
                <w:lang w:val="en-US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DOCUMENT</w:t>
            </w:r>
            <w:r w:rsidRPr="00AA1E6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AA1E69">
              <w:rPr>
                <w:sz w:val="24"/>
                <w:szCs w:val="24"/>
                <w:lang w:val="en-US"/>
              </w:rPr>
              <w:t xml:space="preserve"> }}</w:t>
            </w:r>
            <w:r w:rsidR="00BC273C" w:rsidRPr="00AA1E69">
              <w:rPr>
                <w:sz w:val="24"/>
                <w:szCs w:val="24"/>
                <w:lang w:val="en-US"/>
              </w:rPr>
              <w:t xml:space="preserve">: </w:t>
            </w:r>
            <w:r w:rsidRPr="00AA1E69">
              <w:rPr>
                <w:sz w:val="24"/>
                <w:szCs w:val="24"/>
                <w:lang w:val="en-US"/>
              </w:rPr>
              <w:t>{{ DOCUMENT_SERIES }}</w:t>
            </w:r>
            <w:r w:rsidR="00943AD9" w:rsidRPr="00AA1E6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DOCUMENT_NUMBER }}</w:t>
            </w:r>
          </w:p>
          <w:p w14:paraId="4D8799F0" w14:textId="45752852" w:rsidR="00BC273C" w:rsidRPr="00AA1E6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1E69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AA1E69">
              <w:rPr>
                <w:sz w:val="24"/>
                <w:szCs w:val="24"/>
                <w:lang w:val="en-US"/>
              </w:rPr>
              <w:t xml:space="preserve">: </w:t>
            </w:r>
            <w:r w:rsidR="005436C3" w:rsidRPr="00AA1E69">
              <w:rPr>
                <w:sz w:val="24"/>
                <w:szCs w:val="24"/>
                <w:lang w:val="en-US"/>
              </w:rPr>
              <w:t>{</w:t>
            </w:r>
            <w:r w:rsidR="005436C3" w:rsidRPr="00AA1E69">
              <w:rPr>
                <w:lang w:val="en-US"/>
              </w:rPr>
              <w:t xml:space="preserve">{ </w:t>
            </w:r>
            <w:r w:rsidR="005436C3">
              <w:rPr>
                <w:lang w:val="en-US"/>
              </w:rPr>
              <w:t>I</w:t>
            </w:r>
            <w:r w:rsidR="005436C3" w:rsidRPr="00AA1E69">
              <w:rPr>
                <w:lang w:val="en-US"/>
              </w:rPr>
              <w:t>SSUE_DATE 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AA1E69">
              <w:rPr>
                <w:sz w:val="24"/>
                <w:szCs w:val="24"/>
                <w:lang w:val="en-US"/>
              </w:rPr>
              <w:t>.</w:t>
            </w:r>
          </w:p>
          <w:p w14:paraId="0031F467" w14:textId="54C5B86B" w:rsidR="00BC273C" w:rsidRPr="00AA6CCF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AA6CCF">
              <w:rPr>
                <w:sz w:val="24"/>
                <w:szCs w:val="24"/>
                <w:lang w:val="en-US"/>
              </w:rPr>
              <w:t>:</w:t>
            </w:r>
            <w:r w:rsidR="004527CA" w:rsidRPr="00AA6CCF">
              <w:rPr>
                <w:sz w:val="24"/>
                <w:szCs w:val="24"/>
                <w:lang w:val="en-US"/>
              </w:rPr>
              <w:t xml:space="preserve"> </w:t>
            </w:r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 xml:space="preserve">{ </w:t>
            </w:r>
            <w:r w:rsidR="005436C3" w:rsidRPr="005436C3">
              <w:rPr>
                <w:lang w:val="en-US"/>
              </w:rPr>
              <w:t>ISSUED</w:t>
            </w:r>
            <w:r w:rsidR="005436C3" w:rsidRPr="00AA6CCF">
              <w:rPr>
                <w:lang w:val="en-US"/>
              </w:rPr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AA6CCF">
              <w:rPr>
                <w:lang w:val="en-US"/>
              </w:rPr>
              <w:t xml:space="preserve"> }}</w:t>
            </w:r>
          </w:p>
          <w:p w14:paraId="6B996782" w14:textId="15A10F9E" w:rsidR="00514E4E" w:rsidRPr="00AA6CCF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>{ INN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AD738B" w:rsidRDefault="00F63537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AD738B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AD738B">
              <w:rPr>
                <w:i/>
                <w:color w:val="000000" w:themeColor="text1"/>
                <w:sz w:val="24"/>
                <w:szCs w:val="24"/>
              </w:rPr>
              <w:t>________________/</w:t>
            </w:r>
            <w:r w:rsidR="00A6263B" w:rsidRPr="00AD738B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5436C3" w:rsidRPr="00AD738B">
              <w:rPr>
                <w:b/>
                <w:bCs/>
                <w:iCs/>
                <w:color w:val="000000" w:themeColor="text1"/>
                <w:sz w:val="24"/>
                <w:szCs w:val="24"/>
              </w:rPr>
              <w:t>{</w:t>
            </w:r>
            <w:r w:rsidR="005436C3" w:rsidRPr="00AD738B">
              <w:rPr>
                <w:b/>
                <w:bCs/>
                <w:iCs/>
                <w:color w:val="000000" w:themeColor="text1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AD738B">
              <w:rPr>
                <w:b/>
                <w:bCs/>
                <w:iCs/>
                <w:color w:val="000000" w:themeColor="text1"/>
              </w:rPr>
              <w:t xml:space="preserve"> }}</w:t>
            </w:r>
            <w:r w:rsidR="00B51410" w:rsidRPr="00AD738B">
              <w:rPr>
                <w:rStyle w:val="fill"/>
                <w:i w:val="0"/>
                <w:color w:val="000000" w:themeColor="text1"/>
              </w:rPr>
              <w:t xml:space="preserve"> </w:t>
            </w:r>
            <w:r w:rsidR="005436C3" w:rsidRPr="00AD738B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AD738B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AD738B">
              <w:rPr>
                <w:rStyle w:val="fill"/>
                <w:i w:val="0"/>
                <w:color w:val="000000" w:themeColor="text1"/>
              </w:rPr>
              <w:t xml:space="preserve"> }}</w:t>
            </w:r>
            <w:r w:rsidR="00B51410" w:rsidRPr="00AD738B">
              <w:rPr>
                <w:rStyle w:val="fill"/>
                <w:i w:val="0"/>
                <w:color w:val="000000" w:themeColor="text1"/>
              </w:rPr>
              <w:t>.</w:t>
            </w:r>
            <w:r w:rsidR="005436C3" w:rsidRPr="00AD738B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943AD9" w:rsidRDefault="00AC265B" w:rsidP="00A0595D">
      <w:pPr>
        <w:rPr>
          <w:b/>
          <w:bCs/>
          <w:lang w:val="en-US" w:eastAsia="ru-RU"/>
        </w:rPr>
      </w:pPr>
    </w:p>
    <w:sectPr w:rsidR="00AC265B" w:rsidRPr="00943AD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36A39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3FA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951BA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E476E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43AD9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A1E69"/>
    <w:rsid w:val="00AA6CCF"/>
    <w:rsid w:val="00AB34A0"/>
    <w:rsid w:val="00AC265B"/>
    <w:rsid w:val="00AD738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30113"/>
    <w:rsid w:val="00C54D56"/>
    <w:rsid w:val="00C81444"/>
    <w:rsid w:val="00C8422D"/>
    <w:rsid w:val="00C8664D"/>
    <w:rsid w:val="00CA60B3"/>
    <w:rsid w:val="00CC77CA"/>
    <w:rsid w:val="00CC795A"/>
    <w:rsid w:val="00CD1AC5"/>
    <w:rsid w:val="00CD24E9"/>
    <w:rsid w:val="00CE2BF6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1812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D9FBA-0437-45D3-A59F-6B3F44B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ok ok</cp:lastModifiedBy>
  <cp:revision>18</cp:revision>
  <cp:lastPrinted>2021-07-08T12:32:00Z</cp:lastPrinted>
  <dcterms:created xsi:type="dcterms:W3CDTF">2023-12-19T19:48:00Z</dcterms:created>
  <dcterms:modified xsi:type="dcterms:W3CDTF">2024-08-25T14:35:00Z</dcterms:modified>
  <dc:language>en-US</dc:language>
</cp:coreProperties>
</file>