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7A696A46" w:rsidR="000B0F37" w:rsidRDefault="00416026">
      <w:r>
        <w:rPr>
          <w:rFonts w:hint="eastAsia"/>
        </w:rPr>
        <w:t>プログラムは2023年度用のコメントがあれば対応済み</w:t>
      </w:r>
    </w:p>
    <w:p w14:paraId="391F06E7" w14:textId="1D41D43A" w:rsidR="000A024C" w:rsidRDefault="00647E78">
      <w:r>
        <w:rPr>
          <w:rFonts w:hint="eastAsia"/>
        </w:rPr>
        <w:t>この2つをまず試す</w:t>
      </w:r>
    </w:p>
    <w:p w14:paraId="02E0B0A3" w14:textId="65721A35" w:rsidR="000A024C" w:rsidRDefault="00647E78" w:rsidP="00647E78">
      <w:pPr>
        <w:ind w:left="210" w:hangingChars="100" w:hanging="210"/>
      </w:pPr>
      <w:r>
        <w:rPr>
          <w:rFonts w:hint="eastAsia"/>
        </w:rPr>
        <w:t>・</w:t>
      </w:r>
      <w:r w:rsidR="000A024C">
        <w:rPr>
          <w:rFonts w:hint="eastAsia"/>
        </w:rPr>
        <w:t>25人のデータで、他人受入の際は別の人の手の画像は使わない</w:t>
      </w:r>
      <w:r w:rsidR="00D57434">
        <w:rPr>
          <w:rFonts w:hint="eastAsia"/>
        </w:rPr>
        <w:t>(AさんのものなのにBさんと識別するもの)</w:t>
      </w:r>
    </w:p>
    <w:p w14:paraId="0F8F3461" w14:textId="5A0EA88B" w:rsidR="000A024C" w:rsidRDefault="00647E78" w:rsidP="00647E78">
      <w:r>
        <w:rPr>
          <w:rFonts w:hint="eastAsia"/>
        </w:rPr>
        <w:t>・</w:t>
      </w:r>
      <w:r w:rsidR="000A024C">
        <w:rPr>
          <w:rFonts w:hint="eastAsia"/>
        </w:rPr>
        <w:t>別の人の手の画像を使う(</w:t>
      </w:r>
      <w:r w:rsidR="00D57434">
        <w:rPr>
          <w:rFonts w:hint="eastAsia"/>
        </w:rPr>
        <w:t>今やってる評価方法でやる</w:t>
      </w:r>
      <w:r w:rsidR="000A024C">
        <w:rPr>
          <w:rFonts w:hint="eastAsia"/>
        </w:rPr>
        <w:t>)の2種類で評価</w:t>
      </w:r>
      <w:r w:rsidR="00D57434">
        <w:rPr>
          <w:rFonts w:hint="eastAsia"/>
        </w:rPr>
        <w:t>(去年のデータを別の人(評価用として用いて、今年の25人分は学習に用いる)</w:t>
      </w:r>
    </w:p>
    <w:p w14:paraId="611D048D" w14:textId="0B435D74" w:rsidR="00647E78" w:rsidRDefault="00D57434">
      <w:r>
        <w:rPr>
          <w:rFonts w:hint="eastAsia"/>
        </w:rPr>
        <w:t>・RGB、グレイスケール、エッジ画像カーネル3、5で試す</w:t>
      </w:r>
    </w:p>
    <w:p w14:paraId="2D036815" w14:textId="4A555300" w:rsidR="00647E78" w:rsidRDefault="00647E78">
      <w:r>
        <w:rPr>
          <w:rFonts w:hint="eastAsia"/>
        </w:rPr>
        <w:t>・画像サイズを16、32、64、128、192、256で試す</w:t>
      </w:r>
      <w:r w:rsidR="00D57434">
        <w:rPr>
          <w:rFonts w:hint="eastAsia"/>
        </w:rPr>
        <w:t>(32ずつあげて)</w:t>
      </w:r>
    </w:p>
    <w:p w14:paraId="684D15E8" w14:textId="0F0E7424" w:rsidR="00647E78" w:rsidRDefault="00647E78">
      <w:r>
        <w:rPr>
          <w:rFonts w:hint="eastAsia"/>
        </w:rPr>
        <w:t>・バッチサイズ32、64、(96)、128(もっと上げて下がりそうであれば試す)</w:t>
      </w:r>
    </w:p>
    <w:p w14:paraId="76EE8479" w14:textId="51255D89" w:rsidR="00647E78" w:rsidRPr="000A024C" w:rsidRDefault="00647E78">
      <w:r>
        <w:rPr>
          <w:rFonts w:hint="eastAsia"/>
        </w:rPr>
        <w:t>・Kaggleでのデータセットでも試す(学習用、評価用は適当に定める)</w:t>
      </w:r>
      <w:r w:rsidR="00D57434">
        <w:rPr>
          <w:rFonts w:hint="eastAsia"/>
        </w:rPr>
        <w:t>(余力があれば)</w:t>
      </w:r>
    </w:p>
    <w:p w14:paraId="616F7C72" w14:textId="61644879" w:rsidR="00D7317C" w:rsidRDefault="00D7317C">
      <w:pPr>
        <w:rPr>
          <w:b/>
          <w:bCs/>
          <w:sz w:val="24"/>
          <w:szCs w:val="28"/>
        </w:rPr>
      </w:pPr>
      <w:r w:rsidRPr="00D7317C">
        <w:rPr>
          <w:rFonts w:hint="eastAsia"/>
          <w:b/>
          <w:bCs/>
          <w:sz w:val="24"/>
          <w:szCs w:val="28"/>
        </w:rPr>
        <w:lastRenderedPageBreak/>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78B22190" w:rsidR="007558D3" w:rsidRDefault="007558D3">
      <w:pPr>
        <w:rPr>
          <w:b/>
          <w:bCs/>
        </w:rPr>
      </w:pPr>
      <w:r>
        <w:rPr>
          <w:rFonts w:hint="eastAsia"/>
          <w:b/>
          <w:bCs/>
        </w:rPr>
        <w:t>データセット</w:t>
      </w:r>
    </w:p>
    <w:p w14:paraId="64BE88BF" w14:textId="10AF7A49" w:rsidR="00DF6652" w:rsidRDefault="00000000">
      <w:hyperlink r:id="rId6" w:history="1">
        <w:r w:rsidR="00DF6652">
          <w:rPr>
            <w:rStyle w:val="a3"/>
          </w:rPr>
          <w:t>手と手のひらの画像データセット |カグル (kaggle.com)</w:t>
        </w:r>
      </w:hyperlink>
    </w:p>
    <w:p w14:paraId="36F2F4F2" w14:textId="4C838B53" w:rsidR="00DF6652" w:rsidRDefault="00000000">
      <w:pPr>
        <w:rPr>
          <w:b/>
          <w:bCs/>
        </w:rPr>
      </w:pPr>
      <w:hyperlink r:id="rId7" w:history="1">
        <w:r w:rsidR="00DF6652">
          <w:rPr>
            <w:rStyle w:val="a3"/>
          </w:rPr>
          <w:t>PolyU-IITD Contactless Palmprint Images Database (Version 3.0)</w:t>
        </w:r>
      </w:hyperlink>
      <w:r w:rsidR="00DF6652">
        <w:rPr>
          <w:rFonts w:hint="eastAsia"/>
        </w:rPr>
        <w:t>(認証が必要)</w:t>
      </w:r>
    </w:p>
    <w:p w14:paraId="51DB4E02" w14:textId="1BEE393C" w:rsidR="007558D3" w:rsidRDefault="00000000">
      <w:hyperlink r:id="rId8" w:history="1">
        <w:r w:rsidR="007558D3">
          <w:rPr>
            <w:rStyle w:val="a3"/>
          </w:rPr>
          <w:t>2003.13266.pdf (arxiv.org)</w:t>
        </w:r>
      </w:hyperlink>
    </w:p>
    <w:p w14:paraId="1D166839" w14:textId="258E9285" w:rsidR="007558D3" w:rsidRPr="00D7317C" w:rsidRDefault="00000000">
      <w:pPr>
        <w:rPr>
          <w:b/>
          <w:bCs/>
        </w:rPr>
      </w:pPr>
      <w:hyperlink r:id="rId9" w:history="1">
        <w:r w:rsidR="007558D3">
          <w:rPr>
            <w:rStyle w:val="a3"/>
          </w:rPr>
          <w:t>Hands and palm images dataset | Kaggle</w:t>
        </w:r>
      </w:hyperlink>
    </w:p>
    <w:p w14:paraId="3DBDA0EE" w14:textId="17D1A989" w:rsidR="00D7317C" w:rsidRPr="005566EC" w:rsidRDefault="005A71C2">
      <w:pPr>
        <w:rPr>
          <w:b/>
          <w:bCs/>
        </w:rPr>
      </w:pPr>
      <w:r>
        <w:rPr>
          <w:rFonts w:hint="eastAsia"/>
          <w:b/>
          <w:bCs/>
        </w:rPr>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w:t>
      </w:r>
      <w:r>
        <w:rPr>
          <w:rFonts w:hint="eastAsia"/>
        </w:rPr>
        <w:lastRenderedPageBreak/>
        <w:t>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10"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11"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w:t>
      </w:r>
      <w:r>
        <w:rPr>
          <w:rFonts w:hint="eastAsia"/>
        </w:rPr>
        <w:lastRenderedPageBreak/>
        <w:t>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12"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lastRenderedPageBreak/>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13"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4"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w:t>
      </w:r>
      <w:r>
        <w:rPr>
          <w:rFonts w:hint="eastAsia"/>
        </w:rPr>
        <w:lastRenderedPageBreak/>
        <w:t>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lastRenderedPageBreak/>
        <w:t xml:space="preserve">Caputure subject: </w:t>
      </w:r>
      <w:r w:rsidRPr="00C0528B">
        <w:rPr>
          <w:rFonts w:hint="eastAsia"/>
        </w:rPr>
        <w:t>生体情報の取得対象者</w:t>
      </w:r>
    </w:p>
    <w:p w14:paraId="6064E150" w14:textId="56137F2F" w:rsidR="00E7775F" w:rsidRDefault="00E7775F">
      <w:r>
        <w:rPr>
          <w:rFonts w:hint="eastAsia"/>
        </w:rPr>
        <w:t>P</w:t>
      </w:r>
      <w:r>
        <w:t xml:space="preserve">rove: </w:t>
      </w:r>
      <w:r>
        <w:rPr>
          <w:rFonts w:hint="eastAsia"/>
        </w:rPr>
        <w:t>検索したい人物</w:t>
      </w:r>
    </w:p>
    <w:p w14:paraId="4503036B" w14:textId="10C740D2" w:rsidR="00184F77" w:rsidRDefault="00184F77">
      <w:r>
        <w:t xml:space="preserve">Closed </w:t>
      </w:r>
      <w:r>
        <w:rPr>
          <w:rFonts w:hint="eastAsia"/>
        </w:rPr>
        <w:t>登録された中で</w:t>
      </w:r>
    </w:p>
    <w:p w14:paraId="470E738F" w14:textId="31088D49" w:rsidR="00184F77" w:rsidRDefault="00184F77">
      <w:r>
        <w:t xml:space="preserve">Open </w:t>
      </w:r>
      <w:r>
        <w:rPr>
          <w:rFonts w:hint="eastAsia"/>
        </w:rPr>
        <w:t>登録の有無関係なしに</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w:lastRenderedPageBreak/>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5B25D26D" w14:textId="6EED0A60"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36A57778" w14:textId="3C0FCBD6" w:rsidR="00362368" w:rsidRDefault="00362368">
      <w:r>
        <w:rPr>
          <w:rFonts w:hint="eastAsia"/>
        </w:rPr>
        <w:t>9</w:t>
      </w:r>
      <w:r>
        <w:t>.6.3.2</w:t>
      </w:r>
    </w:p>
    <w:p w14:paraId="16B3ECBA" w14:textId="450BB273" w:rsidR="00EF0B5C" w:rsidRDefault="00EF0B5C">
      <w:r>
        <w:rPr>
          <w:rFonts w:hint="eastAsia"/>
        </w:rPr>
        <w:t>識別システムの登録データベースが大きくなるにつれて、FPIRの値が一定である</w:t>
      </w:r>
      <w:r w:rsidR="00362368">
        <w:rPr>
          <w:rFonts w:hint="eastAsia"/>
        </w:rPr>
        <w:t>ときの全体の識別性能の変化は、登録データベースNのサイズに対するFNIRのプロットとして示すことができる。その代わりに、FPIRとFNIRの間関係を表すDET曲線の集合は、様々なデータベースサイズでプロットされる。</w:t>
      </w:r>
    </w:p>
    <w:p w14:paraId="6CC9BA38" w14:textId="1D2A79BE" w:rsidR="00362368" w:rsidRDefault="00362368">
      <w:r>
        <w:rPr>
          <w:rFonts w:hint="eastAsia"/>
        </w:rPr>
        <w:t>9</w:t>
      </w:r>
      <w:r>
        <w:t xml:space="preserve">.6.4 </w:t>
      </w:r>
      <w:r>
        <w:rPr>
          <w:rFonts w:hint="eastAsia"/>
        </w:rPr>
        <w:t>一般化されたFNIRとFPIR</w:t>
      </w:r>
    </w:p>
    <w:p w14:paraId="018D3728" w14:textId="7A98840C" w:rsidR="00362368" w:rsidRDefault="00362368">
      <w:r>
        <w:rPr>
          <w:rFonts w:hint="eastAsia"/>
        </w:rPr>
        <w:t>異なる登録</w:t>
      </w:r>
      <w:r w:rsidR="001D76DB">
        <w:rPr>
          <w:rFonts w:hint="eastAsia"/>
        </w:rPr>
        <w:t>失敗</w:t>
      </w:r>
      <w:r>
        <w:rPr>
          <w:rFonts w:hint="eastAsia"/>
        </w:rPr>
        <w:t>率(f</w:t>
      </w:r>
      <w:r>
        <w:t>ailure</w:t>
      </w:r>
      <w:r w:rsidR="001D76DB">
        <w:t>-to-enrol rates</w:t>
      </w:r>
      <w:r>
        <w:rPr>
          <w:rFonts w:hint="eastAsia"/>
        </w:rPr>
        <w:t>)と</w:t>
      </w:r>
      <w:r w:rsidR="001D76DB">
        <w:rPr>
          <w:rFonts w:hint="eastAsia"/>
        </w:rPr>
        <w:t>取得失敗</w:t>
      </w:r>
      <w:r>
        <w:rPr>
          <w:rFonts w:hint="eastAsia"/>
        </w:rPr>
        <w:t>率</w:t>
      </w:r>
      <w:r w:rsidR="001D76DB">
        <w:rPr>
          <w:rFonts w:hint="eastAsia"/>
        </w:rPr>
        <w:t>(</w:t>
      </w:r>
      <w:r w:rsidR="001D76DB">
        <w:t>failure-to-acquire rates)</w:t>
      </w:r>
      <w:r>
        <w:rPr>
          <w:rFonts w:hint="eastAsia"/>
        </w:rPr>
        <w:t>を持つ識別システムの比較には、</w:t>
      </w:r>
      <w:r w:rsidR="001D76DB">
        <w:rPr>
          <w:rFonts w:hint="eastAsia"/>
        </w:rPr>
        <w:t>登録失敗、取得失敗、識別エラーを組み合わせた</w:t>
      </w:r>
      <w:r>
        <w:rPr>
          <w:rFonts w:hint="eastAsia"/>
        </w:rPr>
        <w:t>一般化されたFNIRとFPIR</w:t>
      </w:r>
      <w:r w:rsidR="001D76DB">
        <w:rPr>
          <w:rFonts w:hint="eastAsia"/>
        </w:rPr>
        <w:t>を使用する必要がある</w:t>
      </w:r>
    </w:p>
    <w:p w14:paraId="480EA896" w14:textId="672E09C6" w:rsidR="001D76DB" w:rsidRDefault="001D76DB">
      <w:r>
        <w:rPr>
          <w:rFonts w:hint="eastAsia"/>
        </w:rPr>
        <w:t>一般化の方法は評価に適したものであるべきである。</w:t>
      </w:r>
    </w:p>
    <w:p w14:paraId="6C39E032" w14:textId="7ABE7B5C" w:rsidR="001D76DB" w:rsidRDefault="001D76DB">
      <w:r>
        <w:rPr>
          <w:rFonts w:hint="eastAsia"/>
        </w:rPr>
        <w:t>典型的な一般化は、登録が完了しなかった場合、登録が完了したものとして扱うが、参照識別子が</w:t>
      </w:r>
      <w:r w:rsidR="00B568F9">
        <w:rPr>
          <w:rFonts w:hint="eastAsia"/>
        </w:rPr>
        <w:t>どの</w:t>
      </w:r>
      <w:r>
        <w:rPr>
          <w:rFonts w:hint="eastAsia"/>
        </w:rPr>
        <w:t>候補者リストに存在</w:t>
      </w:r>
      <w:r w:rsidR="00B568F9">
        <w:rPr>
          <w:rFonts w:hint="eastAsia"/>
        </w:rPr>
        <w:t>しない場合、検索が完了し候補が見つからなかったものとして取得失敗を扱うこと</w:t>
      </w:r>
    </w:p>
    <w:p w14:paraId="60E56D99" w14:textId="62EF76EB" w:rsidR="00B568F9" w:rsidRDefault="00B568F9">
      <w:r>
        <w:rPr>
          <w:rFonts w:hint="eastAsia"/>
        </w:rPr>
        <w:t>9</w:t>
      </w:r>
      <w:r>
        <w:t xml:space="preserve">.6.5 </w:t>
      </w:r>
      <w:r>
        <w:rPr>
          <w:rFonts w:hint="eastAsia"/>
        </w:rPr>
        <w:t>選択性</w:t>
      </w:r>
    </w:p>
    <w:p w14:paraId="314E7FB9" w14:textId="689A45D8" w:rsidR="00B568F9" w:rsidRDefault="00B568F9">
      <w:r>
        <w:rPr>
          <w:rFonts w:hint="eastAsia"/>
        </w:rPr>
        <w:t>複数の候補の特性を生成するように構成された識別システムにおいて、量的選択性は、一致しない識別トランザクションにおいて、検索したい人物に対する類似度が閾値Tを超える候補の平均数が返される</w:t>
      </w:r>
    </w:p>
    <w:p w14:paraId="0176609D" w14:textId="16666C5E" w:rsidR="00B568F9" w:rsidRDefault="00B568F9">
      <w:r>
        <w:rPr>
          <w:rFonts w:hint="eastAsia"/>
        </w:rPr>
        <w:t>SEL(N,</w:t>
      </w:r>
      <w:r>
        <w:t>R,T)</w:t>
      </w:r>
    </w:p>
    <w:p w14:paraId="72581CED" w14:textId="53A7F96E" w:rsidR="00B568F9" w:rsidRDefault="00B568F9">
      <w:r>
        <w:t xml:space="preserve">U </w:t>
      </w:r>
      <w:r>
        <w:rPr>
          <w:rFonts w:hint="eastAsia"/>
        </w:rPr>
        <w:t>は</w:t>
      </w:r>
      <w:r w:rsidR="00C25578">
        <w:rPr>
          <w:rFonts w:hint="eastAsia"/>
        </w:rPr>
        <w:t>実施された一致しない識別トランザクションの集合である</w:t>
      </w:r>
    </w:p>
    <w:p w14:paraId="6E18DA62" w14:textId="4F152112" w:rsidR="00C25578" w:rsidRDefault="00C25578">
      <w:r>
        <w:rPr>
          <w:rFonts w:hint="eastAsia"/>
        </w:rPr>
        <w:t>C</w:t>
      </w:r>
      <w:r>
        <w:t xml:space="preserve">i(R,T) </w:t>
      </w:r>
      <w:r>
        <w:rPr>
          <w:rFonts w:hint="eastAsia"/>
        </w:rPr>
        <w:t>は識別トランザクションiに対して返された候補リストで、候補者ランクがRよりも小さく、候補スコアがTよりも大きいものです。</w:t>
      </w:r>
    </w:p>
    <w:p w14:paraId="78A27CF0" w14:textId="26046A4A" w:rsidR="00C25578" w:rsidRDefault="00C25578">
      <w:r>
        <w:rPr>
          <w:rFonts w:hint="eastAsia"/>
        </w:rPr>
        <w:t>N</w:t>
      </w:r>
      <w:r>
        <w:t xml:space="preserve">OTE1 </w:t>
      </w:r>
      <w:r>
        <w:rPr>
          <w:rFonts w:hint="eastAsia"/>
        </w:rPr>
        <w:t>選択性は全体のデータベースに対して時々測定されたもの</w:t>
      </w:r>
    </w:p>
    <w:p w14:paraId="126E5EDE" w14:textId="746AE9CB" w:rsidR="00C25578" w:rsidRDefault="00C25578">
      <w:r>
        <w:rPr>
          <w:rFonts w:hint="eastAsia"/>
        </w:rPr>
        <w:t>N</w:t>
      </w:r>
      <w:r>
        <w:t xml:space="preserve">OTE2 </w:t>
      </w:r>
      <w:r>
        <w:rPr>
          <w:rFonts w:hint="eastAsia"/>
        </w:rPr>
        <w:t>選択性とFPIRは低い閾値で差があり、高い閾値で</w:t>
      </w:r>
      <w:r>
        <w:t>false positive</w:t>
      </w:r>
      <w:r>
        <w:rPr>
          <w:rFonts w:hint="eastAsia"/>
        </w:rPr>
        <w:t>が希少になるにつれて収束していく。しかし、</w:t>
      </w:r>
      <w:r w:rsidR="00452757">
        <w:rPr>
          <w:rFonts w:hint="eastAsia"/>
        </w:rPr>
        <w:t>f</w:t>
      </w:r>
      <w:r w:rsidR="00452757">
        <w:t>alse positives</w:t>
      </w:r>
      <w:r w:rsidR="00452757">
        <w:rPr>
          <w:rFonts w:hint="eastAsia"/>
        </w:rPr>
        <w:t>は特定の処理で時々集中する。</w:t>
      </w:r>
    </w:p>
    <w:p w14:paraId="44980662" w14:textId="77C4F911" w:rsidR="00D94AE2" w:rsidRDefault="00D94AE2">
      <w:r>
        <w:lastRenderedPageBreak/>
        <w:t xml:space="preserve">9.6.7 </w:t>
      </w:r>
      <w:r>
        <w:rPr>
          <w:rFonts w:hint="eastAsia"/>
        </w:rPr>
        <w:t>1対1比較結果から識別エラー率を計算</w:t>
      </w:r>
    </w:p>
    <w:p w14:paraId="1FAE2B6F" w14:textId="0EF002F6" w:rsidR="00D94AE2" w:rsidRDefault="00D94AE2">
      <w:r>
        <w:rPr>
          <w:rFonts w:hint="eastAsia"/>
        </w:rPr>
        <w:t>識別システムのためのFNIRとFPIRの一次推定はFMR-FNMR検出誤差のトレードオフに関する知識から導出できる。しかし、そのような推定は同じ被験者を対象とした別々の比較の間意に相関がある可能性を無視しているので不正確である危険性がある。</w:t>
      </w:r>
    </w:p>
    <w:p w14:paraId="28AE3F75" w14:textId="76F81514" w:rsidR="00D94AE2" w:rsidRDefault="00D94AE2">
      <w:r>
        <w:rPr>
          <w:rFonts w:hint="eastAsia"/>
        </w:rPr>
        <w:t>例　サイズNの参照データベースに対する1つの生体サンプルを使った識別アルゴリズムの性能は以下の式で近似できる。</w:t>
      </w:r>
    </w:p>
    <w:p w14:paraId="57E3EAF9" w14:textId="0AD5CB63" w:rsidR="006F60AC" w:rsidRDefault="006F60AC">
      <w:r>
        <w:rPr>
          <w:rFonts w:hint="eastAsia"/>
        </w:rPr>
        <w:t>これらの式はテストデータで観測された識別エラー率によって検証される。</w:t>
      </w:r>
    </w:p>
    <w:p w14:paraId="46E83F99" w14:textId="42858DB6" w:rsidR="006F60AC" w:rsidRDefault="006F60AC">
      <w:r>
        <w:rPr>
          <w:rFonts w:hint="eastAsia"/>
        </w:rPr>
        <w:t>F</w:t>
      </w:r>
      <w:r>
        <w:t>NIR(N,1,T)=FTAR+(1-FTAR)FNMR(T)</w:t>
      </w:r>
    </w:p>
    <w:p w14:paraId="189A4B3F" w14:textId="1EF1AE05" w:rsidR="006F60AC" w:rsidRDefault="006F60AC">
      <w:r>
        <w:t>FPIR(N,T)=(1-FTAR)(1-(1-FMR(T))^N)</w:t>
      </w:r>
    </w:p>
    <w:p w14:paraId="38ADB668" w14:textId="4F4718B8" w:rsidR="006F60AC" w:rsidRDefault="006F60AC">
      <w:r>
        <w:t>FPIR(N,T)</w:t>
      </w:r>
      <w:r>
        <w:rPr>
          <w:rFonts w:hint="eastAsia"/>
        </w:rPr>
        <w:t>は閾値Tにおけるf</w:t>
      </w:r>
      <w:r>
        <w:t>alse positive</w:t>
      </w:r>
      <w:r>
        <w:rPr>
          <w:rFonts w:hint="eastAsia"/>
        </w:rPr>
        <w:t>識別率</w:t>
      </w:r>
    </w:p>
    <w:p w14:paraId="758C1BD7" w14:textId="635D2F9D" w:rsidR="006F60AC" w:rsidRDefault="006F60AC">
      <w:r>
        <w:rPr>
          <w:rFonts w:hint="eastAsia"/>
        </w:rPr>
        <w:t>F</w:t>
      </w:r>
      <w:r>
        <w:t>NIR(N,1,T)</w:t>
      </w:r>
      <w:r>
        <w:rPr>
          <w:rFonts w:hint="eastAsia"/>
        </w:rPr>
        <w:t>は閾値T、r</w:t>
      </w:r>
      <w:r>
        <w:t>ank1</w:t>
      </w:r>
      <w:r>
        <w:rPr>
          <w:rFonts w:hint="eastAsia"/>
        </w:rPr>
        <w:t>におけるのf</w:t>
      </w:r>
      <w:r>
        <w:t>alse-negative</w:t>
      </w:r>
      <w:r>
        <w:rPr>
          <w:rFonts w:hint="eastAsia"/>
        </w:rPr>
        <w:t>識別率</w:t>
      </w:r>
    </w:p>
    <w:p w14:paraId="1F4E2EB5" w14:textId="073215D9" w:rsidR="006F60AC" w:rsidRDefault="006F60AC">
      <w:r>
        <w:rPr>
          <w:rFonts w:hint="eastAsia"/>
        </w:rPr>
        <w:t>F</w:t>
      </w:r>
      <w:r>
        <w:t>TAR</w:t>
      </w:r>
      <w:r>
        <w:rPr>
          <w:rFonts w:hint="eastAsia"/>
        </w:rPr>
        <w:t>は取得失敗率</w:t>
      </w:r>
    </w:p>
    <w:p w14:paraId="277CEA78" w14:textId="4073E370" w:rsidR="006F60AC" w:rsidRDefault="006F60AC">
      <w:r>
        <w:rPr>
          <w:rFonts w:hint="eastAsia"/>
        </w:rPr>
        <w:t>F</w:t>
      </w:r>
      <w:r>
        <w:t>MR(T)</w:t>
      </w:r>
      <w:r>
        <w:rPr>
          <w:rFonts w:hint="eastAsia"/>
        </w:rPr>
        <w:t>は閾値Tにおける誤一致率</w:t>
      </w:r>
    </w:p>
    <w:p w14:paraId="38E92045" w14:textId="111DC536" w:rsidR="006F60AC" w:rsidRDefault="006F60AC">
      <w:r>
        <w:rPr>
          <w:rFonts w:hint="eastAsia"/>
        </w:rPr>
        <w:t>F</w:t>
      </w:r>
      <w:r>
        <w:t>NMR(T)</w:t>
      </w:r>
      <w:r>
        <w:rPr>
          <w:rFonts w:hint="eastAsia"/>
        </w:rPr>
        <w:t>は閾値Tにおける誤不一致率</w:t>
      </w:r>
    </w:p>
    <w:p w14:paraId="3E235B1F" w14:textId="5F6DB1B4" w:rsidR="006F60AC" w:rsidRDefault="006F60AC">
      <w:r>
        <w:rPr>
          <w:rFonts w:hint="eastAsia"/>
        </w:rPr>
        <w:t>Nはデータベースの参照する数</w:t>
      </w:r>
    </w:p>
    <w:p w14:paraId="0E472DB8" w14:textId="53AF0178" w:rsidR="006F60AC" w:rsidRDefault="006F60AC">
      <w:r>
        <w:rPr>
          <w:rFonts w:hint="eastAsia"/>
        </w:rPr>
        <w:t>Tはスコア比較閾値</w:t>
      </w:r>
    </w:p>
    <w:p w14:paraId="7BD8453D" w14:textId="47B15D0E" w:rsidR="006F60AC" w:rsidRDefault="006F60AC">
      <w:r>
        <w:rPr>
          <w:rFonts w:hint="eastAsia"/>
        </w:rPr>
        <w:t>N</w:t>
      </w:r>
      <w:r>
        <w:t xml:space="preserve">OTE1 </w:t>
      </w:r>
      <w:r>
        <w:rPr>
          <w:rFonts w:hint="eastAsia"/>
        </w:rPr>
        <w:t>事前選択をする識別システムの場合、上記のモデルの性能は事前選択アルゴリズムのための性能指標を用いて拡張される</w:t>
      </w:r>
    </w:p>
    <w:p w14:paraId="096D5EC3" w14:textId="4C1A6077" w:rsidR="008E582B" w:rsidRDefault="006F60AC">
      <w:r>
        <w:rPr>
          <w:rFonts w:hint="eastAsia"/>
        </w:rPr>
        <w:t>N</w:t>
      </w:r>
      <w:r>
        <w:t xml:space="preserve">OTE2 </w:t>
      </w:r>
      <w:r>
        <w:rPr>
          <w:rFonts w:hint="eastAsia"/>
        </w:rPr>
        <w:t>ある場合においては、FPIR</w:t>
      </w:r>
      <w:r w:rsidR="008E582B">
        <w:rPr>
          <w:rFonts w:hint="eastAsia"/>
        </w:rPr>
        <w:t>は二項式に従ったスケールを持たない、なぜなら探索はN個の独立した1対1比較として実行されないからである。これは高速なツリーベース検索を使用した場合や、他の参照に依存してスコアを計算する場合に当てはまる。このような場合、Nが増加するとFPIRは一定であるが、FNIRは類似の不一致参照</w:t>
      </w:r>
      <w:r w:rsidR="00E453FF">
        <w:rPr>
          <w:rFonts w:hint="eastAsia"/>
        </w:rPr>
        <w:t>が正しい一致を置き換えることにより増加すると予想される</w:t>
      </w:r>
    </w:p>
    <w:p w14:paraId="2AF38BD9" w14:textId="564A4AB5" w:rsidR="00E453FF" w:rsidRDefault="00E453FF">
      <w:r>
        <w:rPr>
          <w:rFonts w:hint="eastAsia"/>
        </w:rPr>
        <w:t>9</w:t>
      </w:r>
      <w:r>
        <w:t xml:space="preserve">.6.8 </w:t>
      </w:r>
      <w:r>
        <w:rPr>
          <w:rFonts w:hint="eastAsia"/>
        </w:rPr>
        <w:t>大きな人工における識別エラー率の予測</w:t>
      </w:r>
    </w:p>
    <w:p w14:paraId="3F0A50C8" w14:textId="6F57850D" w:rsidR="00E453FF" w:rsidRDefault="00E453FF">
      <w:r>
        <w:rPr>
          <w:rFonts w:hint="eastAsia"/>
        </w:rPr>
        <w:t>大規模な識別システムの性能の推定は(テスト数を大幅に超えるとき)、一次推定と小さいデータベースでの識別性能の両方を使用して外挿する必要があるかもしれない(比較検討?)</w:t>
      </w:r>
    </w:p>
    <w:p w14:paraId="673B26E7" w14:textId="77777777" w:rsidR="008E582B" w:rsidRPr="006F60AC" w:rsidRDefault="008E582B"/>
    <w:p w14:paraId="1762D246" w14:textId="54E1075A"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r>
        <w:rPr>
          <w:rFonts w:hint="eastAsia"/>
        </w:rPr>
        <w:t>掌紋、手のひら、掌紋認証に関するメリットデメリットに関する詳細が多い</w:t>
      </w:r>
    </w:p>
    <w:p w14:paraId="172CEC9F" w14:textId="677F2224" w:rsidR="00A14524" w:rsidRDefault="008770C2">
      <w:r>
        <w:rPr>
          <w:rFonts w:hint="eastAsia"/>
        </w:rPr>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lastRenderedPageBreak/>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データベースは香港理工大学が公開している接触型掌紋画像データベースP</w:t>
      </w:r>
      <w:r>
        <w:t>olyU 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b/>
          <w:bCs/>
        </w:rPr>
      </w:pPr>
      <w:r w:rsidRPr="005033AF">
        <w:rPr>
          <w:rFonts w:hint="eastAsia"/>
          <w:b/>
          <w:bCs/>
        </w:rPr>
        <w:t>PolyUは掌紋認証アルゴリズムの性能評価によく用いられているデータベースである</w:t>
      </w:r>
    </w:p>
    <w:p w14:paraId="6A79BAFA" w14:textId="77777777" w:rsidR="005033AF" w:rsidRPr="005033AF" w:rsidRDefault="005033AF"/>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w:t>
      </w:r>
      <w:r>
        <w:rPr>
          <w:rFonts w:ascii="Courier New" w:hAnsi="Courier New" w:cs="Courier New"/>
          <w:color w:val="000000"/>
          <w:sz w:val="21"/>
          <w:szCs w:val="21"/>
        </w:rPr>
        <w:lastRenderedPageBreak/>
        <w:t>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5"/>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6"/>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lastRenderedPageBreak/>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w:t>
      </w:r>
      <w:r>
        <w:rPr>
          <w:rFonts w:ascii="Courier New" w:hAnsi="Courier New" w:cs="Courier New"/>
          <w:color w:val="000000"/>
          <w:sz w:val="21"/>
          <w:szCs w:val="21"/>
        </w:rPr>
        <w:lastRenderedPageBreak/>
        <w:t>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lastRenderedPageBreak/>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7"/>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8"/>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w:t>
      </w:r>
      <w:r>
        <w:rPr>
          <w:rStyle w:val="ansi-red-fg"/>
          <w:rFonts w:ascii="Courier New" w:hAnsi="Courier New" w:cs="Courier New"/>
          <w:color w:val="E75C58"/>
          <w:sz w:val="21"/>
          <w:szCs w:val="21"/>
        </w:rPr>
        <w:lastRenderedPageBreak/>
        <w:t>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9"/>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20"/>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21"/>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22"/>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23"/>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4"/>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5"/>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6"/>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7"/>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8"/>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9"/>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30"/>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31"/>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32"/>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33"/>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4"/>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5"/>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6"/>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7"/>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8"/>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9"/>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40"/>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41"/>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42"/>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43"/>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4"/>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5"/>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6"/>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7"/>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5D7CA760" w:rsidR="00F84F59" w:rsidRDefault="00966D6C">
      <w:pPr>
        <w:rPr>
          <w:b/>
          <w:bCs/>
        </w:rPr>
      </w:pPr>
      <w:r w:rsidRPr="00966D6C">
        <w:rPr>
          <w:rFonts w:hint="eastAsia"/>
          <w:b/>
          <w:bCs/>
        </w:rPr>
        <w:t>320pxでの研究</w:t>
      </w:r>
    </w:p>
    <w:p w14:paraId="122DF67A" w14:textId="68B80B96" w:rsidR="00966D6C" w:rsidRDefault="00966D6C">
      <w:pPr>
        <w:rPr>
          <w:b/>
          <w:bCs/>
        </w:rPr>
      </w:pPr>
      <w:r>
        <w:rPr>
          <w:rFonts w:hint="eastAsia"/>
          <w:b/>
          <w:bCs/>
        </w:rPr>
        <w:t>RGB　320ピクセル　バッチサイズ32</w:t>
      </w:r>
    </w:p>
    <w:p w14:paraId="40112DC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28min 3s</w:t>
      </w:r>
    </w:p>
    <w:p w14:paraId="1C6790C5"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閾値以上で識別したテスト数</w:t>
      </w:r>
      <w:r w:rsidRPr="00966D6C">
        <w:rPr>
          <w:rFonts w:ascii="Courier New" w:eastAsia="ＭＳ ゴシック" w:hAnsi="Courier New" w:cs="Courier New"/>
          <w:color w:val="E75C58"/>
          <w:kern w:val="0"/>
          <w:sz w:val="24"/>
          <w:szCs w:val="24"/>
        </w:rPr>
        <w:t>70</w:t>
      </w:r>
    </w:p>
    <w:p w14:paraId="4C29A49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閾値未満で識別したテスト数</w:t>
      </w:r>
      <w:r w:rsidRPr="00966D6C">
        <w:rPr>
          <w:rFonts w:ascii="Courier New" w:eastAsia="ＭＳ ゴシック" w:hAnsi="Courier New" w:cs="Courier New"/>
          <w:color w:val="E75C58"/>
          <w:kern w:val="0"/>
          <w:sz w:val="24"/>
          <w:szCs w:val="24"/>
        </w:rPr>
        <w:t>70</w:t>
      </w:r>
    </w:p>
    <w:p w14:paraId="749D0D13"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表の手だけで閾値未満で識別したテスト数</w:t>
      </w:r>
      <w:r w:rsidRPr="00966D6C">
        <w:rPr>
          <w:rFonts w:ascii="Courier New" w:eastAsia="ＭＳ ゴシック" w:hAnsi="Courier New" w:cs="Courier New"/>
          <w:color w:val="E75C58"/>
          <w:kern w:val="0"/>
          <w:sz w:val="24"/>
          <w:szCs w:val="24"/>
        </w:rPr>
        <w:t>33</w:t>
      </w:r>
    </w:p>
    <w:p w14:paraId="480B7D4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裏の手だけで閾値未満で識別したテスト数</w:t>
      </w:r>
      <w:r w:rsidRPr="00966D6C">
        <w:rPr>
          <w:rFonts w:ascii="Courier New" w:eastAsia="ＭＳ ゴシック" w:hAnsi="Courier New" w:cs="Courier New"/>
          <w:color w:val="E75C58"/>
          <w:kern w:val="0"/>
          <w:sz w:val="24"/>
          <w:szCs w:val="24"/>
        </w:rPr>
        <w:t>37</w:t>
      </w:r>
    </w:p>
    <w:p w14:paraId="7BD1CB81"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w:t>
      </w:r>
    </w:p>
    <w:p w14:paraId="3A79155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未学習の手を閾値未満で識別した割合</w:t>
      </w:r>
      <w:r w:rsidRPr="00966D6C">
        <w:rPr>
          <w:rFonts w:ascii="Courier New" w:eastAsia="ＭＳ ゴシック" w:hAnsi="Courier New" w:cs="Courier New"/>
          <w:color w:val="E75C58"/>
          <w:kern w:val="0"/>
          <w:sz w:val="24"/>
          <w:szCs w:val="24"/>
        </w:rPr>
        <w:t>50%</w:t>
      </w:r>
    </w:p>
    <w:p w14:paraId="52347FA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未学習の手を閾値以上で識別した割合</w:t>
      </w:r>
      <w:r w:rsidRPr="00966D6C">
        <w:rPr>
          <w:rFonts w:ascii="Courier New" w:eastAsia="ＭＳ ゴシック" w:hAnsi="Courier New" w:cs="Courier New"/>
          <w:color w:val="E75C58"/>
          <w:kern w:val="0"/>
          <w:sz w:val="24"/>
          <w:szCs w:val="24"/>
        </w:rPr>
        <w:t>50%</w:t>
      </w:r>
    </w:p>
    <w:p w14:paraId="4311E35D"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表の手だけで未学習の手を閾値未満で識別した割合</w:t>
      </w:r>
      <w:r w:rsidRPr="00966D6C">
        <w:rPr>
          <w:rFonts w:ascii="Courier New" w:eastAsia="ＭＳ ゴシック" w:hAnsi="Courier New" w:cs="Courier New"/>
          <w:color w:val="E75C58"/>
          <w:kern w:val="0"/>
          <w:sz w:val="24"/>
          <w:szCs w:val="24"/>
        </w:rPr>
        <w:t>47%</w:t>
      </w:r>
    </w:p>
    <w:p w14:paraId="204C3B62"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表の手だけで未学習の手を閾値以上で識別した割合</w:t>
      </w:r>
      <w:r w:rsidRPr="00966D6C">
        <w:rPr>
          <w:rFonts w:ascii="Courier New" w:eastAsia="ＭＳ ゴシック" w:hAnsi="Courier New" w:cs="Courier New"/>
          <w:color w:val="E75C58"/>
          <w:kern w:val="0"/>
          <w:sz w:val="24"/>
          <w:szCs w:val="24"/>
        </w:rPr>
        <w:t>53%</w:t>
      </w:r>
    </w:p>
    <w:p w14:paraId="278ED4DA"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裏の手だけで未学習の手を閾値未満で識別した割合</w:t>
      </w:r>
      <w:r w:rsidRPr="00966D6C">
        <w:rPr>
          <w:rFonts w:ascii="Courier New" w:eastAsia="ＭＳ ゴシック" w:hAnsi="Courier New" w:cs="Courier New"/>
          <w:color w:val="E75C58"/>
          <w:kern w:val="0"/>
          <w:sz w:val="24"/>
          <w:szCs w:val="24"/>
        </w:rPr>
        <w:t>53%</w:t>
      </w:r>
    </w:p>
    <w:p w14:paraId="2D88762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裏の手だけで未学習の手を閾値以上で識別した割合</w:t>
      </w:r>
      <w:r w:rsidRPr="00966D6C">
        <w:rPr>
          <w:rFonts w:ascii="Courier New" w:eastAsia="ＭＳ ゴシック" w:hAnsi="Courier New" w:cs="Courier New"/>
          <w:color w:val="E75C58"/>
          <w:kern w:val="0"/>
          <w:sz w:val="24"/>
          <w:szCs w:val="24"/>
        </w:rPr>
        <w:t>47%</w:t>
      </w:r>
    </w:p>
    <w:p w14:paraId="67299088"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閾値以上の最大値は</w:t>
      </w:r>
      <w:r w:rsidRPr="00966D6C">
        <w:rPr>
          <w:rFonts w:ascii="Courier New" w:eastAsia="ＭＳ ゴシック" w:hAnsi="Courier New" w:cs="Courier New"/>
          <w:color w:val="E75C58"/>
          <w:kern w:val="0"/>
          <w:sz w:val="24"/>
          <w:szCs w:val="24"/>
        </w:rPr>
        <w:t>99.99998807907104</w:t>
      </w:r>
    </w:p>
    <w:p w14:paraId="409A8D7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閾値以上の最小値は</w:t>
      </w:r>
      <w:r w:rsidRPr="00966D6C">
        <w:rPr>
          <w:rFonts w:ascii="Courier New" w:eastAsia="ＭＳ ゴシック" w:hAnsi="Courier New" w:cs="Courier New"/>
          <w:color w:val="E75C58"/>
          <w:kern w:val="0"/>
          <w:sz w:val="24"/>
          <w:szCs w:val="24"/>
        </w:rPr>
        <w:t>99.92676377296448</w:t>
      </w:r>
    </w:p>
    <w:p w14:paraId="52C7FFA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5DA7275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709D42F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5C1F026D"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CAD03D0"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7811D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0D511F5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7C2B922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E931506"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100%</w:t>
      </w:r>
    </w:p>
    <w:p w14:paraId="5B9A50D5"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A1BEA6C"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BFD126B"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77A17B0A" w14:textId="2AA4FED8" w:rsidR="00966D6C" w:rsidRP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3DC0A031" w14:textId="16D17060" w:rsidR="00966D6C" w:rsidRDefault="00966D6C">
      <w:pPr>
        <w:rPr>
          <w:b/>
          <w:bCs/>
        </w:rPr>
      </w:pPr>
      <w:r w:rsidRPr="00966D6C">
        <w:rPr>
          <w:b/>
          <w:bCs/>
          <w:noProof/>
        </w:rPr>
        <w:drawing>
          <wp:inline distT="0" distB="0" distL="0" distR="0" wp14:anchorId="5865E77D" wp14:editId="46133DB6">
            <wp:extent cx="2748980" cy="3433275"/>
            <wp:effectExtent l="0" t="0" r="0" b="0"/>
            <wp:docPr id="34" name="図 3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テーブル&#10;&#10;自動的に生成された説明"/>
                    <pic:cNvPicPr/>
                  </pic:nvPicPr>
                  <pic:blipFill>
                    <a:blip r:embed="rId48"/>
                    <a:stretch>
                      <a:fillRect/>
                    </a:stretch>
                  </pic:blipFill>
                  <pic:spPr>
                    <a:xfrm>
                      <a:off x="0" y="0"/>
                      <a:ext cx="2801684" cy="3499099"/>
                    </a:xfrm>
                    <a:prstGeom prst="rect">
                      <a:avLst/>
                    </a:prstGeom>
                  </pic:spPr>
                </pic:pic>
              </a:graphicData>
            </a:graphic>
          </wp:inline>
        </w:drawing>
      </w:r>
      <w:r w:rsidRPr="00966D6C">
        <w:rPr>
          <w:b/>
          <w:bCs/>
          <w:noProof/>
        </w:rPr>
        <w:drawing>
          <wp:inline distT="0" distB="0" distL="0" distR="0" wp14:anchorId="054B7C43" wp14:editId="0A57E34F">
            <wp:extent cx="2607895" cy="4020213"/>
            <wp:effectExtent l="0" t="0" r="2540" b="0"/>
            <wp:docPr id="35" name="図 3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10;&#10;自動的に生成された説明"/>
                    <pic:cNvPicPr/>
                  </pic:nvPicPr>
                  <pic:blipFill>
                    <a:blip r:embed="rId49"/>
                    <a:stretch>
                      <a:fillRect/>
                    </a:stretch>
                  </pic:blipFill>
                  <pic:spPr>
                    <a:xfrm>
                      <a:off x="0" y="0"/>
                      <a:ext cx="2612099" cy="4026694"/>
                    </a:xfrm>
                    <a:prstGeom prst="rect">
                      <a:avLst/>
                    </a:prstGeom>
                  </pic:spPr>
                </pic:pic>
              </a:graphicData>
            </a:graphic>
          </wp:inline>
        </w:drawing>
      </w:r>
    </w:p>
    <w:p w14:paraId="13591C3E" w14:textId="24C8A277" w:rsidR="00966D6C" w:rsidRDefault="00966D6C" w:rsidP="00966D6C">
      <w:pPr>
        <w:rPr>
          <w:b/>
          <w:bCs/>
        </w:rPr>
      </w:pPr>
      <w:r>
        <w:rPr>
          <w:rFonts w:hint="eastAsia"/>
          <w:b/>
          <w:bCs/>
        </w:rPr>
        <w:t>RGB　320ピクセル　バッチサイズ</w:t>
      </w:r>
      <w:r w:rsidR="00A8223D">
        <w:rPr>
          <w:rFonts w:hint="eastAsia"/>
          <w:b/>
          <w:bCs/>
        </w:rPr>
        <w:t>64</w:t>
      </w:r>
    </w:p>
    <w:p w14:paraId="5723C5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7min 57s</w:t>
      </w:r>
    </w:p>
    <w:p w14:paraId="2D3F214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84</w:t>
      </w:r>
    </w:p>
    <w:p w14:paraId="69ED03D3"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56</w:t>
      </w:r>
    </w:p>
    <w:p w14:paraId="44B89DB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7987CDD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34</w:t>
      </w:r>
    </w:p>
    <w:p w14:paraId="69F1D40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FFFA9"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40%</w:t>
      </w:r>
    </w:p>
    <w:p w14:paraId="66DFDE8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60%</w:t>
      </w:r>
    </w:p>
    <w:p w14:paraId="356966E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31%</w:t>
      </w:r>
    </w:p>
    <w:p w14:paraId="279E18D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69%</w:t>
      </w:r>
    </w:p>
    <w:p w14:paraId="772BD74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67EEC3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4DD166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755301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99.90705847740173</w:t>
      </w:r>
    </w:p>
    <w:p w14:paraId="5F1E83C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30B2F09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BC4B5A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478ED75"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E3A60A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09B5EA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538C1BE4"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4116DC2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507EA2E"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100%</w:t>
      </w:r>
    </w:p>
    <w:p w14:paraId="3BAFBAC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F9D5CD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2FFFB0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400D6554" w14:textId="23087567" w:rsidR="00A8223D" w:rsidRP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7BD0C66C" w14:textId="7FC55644" w:rsidR="00966D6C" w:rsidRDefault="00A8223D">
      <w:pPr>
        <w:rPr>
          <w:b/>
          <w:bCs/>
        </w:rPr>
      </w:pPr>
      <w:r w:rsidRPr="00A8223D">
        <w:rPr>
          <w:b/>
          <w:bCs/>
          <w:noProof/>
        </w:rPr>
        <w:drawing>
          <wp:inline distT="0" distB="0" distL="0" distR="0" wp14:anchorId="5E11CA79" wp14:editId="76E36D2F">
            <wp:extent cx="2896962" cy="3668232"/>
            <wp:effectExtent l="0" t="0" r="0" b="8890"/>
            <wp:docPr id="36" name="図 3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テーブル&#10;&#10;自動的に生成された説明"/>
                    <pic:cNvPicPr/>
                  </pic:nvPicPr>
                  <pic:blipFill>
                    <a:blip r:embed="rId50"/>
                    <a:stretch>
                      <a:fillRect/>
                    </a:stretch>
                  </pic:blipFill>
                  <pic:spPr>
                    <a:xfrm>
                      <a:off x="0" y="0"/>
                      <a:ext cx="2905860" cy="3679499"/>
                    </a:xfrm>
                    <a:prstGeom prst="rect">
                      <a:avLst/>
                    </a:prstGeom>
                  </pic:spPr>
                </pic:pic>
              </a:graphicData>
            </a:graphic>
          </wp:inline>
        </w:drawing>
      </w:r>
      <w:r w:rsidRPr="00A8223D">
        <w:rPr>
          <w:b/>
          <w:bCs/>
          <w:noProof/>
        </w:rPr>
        <w:drawing>
          <wp:inline distT="0" distB="0" distL="0" distR="0" wp14:anchorId="643C47A8" wp14:editId="153EC999">
            <wp:extent cx="2219789" cy="3373844"/>
            <wp:effectExtent l="0" t="0" r="9525" b="0"/>
            <wp:docPr id="37" name="図 3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10;&#10;自動的に生成された説明"/>
                    <pic:cNvPicPr/>
                  </pic:nvPicPr>
                  <pic:blipFill>
                    <a:blip r:embed="rId51"/>
                    <a:stretch>
                      <a:fillRect/>
                    </a:stretch>
                  </pic:blipFill>
                  <pic:spPr>
                    <a:xfrm>
                      <a:off x="0" y="0"/>
                      <a:ext cx="2225080" cy="3381886"/>
                    </a:xfrm>
                    <a:prstGeom prst="rect">
                      <a:avLst/>
                    </a:prstGeom>
                  </pic:spPr>
                </pic:pic>
              </a:graphicData>
            </a:graphic>
          </wp:inline>
        </w:drawing>
      </w:r>
    </w:p>
    <w:p w14:paraId="11B73A2F" w14:textId="0D403025" w:rsidR="008E721C" w:rsidRDefault="008E721C" w:rsidP="008E721C">
      <w:pPr>
        <w:rPr>
          <w:b/>
          <w:bCs/>
        </w:rPr>
      </w:pPr>
      <w:r>
        <w:rPr>
          <w:rFonts w:hint="eastAsia"/>
          <w:b/>
          <w:bCs/>
        </w:rPr>
        <w:t>RGB　320ピクセル　バッチサイズ128</w:t>
      </w:r>
    </w:p>
    <w:p w14:paraId="1BCDBA5D"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4min 49s</w:t>
      </w:r>
    </w:p>
    <w:p w14:paraId="1C1C535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5B50AA5"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D66029C"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62</w:t>
      </w:r>
    </w:p>
    <w:p w14:paraId="1D7EC3A9"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24EB9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6E8E0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E4B15F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01961E1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770C1F4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2718F45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624AE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E05A9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99.99809265136719</w:t>
      </w:r>
    </w:p>
    <w:p w14:paraId="75FFD7B9"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99.91501569747925</w:t>
      </w:r>
    </w:p>
    <w:p w14:paraId="0A637AEF"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139</w:t>
      </w:r>
    </w:p>
    <w:p w14:paraId="256FD57A"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21</w:t>
      </w:r>
    </w:p>
    <w:p w14:paraId="4E5D7B1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73471B88"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w:t>
      </w:r>
    </w:p>
    <w:p w14:paraId="09F820E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F11FD95"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13%</w:t>
      </w:r>
    </w:p>
    <w:p w14:paraId="4039E63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87%</w:t>
      </w:r>
    </w:p>
    <w:p w14:paraId="0840ADF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345E66C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24997A72"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w:t>
      </w:r>
    </w:p>
    <w:p w14:paraId="2EFB29F4"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95%</w:t>
      </w:r>
    </w:p>
    <w:p w14:paraId="7485348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283BDD3" w14:textId="5EEDDAF5" w:rsidR="00AD4FD0" w:rsidRP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99.90878105163574</w:t>
      </w:r>
    </w:p>
    <w:p w14:paraId="508B793F" w14:textId="3659D9DF" w:rsidR="008E721C" w:rsidRPr="008E721C" w:rsidRDefault="00AD4FD0">
      <w:pPr>
        <w:rPr>
          <w:b/>
          <w:bCs/>
        </w:rPr>
      </w:pPr>
      <w:r w:rsidRPr="00AD4FD0">
        <w:rPr>
          <w:b/>
          <w:bCs/>
          <w:noProof/>
        </w:rPr>
        <w:lastRenderedPageBreak/>
        <w:drawing>
          <wp:inline distT="0" distB="0" distL="0" distR="0" wp14:anchorId="1DCBCBDC" wp14:editId="3BC4F037">
            <wp:extent cx="2743309" cy="3476846"/>
            <wp:effectExtent l="0" t="0" r="0" b="9525"/>
            <wp:docPr id="38" name="図 3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テーブル&#10;&#10;自動的に生成された説明"/>
                    <pic:cNvPicPr/>
                  </pic:nvPicPr>
                  <pic:blipFill>
                    <a:blip r:embed="rId52"/>
                    <a:stretch>
                      <a:fillRect/>
                    </a:stretch>
                  </pic:blipFill>
                  <pic:spPr>
                    <a:xfrm>
                      <a:off x="0" y="0"/>
                      <a:ext cx="2752095" cy="3487982"/>
                    </a:xfrm>
                    <a:prstGeom prst="rect">
                      <a:avLst/>
                    </a:prstGeom>
                  </pic:spPr>
                </pic:pic>
              </a:graphicData>
            </a:graphic>
          </wp:inline>
        </w:drawing>
      </w:r>
      <w:r w:rsidRPr="00AD4FD0">
        <w:rPr>
          <w:b/>
          <w:bCs/>
          <w:noProof/>
        </w:rPr>
        <w:drawing>
          <wp:inline distT="0" distB="0" distL="0" distR="0" wp14:anchorId="300814FB" wp14:editId="02E56FFE">
            <wp:extent cx="2550886" cy="3914996"/>
            <wp:effectExtent l="0" t="0" r="1905" b="9525"/>
            <wp:docPr id="39" name="図 3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descr="グラフ&#10;&#10;自動的に生成された説明"/>
                    <pic:cNvPicPr/>
                  </pic:nvPicPr>
                  <pic:blipFill>
                    <a:blip r:embed="rId53"/>
                    <a:stretch>
                      <a:fillRect/>
                    </a:stretch>
                  </pic:blipFill>
                  <pic:spPr>
                    <a:xfrm>
                      <a:off x="0" y="0"/>
                      <a:ext cx="2555400" cy="3921923"/>
                    </a:xfrm>
                    <a:prstGeom prst="rect">
                      <a:avLst/>
                    </a:prstGeom>
                  </pic:spPr>
                </pic:pic>
              </a:graphicData>
            </a:graphic>
          </wp:inline>
        </w:drawing>
      </w:r>
    </w:p>
    <w:sectPr w:rsidR="008E721C" w:rsidRPr="008E72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1ACFB" w14:textId="77777777" w:rsidR="00667FA8" w:rsidRDefault="00667FA8" w:rsidP="000A024C">
      <w:r>
        <w:separator/>
      </w:r>
    </w:p>
  </w:endnote>
  <w:endnote w:type="continuationSeparator" w:id="0">
    <w:p w14:paraId="62BC6140" w14:textId="77777777" w:rsidR="00667FA8" w:rsidRDefault="00667FA8" w:rsidP="000A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CD70" w14:textId="77777777" w:rsidR="00667FA8" w:rsidRDefault="00667FA8" w:rsidP="000A024C">
      <w:r>
        <w:separator/>
      </w:r>
    </w:p>
  </w:footnote>
  <w:footnote w:type="continuationSeparator" w:id="0">
    <w:p w14:paraId="61E0BA7E" w14:textId="77777777" w:rsidR="00667FA8" w:rsidRDefault="00667FA8" w:rsidP="000A0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17BC0"/>
    <w:rsid w:val="000A024C"/>
    <w:rsid w:val="000B0F37"/>
    <w:rsid w:val="0015295F"/>
    <w:rsid w:val="00153654"/>
    <w:rsid w:val="001644A1"/>
    <w:rsid w:val="00167E3E"/>
    <w:rsid w:val="001830F2"/>
    <w:rsid w:val="00184F77"/>
    <w:rsid w:val="001D76DB"/>
    <w:rsid w:val="001E38E6"/>
    <w:rsid w:val="002031FA"/>
    <w:rsid w:val="00207158"/>
    <w:rsid w:val="00241AAC"/>
    <w:rsid w:val="00252070"/>
    <w:rsid w:val="00293388"/>
    <w:rsid w:val="002C7D57"/>
    <w:rsid w:val="002D4929"/>
    <w:rsid w:val="002E7560"/>
    <w:rsid w:val="003069D5"/>
    <w:rsid w:val="00312D63"/>
    <w:rsid w:val="003139D1"/>
    <w:rsid w:val="003233EE"/>
    <w:rsid w:val="00333E9D"/>
    <w:rsid w:val="003562D1"/>
    <w:rsid w:val="00361D39"/>
    <w:rsid w:val="00362368"/>
    <w:rsid w:val="00376A68"/>
    <w:rsid w:val="00381F87"/>
    <w:rsid w:val="00416026"/>
    <w:rsid w:val="004305D6"/>
    <w:rsid w:val="004344A4"/>
    <w:rsid w:val="004417A5"/>
    <w:rsid w:val="00452757"/>
    <w:rsid w:val="00453284"/>
    <w:rsid w:val="004747EE"/>
    <w:rsid w:val="004A4261"/>
    <w:rsid w:val="004E726B"/>
    <w:rsid w:val="005033AF"/>
    <w:rsid w:val="005566EC"/>
    <w:rsid w:val="00566F18"/>
    <w:rsid w:val="0057724F"/>
    <w:rsid w:val="005A71C2"/>
    <w:rsid w:val="005D0517"/>
    <w:rsid w:val="005F1476"/>
    <w:rsid w:val="0062365E"/>
    <w:rsid w:val="00635F8D"/>
    <w:rsid w:val="00647E78"/>
    <w:rsid w:val="0066743A"/>
    <w:rsid w:val="00667FA8"/>
    <w:rsid w:val="00687C3E"/>
    <w:rsid w:val="00697BC8"/>
    <w:rsid w:val="006A198A"/>
    <w:rsid w:val="006F60AC"/>
    <w:rsid w:val="00711BB6"/>
    <w:rsid w:val="00721523"/>
    <w:rsid w:val="007558D3"/>
    <w:rsid w:val="00764A9D"/>
    <w:rsid w:val="00780958"/>
    <w:rsid w:val="00787594"/>
    <w:rsid w:val="00792499"/>
    <w:rsid w:val="007C64ED"/>
    <w:rsid w:val="007D686F"/>
    <w:rsid w:val="007E6F60"/>
    <w:rsid w:val="007F2357"/>
    <w:rsid w:val="0082490E"/>
    <w:rsid w:val="00825AA4"/>
    <w:rsid w:val="008770C2"/>
    <w:rsid w:val="008957DA"/>
    <w:rsid w:val="008D573A"/>
    <w:rsid w:val="008E582B"/>
    <w:rsid w:val="008E721C"/>
    <w:rsid w:val="008F2EED"/>
    <w:rsid w:val="009062FC"/>
    <w:rsid w:val="00907C68"/>
    <w:rsid w:val="00962EDD"/>
    <w:rsid w:val="00966D6C"/>
    <w:rsid w:val="00974BD6"/>
    <w:rsid w:val="0099016C"/>
    <w:rsid w:val="00991C09"/>
    <w:rsid w:val="009D52E6"/>
    <w:rsid w:val="00A12D57"/>
    <w:rsid w:val="00A14524"/>
    <w:rsid w:val="00A331DD"/>
    <w:rsid w:val="00A8197C"/>
    <w:rsid w:val="00A8223D"/>
    <w:rsid w:val="00AA6E4C"/>
    <w:rsid w:val="00AC66DC"/>
    <w:rsid w:val="00AC690C"/>
    <w:rsid w:val="00AD4FD0"/>
    <w:rsid w:val="00AE43E3"/>
    <w:rsid w:val="00B31BAA"/>
    <w:rsid w:val="00B568F9"/>
    <w:rsid w:val="00B63392"/>
    <w:rsid w:val="00B81DC1"/>
    <w:rsid w:val="00B9453E"/>
    <w:rsid w:val="00B97EEC"/>
    <w:rsid w:val="00BA02EA"/>
    <w:rsid w:val="00BF696A"/>
    <w:rsid w:val="00C0528B"/>
    <w:rsid w:val="00C1475F"/>
    <w:rsid w:val="00C24A08"/>
    <w:rsid w:val="00C25578"/>
    <w:rsid w:val="00C62DE5"/>
    <w:rsid w:val="00C645F5"/>
    <w:rsid w:val="00C72987"/>
    <w:rsid w:val="00C755E4"/>
    <w:rsid w:val="00CC65C6"/>
    <w:rsid w:val="00CD1E06"/>
    <w:rsid w:val="00CE6B24"/>
    <w:rsid w:val="00D57434"/>
    <w:rsid w:val="00D7317C"/>
    <w:rsid w:val="00D9324C"/>
    <w:rsid w:val="00D94AE2"/>
    <w:rsid w:val="00D95765"/>
    <w:rsid w:val="00DF6652"/>
    <w:rsid w:val="00E01E9B"/>
    <w:rsid w:val="00E05CE5"/>
    <w:rsid w:val="00E1096D"/>
    <w:rsid w:val="00E13D0A"/>
    <w:rsid w:val="00E26E93"/>
    <w:rsid w:val="00E453FF"/>
    <w:rsid w:val="00E4793E"/>
    <w:rsid w:val="00E5003D"/>
    <w:rsid w:val="00E53CD9"/>
    <w:rsid w:val="00E7775F"/>
    <w:rsid w:val="00E96773"/>
    <w:rsid w:val="00EA3039"/>
    <w:rsid w:val="00EC2C76"/>
    <w:rsid w:val="00EF0B5C"/>
    <w:rsid w:val="00F06B57"/>
    <w:rsid w:val="00F17B3A"/>
    <w:rsid w:val="00F23B15"/>
    <w:rsid w:val="00F84F59"/>
    <w:rsid w:val="00F853B5"/>
    <w:rsid w:val="00FA2BC0"/>
    <w:rsid w:val="00FA799F"/>
    <w:rsid w:val="00FA7E54"/>
    <w:rsid w:val="00FC1B45"/>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 w:type="paragraph" w:styleId="a6">
    <w:name w:val="header"/>
    <w:basedOn w:val="a"/>
    <w:link w:val="a7"/>
    <w:uiPriority w:val="99"/>
    <w:unhideWhenUsed/>
    <w:rsid w:val="000A024C"/>
    <w:pPr>
      <w:tabs>
        <w:tab w:val="center" w:pos="4252"/>
        <w:tab w:val="right" w:pos="8504"/>
      </w:tabs>
      <w:snapToGrid w:val="0"/>
    </w:pPr>
  </w:style>
  <w:style w:type="character" w:customStyle="1" w:styleId="a7">
    <w:name w:val="ヘッダー (文字)"/>
    <w:basedOn w:val="a0"/>
    <w:link w:val="a6"/>
    <w:uiPriority w:val="99"/>
    <w:rsid w:val="000A024C"/>
  </w:style>
  <w:style w:type="paragraph" w:styleId="a8">
    <w:name w:val="footer"/>
    <w:basedOn w:val="a"/>
    <w:link w:val="a9"/>
    <w:uiPriority w:val="99"/>
    <w:unhideWhenUsed/>
    <w:rsid w:val="000A024C"/>
    <w:pPr>
      <w:tabs>
        <w:tab w:val="center" w:pos="4252"/>
        <w:tab w:val="right" w:pos="8504"/>
      </w:tabs>
      <w:snapToGrid w:val="0"/>
    </w:pPr>
  </w:style>
  <w:style w:type="character" w:customStyle="1" w:styleId="a9">
    <w:name w:val="フッター (文字)"/>
    <w:basedOn w:val="a0"/>
    <w:link w:val="a8"/>
    <w:uiPriority w:val="99"/>
    <w:rsid w:val="000A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27284407">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62783845">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80441774">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8877958">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86927791">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19832703">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08761552">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45617430">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1727391">
      <w:bodyDiv w:val="1"/>
      <w:marLeft w:val="0"/>
      <w:marRight w:val="0"/>
      <w:marTop w:val="0"/>
      <w:marBottom w:val="0"/>
      <w:divBdr>
        <w:top w:val="none" w:sz="0" w:space="0" w:color="auto"/>
        <w:left w:val="none" w:sz="0" w:space="0" w:color="auto"/>
        <w:bottom w:val="none" w:sz="0" w:space="0" w:color="auto"/>
        <w:right w:val="none" w:sz="0" w:space="0" w:color="auto"/>
      </w:divBdr>
      <w:divsChild>
        <w:div w:id="392823389">
          <w:marLeft w:val="0"/>
          <w:marRight w:val="0"/>
          <w:marTop w:val="0"/>
          <w:marBottom w:val="0"/>
          <w:divBdr>
            <w:top w:val="single" w:sz="6" w:space="4" w:color="ABABAB"/>
            <w:left w:val="single" w:sz="6" w:space="4" w:color="ABABAB"/>
            <w:bottom w:val="single" w:sz="6" w:space="4" w:color="ABABAB"/>
            <w:right w:val="single" w:sz="6" w:space="4" w:color="ABABAB"/>
          </w:divBdr>
          <w:divsChild>
            <w:div w:id="132450952">
              <w:marLeft w:val="0"/>
              <w:marRight w:val="0"/>
              <w:marTop w:val="0"/>
              <w:marBottom w:val="0"/>
              <w:divBdr>
                <w:top w:val="none" w:sz="0" w:space="0" w:color="auto"/>
                <w:left w:val="none" w:sz="0" w:space="0" w:color="auto"/>
                <w:bottom w:val="none" w:sz="0" w:space="0" w:color="auto"/>
                <w:right w:val="none" w:sz="0" w:space="0" w:color="auto"/>
              </w:divBdr>
              <w:divsChild>
                <w:div w:id="327490449">
                  <w:marLeft w:val="0"/>
                  <w:marRight w:val="0"/>
                  <w:marTop w:val="0"/>
                  <w:marBottom w:val="0"/>
                  <w:divBdr>
                    <w:top w:val="none" w:sz="0" w:space="0" w:color="auto"/>
                    <w:left w:val="none" w:sz="0" w:space="0" w:color="auto"/>
                    <w:bottom w:val="none" w:sz="0" w:space="0" w:color="auto"/>
                    <w:right w:val="none" w:sz="0" w:space="0" w:color="auto"/>
                  </w:divBdr>
                  <w:divsChild>
                    <w:div w:id="1649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91">
          <w:marLeft w:val="0"/>
          <w:marRight w:val="0"/>
          <w:marTop w:val="0"/>
          <w:marBottom w:val="0"/>
          <w:divBdr>
            <w:top w:val="single" w:sz="6" w:space="4" w:color="auto"/>
            <w:left w:val="single" w:sz="6" w:space="4" w:color="auto"/>
            <w:bottom w:val="single" w:sz="6" w:space="4" w:color="auto"/>
            <w:right w:val="single" w:sz="6" w:space="4" w:color="auto"/>
          </w:divBdr>
          <w:divsChild>
            <w:div w:id="1876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4.comp.polyu.edu.hk/~csajaykr/palmprint3.ht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hyperlink" Target="https://www4.comp.polyu.edu.hk/~csajaykr/palmprint3.htm" TargetMode="External"/><Relationship Id="rId2" Type="http://schemas.openxmlformats.org/officeDocument/2006/relationships/settings" Target="setting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www.idiap.ch/software/bob/docs/bob/bob.db.livdet2013/stabl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endnotes" Target="endnotes.xml"/><Relationship Id="rId10" Type="http://schemas.openxmlformats.org/officeDocument/2006/relationships/hyperlink" Target="https://paperswithcode.com/paper/fingerprint-spoof-buster/review/"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hyperlink" Target="https://www.kaggle.com/datasets/shyambhu/hands-and-palm-images-dataset" TargetMode="External"/><Relationship Id="rId14" Type="http://schemas.openxmlformats.org/officeDocument/2006/relationships/hyperlink" Target="https://github.com/matkowski-voy/Palmprint-Recognition-in-the-Wil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arxiv.org/pdf/2003.13266.pdf" TargetMode="External"/><Relationship Id="rId51" Type="http://schemas.openxmlformats.org/officeDocument/2006/relationships/image" Target="media/image37.png"/><Relationship Id="rId3" Type="http://schemas.openxmlformats.org/officeDocument/2006/relationships/webSettings" Target="webSettings.xml"/><Relationship Id="rId12" Type="http://schemas.openxmlformats.org/officeDocument/2006/relationships/hyperlink" Target="https://paperswithcode.com/dataset/replay-attack"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shyambhu/hands-and-palm-images-dataset"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160</Pages>
  <Words>24558</Words>
  <Characters>139984</Characters>
  <Application>Microsoft Office Word</Application>
  <DocSecurity>0</DocSecurity>
  <Lines>1166</Lines>
  <Paragraphs>328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海</cp:lastModifiedBy>
  <cp:revision>52</cp:revision>
  <dcterms:created xsi:type="dcterms:W3CDTF">2022-11-07T10:16:00Z</dcterms:created>
  <dcterms:modified xsi:type="dcterms:W3CDTF">2022-12-23T04:01:00Z</dcterms:modified>
</cp:coreProperties>
</file>