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7558D3">
      <w:hyperlink r:id="rId4" w:history="1">
        <w:r>
          <w:rPr>
            <w:rStyle w:val="a3"/>
          </w:rPr>
          <w:t>2003.13266.pdf (arxiv.org)</w:t>
        </w:r>
      </w:hyperlink>
    </w:p>
    <w:p w14:paraId="1D166839" w14:textId="258E9285" w:rsidR="007558D3" w:rsidRPr="00D7317C" w:rsidRDefault="007558D3">
      <w:pPr>
        <w:rPr>
          <w:rFonts w:hint="eastAsia"/>
          <w:b/>
          <w:bCs/>
        </w:rPr>
      </w:pPr>
      <w:hyperlink r:id="rId5" w:history="1">
        <w:r>
          <w:rPr>
            <w:rStyle w:val="a3"/>
          </w:rPr>
          <w:t>Hands and palm images dataset | Kaggle</w:t>
        </w:r>
      </w:hyperlink>
    </w:p>
    <w:p w14:paraId="3DBDA0EE" w14:textId="671E2EAF" w:rsidR="00D7317C" w:rsidRPr="005566EC" w:rsidRDefault="00D7317C">
      <w:pPr>
        <w:rPr>
          <w:b/>
          <w:bCs/>
        </w:rPr>
      </w:pPr>
      <w:r w:rsidRPr="005566EC">
        <w:rPr>
          <w:rFonts w:hint="eastAsia"/>
          <w:b/>
          <w:bCs/>
        </w:rPr>
        <w:lastRenderedPageBreak/>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6170F428" w:rsidR="005566EC" w:rsidRDefault="005566EC">
      <w:pPr>
        <w:rPr>
          <w:b/>
          <w:bCs/>
        </w:rPr>
      </w:pPr>
      <w:r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6BC50752" w:rsidR="00E5003D" w:rsidRDefault="00E5003D">
      <w:pPr>
        <w:rPr>
          <w:b/>
          <w:bCs/>
        </w:rPr>
      </w:pPr>
      <w:r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501F7792" w:rsidR="001644A1" w:rsidRDefault="00825AA4">
      <w:pPr>
        <w:rPr>
          <w:b/>
          <w:bCs/>
        </w:rPr>
      </w:pPr>
      <w:r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rsidR="00000000">
        <w:fldChar w:fldCharType="begin"/>
      </w:r>
      <w:r w:rsidR="00000000">
        <w:instrText>HYPERLINK "https://paperswithcode.com/paper/fingerprint-spoof-buster/review/"</w:instrText>
      </w:r>
      <w:r w:rsidR="00000000">
        <w:fldChar w:fldCharType="separate"/>
      </w:r>
      <w:r>
        <w:rPr>
          <w:rStyle w:val="a3"/>
        </w:rPr>
        <w:t>指紋スプーフィングバスター|の注釈付き結果を含む紙の表コード付き論文 (paperswithcode.com)</w:t>
      </w:r>
      <w:r w:rsidR="00000000">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2B630A09" w:rsidR="002031FA" w:rsidRDefault="002031FA">
      <w:pPr>
        <w:rPr>
          <w:b/>
          <w:bCs/>
        </w:rPr>
      </w:pPr>
      <w:r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7FEBECAC" w:rsidR="00B63392" w:rsidRPr="007558D3" w:rsidRDefault="007558D3">
      <w:pPr>
        <w:rPr>
          <w:b/>
          <w:bCs/>
        </w:rPr>
      </w:pPr>
      <w:r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7F52B4AF" w:rsidR="00FA7E54" w:rsidRDefault="00FA7E54">
      <w:r>
        <w:t>ROC</w:t>
      </w:r>
      <w:r>
        <w:rPr>
          <w:rFonts w:hint="eastAsia"/>
        </w:rPr>
        <w:t>曲線(横軸を他人受入率、縦軸を本人拒否率で評価する図)を用いて評価</w:t>
      </w:r>
    </w:p>
    <w:p w14:paraId="22EA934A" w14:textId="77777777" w:rsidR="00FA7E54" w:rsidRPr="0057724F" w:rsidRDefault="00FA7E54">
      <w:pPr>
        <w:rPr>
          <w:rFonts w:hint="eastAsia"/>
        </w:rPr>
      </w:pPr>
    </w:p>
    <w:p w14:paraId="79168CD9" w14:textId="72C5DBAE" w:rsidR="00F17B3A" w:rsidRPr="00FA799F"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w:t>
      </w:r>
      <w:r>
        <w:rPr>
          <w:rFonts w:ascii="Courier New" w:hAnsi="Courier New" w:cs="Courier New"/>
          <w:color w:val="000000"/>
          <w:sz w:val="21"/>
          <w:szCs w:val="21"/>
        </w:rPr>
        <w:lastRenderedPageBreak/>
        <w:t>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8"/>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9"/>
                    <a:stretch>
                      <a:fillRect/>
                    </a:stretch>
                  </pic:blipFill>
                  <pic:spPr>
                    <a:xfrm>
                      <a:off x="0" y="0"/>
                      <a:ext cx="2166371" cy="3342732"/>
                    </a:xfrm>
                    <a:prstGeom prst="rect">
                      <a:avLst/>
                    </a:prstGeom>
                  </pic:spPr>
                </pic:pic>
              </a:graphicData>
            </a:graphic>
          </wp:inline>
        </w:drawing>
      </w:r>
    </w:p>
    <w:p w14:paraId="05264ABE" w14:textId="3F2B1983" w:rsidR="00AE43E3" w:rsidRDefault="00AE43E3" w:rsidP="00AE43E3">
      <w:pPr>
        <w:rPr>
          <w:b/>
          <w:bCs/>
        </w:rPr>
      </w:pPr>
      <w:r>
        <w:rPr>
          <w:rFonts w:hint="eastAsia"/>
          <w:b/>
          <w:bCs/>
        </w:rPr>
        <w:t xml:space="preserve">グレイスケール　</w:t>
      </w:r>
      <w:r w:rsidRPr="00E26E93">
        <w:rPr>
          <w:rFonts w:hint="eastAsia"/>
          <w:b/>
          <w:bCs/>
        </w:rPr>
        <w:t>16</w:t>
      </w:r>
      <w:r w:rsidR="00A331DD">
        <w:rPr>
          <w:rFonts w:hint="eastAsia"/>
          <w:b/>
          <w:bCs/>
        </w:rPr>
        <w:t>ピクセル</w:t>
      </w:r>
      <w:r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w:t>
      </w:r>
      <w:r>
        <w:rPr>
          <w:rFonts w:ascii="Courier New" w:hAnsi="Courier New" w:cs="Courier New"/>
          <w:color w:val="000000"/>
          <w:sz w:val="21"/>
          <w:szCs w:val="21"/>
        </w:rPr>
        <w:lastRenderedPageBreak/>
        <w:t>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w:t>
      </w:r>
      <w:r>
        <w:rPr>
          <w:rFonts w:ascii="Courier New" w:hAnsi="Courier New" w:cs="Courier New"/>
          <w:color w:val="000000"/>
          <w:sz w:val="21"/>
          <w:szCs w:val="21"/>
        </w:rPr>
        <w:lastRenderedPageBreak/>
        <w:t>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10"/>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11"/>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w:t>
      </w:r>
      <w:r>
        <w:rPr>
          <w:rStyle w:val="ansi-red-fg"/>
          <w:rFonts w:ascii="Courier New" w:hAnsi="Courier New" w:cs="Courier New"/>
          <w:color w:val="E75C58"/>
          <w:sz w:val="21"/>
          <w:szCs w:val="21"/>
        </w:rPr>
        <w:lastRenderedPageBreak/>
        <w:t>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12"/>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13"/>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w:t>
      </w:r>
      <w:r>
        <w:rPr>
          <w:rStyle w:val="ansi-red-fg"/>
          <w:rFonts w:ascii="Courier New" w:hAnsi="Courier New" w:cs="Courier New"/>
          <w:color w:val="E75C58"/>
          <w:sz w:val="21"/>
          <w:szCs w:val="21"/>
        </w:rPr>
        <w:lastRenderedPageBreak/>
        <w:t>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w:t>
      </w:r>
      <w:r>
        <w:rPr>
          <w:rStyle w:val="ansi-red-fg"/>
          <w:rFonts w:ascii="Courier New" w:hAnsi="Courier New" w:cs="Courier New"/>
          <w:color w:val="E75C58"/>
          <w:sz w:val="21"/>
          <w:szCs w:val="21"/>
        </w:rPr>
        <w:lastRenderedPageBreak/>
        <w:t>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1BC5DC79" w:rsidR="006A198A" w:rsidRDefault="006A198A">
      <w:r w:rsidRPr="006A198A">
        <w:rPr>
          <w:noProof/>
        </w:rPr>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14"/>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15"/>
                    <a:stretch>
                      <a:fillRect/>
                    </a:stretch>
                  </pic:blipFill>
                  <pic:spPr>
                    <a:xfrm>
                      <a:off x="0" y="0"/>
                      <a:ext cx="2252907" cy="3445269"/>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t>512pxによる研究</w:t>
      </w:r>
    </w:p>
    <w:p w14:paraId="52586A4E" w14:textId="5C6BA490" w:rsidR="00C645F5" w:rsidRPr="00C645F5" w:rsidRDefault="00C645F5">
      <w:r>
        <w:rPr>
          <w:rFonts w:hint="eastAsia"/>
        </w:rPr>
        <w:lastRenderedPageBreak/>
        <w:t>利用できるメモリが十分でないエラーが発生</w:t>
      </w:r>
    </w:p>
    <w:p w14:paraId="1AD58F52" w14:textId="1B1BFDF5" w:rsidR="00A331DD" w:rsidRP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16"/>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644A1"/>
    <w:rsid w:val="002031FA"/>
    <w:rsid w:val="002C7D57"/>
    <w:rsid w:val="00361D39"/>
    <w:rsid w:val="00416026"/>
    <w:rsid w:val="004344A4"/>
    <w:rsid w:val="005566EC"/>
    <w:rsid w:val="0057724F"/>
    <w:rsid w:val="00697BC8"/>
    <w:rsid w:val="006A198A"/>
    <w:rsid w:val="007558D3"/>
    <w:rsid w:val="00792499"/>
    <w:rsid w:val="00825AA4"/>
    <w:rsid w:val="008957DA"/>
    <w:rsid w:val="00907C68"/>
    <w:rsid w:val="00962EDD"/>
    <w:rsid w:val="00991C09"/>
    <w:rsid w:val="00A331DD"/>
    <w:rsid w:val="00AE43E3"/>
    <w:rsid w:val="00B31BAA"/>
    <w:rsid w:val="00B63392"/>
    <w:rsid w:val="00BA02EA"/>
    <w:rsid w:val="00C62DE5"/>
    <w:rsid w:val="00C645F5"/>
    <w:rsid w:val="00C755E4"/>
    <w:rsid w:val="00CC65C6"/>
    <w:rsid w:val="00CE6B24"/>
    <w:rsid w:val="00D7317C"/>
    <w:rsid w:val="00E13D0A"/>
    <w:rsid w:val="00E26E93"/>
    <w:rsid w:val="00E5003D"/>
    <w:rsid w:val="00F17B3A"/>
    <w:rsid w:val="00FA799F"/>
    <w:rsid w:val="00FA7E54"/>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perswithcode.com/dataset/replay-attac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4.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hyperlink" Target="https://arxiv.org/pdf/2003.13266.pdf"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15</Pages>
  <Words>2860</Words>
  <Characters>16306</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15</cp:revision>
  <dcterms:created xsi:type="dcterms:W3CDTF">2022-11-07T10:16:00Z</dcterms:created>
  <dcterms:modified xsi:type="dcterms:W3CDTF">2022-12-11T20:05:00Z</dcterms:modified>
</cp:coreProperties>
</file>