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ps="http://schemas.microsoft.com/office/word/2010/wordprocessingShape" xmlns:w14="http://schemas.microsoft.com/office/word/2010/wordml" xmlns:a="http://schemas.openxmlformats.org/drawingml/2006/main" xmlns:wp="http://schemas.openxmlformats.org/drawingml/2006/wordprocessingDrawing" xmlns:w="http://schemas.openxmlformats.org/wordprocessingml/2006/main" xmlns:mc="http://schemas.openxmlformats.org/markup-compatibility/2006" mc:Ignorable="wps w14">
  <w:body>
    <w:p w14:paraId="7A8006A1">
      <w:pPr>
        <w:keepNext w:val="1"/>
        <w:keepLines w:val="1"/>
        <w:spacing w:before="100" w:beforeAutospacing="1" w:after="100" w:afterAutospacing="1"/>
        <w:outlineLvl w:val="0"/>
        <w:rPr>
          <w:kern w:val="44"/>
          <w:sz w:val="44"/>
          <w:szCs w:val="44"/>
        </w:rPr>
      </w:pPr>
      <w:r>
        <w:rPr>
          <w:rFonts w:hint="eastAsia"/>
          <w:b w:val="1"/>
          <w:sz w:val="44"/>
        </w:rPr>
        <w:t>医疗网络与安全服务平台 · 产品开发方案</w:t>
      </w:r>
    </w:p>
    <w:p w14:paraId="6C5925BD">
      <w:pPr>
        <w:numPr>
          <w:ilvl w:val="0"/>
          <w:numId w:val="1"/>
        </w:numPr>
      </w:pPr>
      <w:r>
        <w:rPr>
          <w:rFonts w:hint="eastAsia"/>
        </w:rPr>
        <w:t>版本：v1.0</w:t>
      </w:r>
    </w:p>
    <w:p w14:paraId="134BE142">
      <w:pPr>
        <w:numPr>
          <w:ilvl w:val="0"/>
          <w:numId w:val="1"/>
        </w:numPr>
      </w:pPr>
      <w:r>
        <w:rPr>
          <w:rFonts w:hint="eastAsia"/>
        </w:rPr>
        <w:t>日期：2026-09-23</w:t>
      </w:r>
    </w:p>
    <w:p w14:paraId="2C3DCBEC">
      <w:pPr>
        <w:numPr>
          <w:ilvl w:val="0"/>
          <w:numId w:val="1"/>
        </w:numPr>
      </w:pPr>
      <w:r>
        <w:rPr>
          <w:rFonts w:hint="eastAsia"/>
        </w:rPr>
        <w:t>状态：定案（经 10 轮决策拷问逐条确认）</w:t>
      </w:r>
    </w:p>
    <w:p w14:paraId="110009EE">
      <w:pPr>
        <w:numPr>
          <w:ilvl w:val="0"/>
          <w:numId w:val="1"/>
        </w:numPr>
      </w:pPr>
      <w:r>
        <w:rPr>
          <w:rFonts w:hint="eastAsia"/>
        </w:rPr>
        <w:t>代码库：</w:t>
      </w:r>
      <w:r>
        <w:rPr>
          <w:rFonts w:ascii="Consolas" w:hAnsi="Consolas" w:eastAsia="Consolas" w:cs="Consolas"/>
          <w:shd w:val="clear" w:fill="f5f5f5"/>
        </w:rPr>
        <w:t>medsec-platform/</w:t>
      </w:r>
      <w:r>
        <w:rPr>
          <w:rFonts w:hint="eastAsia"/>
        </w:rPr>
        <w:t>（本文件与代码同库管理）</w:t>
      </w:r>
    </w:p>
    <w:p w14:paraId="24D92E6B">
      <w:pPr>
        <w:numPr>
          <w:ilvl w:val="0"/>
          <w:numId w:val="1"/>
        </w:numPr>
      </w:pPr>
      <w:r>
        <w:rPr>
          <w:rFonts w:hint="eastAsia"/>
        </w:rPr>
        <w:t xml:space="preserve">架构决策记录：见 </w:t>
      </w:r>
      <w:r>
        <w:rPr>
          <w:rFonts w:ascii="Consolas" w:hAnsi="Consolas" w:eastAsia="Consolas" w:cs="Consolas"/>
          <w:shd w:val="clear" w:fill="f5f5f5"/>
        </w:rPr>
        <w:t>docs/adr-0001-mvp-architecture.md</w:t>
      </w:r>
    </w:p>
    <w:p w14:paraId="784926E6">
      <w:pPr>
        <w:keepNext w:val="1"/>
        <w:keepLines w:val="1"/>
        <w:spacing w:before="100" w:beforeAutospacing="1" w:after="100" w:afterAutospacing="1"/>
        <w:outlineLvl w:val="1"/>
        <w:rPr>
          <w:sz w:val="32"/>
          <w:szCs w:val="32"/>
        </w:rPr>
      </w:pPr>
      <w:r>
        <w:rPr>
          <w:rFonts w:hint="eastAsia"/>
          <w:b w:val="1"/>
          <w:sz w:val="32"/>
        </w:rPr>
        <w:t>一、产品定位</w:t>
      </w:r>
    </w:p>
    <w:p w14:paraId="79C9C91E">
      <w:r>
        <w:rPr>
          <w:rFonts w:hint="eastAsia"/>
          <w:b w:val="1"/>
        </w:rPr>
        <w:t>一句话</w:t>
      </w:r>
      <w:r>
        <w:rPr>
          <w:rFonts w:hint="eastAsia"/>
        </w:rPr>
        <w:t>：科研院所面向区县卫健委与中小医疗机构提供的公益性网络与数据安全 SaaS 服务平台——客户登录网站，进入对应功能模块，即可获得数据分类分级、攻防推演、合规判断三类服务。</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trPr>
          <w:tblHeader w:val="1"/>
        </w:trPr>
        <w:tc>
          <w:tcPr>
            <w:tcW w:w="4153" w:type="dxa"/>
          </w:tcPr>
          <w:p w14:paraId="72AD6510">
            <w:pPr>
              <w:rPr>
                <w:b w:val="1"/>
                <w:bCs w:val="1"/>
              </w:rPr>
            </w:pPr>
            <w:r>
              <w:rPr>
                <w:rFonts w:hint="eastAsia"/>
                <w:b w:val="1"/>
              </w:rPr>
              <w:t>维度</w:t>
            </w:r>
          </w:p>
        </w:tc>
        <w:tc>
          <w:tcPr>
            <w:tcW w:w="4153" w:type="dxa"/>
          </w:tcPr>
          <w:p w14:paraId="6B80151A">
            <w:pPr>
              <w:rPr>
                <w:b w:val="1"/>
                <w:bCs w:val="1"/>
              </w:rPr>
            </w:pPr>
            <w:r>
              <w:rPr>
                <w:rFonts w:hint="eastAsia"/>
                <w:b w:val="1"/>
              </w:rPr>
              <w:t>定案</w:t>
            </w:r>
          </w:p>
        </w:tc>
      </w:tr>
      <w:tr>
        <w:trPr/>
        <w:tc>
          <w:tcPr>
            <w:tcW w:w="4153" w:type="dxa"/>
          </w:tcPr>
          <w:p w14:paraId="3E006C87">
            <w:r>
              <w:rPr>
                <w:rFonts w:hint="eastAsia"/>
              </w:rPr>
              <w:t>产品形态</w:t>
            </w:r>
          </w:p>
        </w:tc>
        <w:tc>
          <w:tcPr>
            <w:tcW w:w="4153" w:type="dxa"/>
          </w:tcPr>
          <w:p w14:paraId="67FD68D0">
            <w:r>
              <w:rPr>
                <w:rFonts w:hint="eastAsia"/>
              </w:rPr>
              <w:t>整体解决方案（平台 + 运营服务），Web/SaaS 入口</w:t>
            </w:r>
          </w:p>
        </w:tc>
      </w:tr>
      <w:tr>
        <w:trPr/>
        <w:tc>
          <w:tcPr>
            <w:tcW w:w="4153" w:type="dxa"/>
          </w:tcPr>
          <w:p w14:paraId="3A64D945">
            <w:r>
              <w:rPr>
                <w:rFonts w:hint="eastAsia"/>
              </w:rPr>
              <w:t>服务模式</w:t>
            </w:r>
          </w:p>
        </w:tc>
        <w:tc>
          <w:tcPr>
            <w:tcW w:w="4153" w:type="dxa"/>
          </w:tcPr>
          <w:p w14:paraId="459DE218">
            <w:r>
              <w:rPr>
                <w:rFonts w:hint="eastAsia"/>
              </w:rPr>
              <w:t>科研院所公益免费 + 免责声明；先积累影响力，后考虑收费</w:t>
            </w:r>
          </w:p>
        </w:tc>
      </w:tr>
      <w:tr>
        <w:trPr/>
        <w:tc>
          <w:tcPr>
            <w:tcW w:w="4153" w:type="dxa"/>
          </w:tcPr>
          <w:p w14:paraId="18166393">
            <w:r>
              <w:rPr>
                <w:rFonts w:hint="eastAsia"/>
              </w:rPr>
              <w:t>目标客户</w:t>
            </w:r>
          </w:p>
        </w:tc>
        <w:tc>
          <w:tcPr>
            <w:tcW w:w="4153" w:type="dxa"/>
          </w:tcPr>
          <w:p w14:paraId="1CE5B9DB">
            <w:r>
              <w:rPr>
                <w:rFonts w:hint="eastAsia"/>
              </w:rPr>
              <w:t>区县卫健委、中小型医疗机构（三甲医院作为灯塔共建，不作首单目标）</w:t>
            </w:r>
          </w:p>
        </w:tc>
      </w:tr>
      <w:tr>
        <w:trPr/>
        <w:tc>
          <w:tcPr>
            <w:tcW w:w="4153" w:type="dxa"/>
          </w:tcPr>
          <w:p w14:paraId="0D127E5F">
            <w:r>
              <w:rPr>
                <w:rFonts w:hint="eastAsia"/>
              </w:rPr>
              <w:t>核心差异化</w:t>
            </w:r>
          </w:p>
        </w:tc>
        <w:tc>
          <w:tcPr>
            <w:tcW w:w="4153" w:type="dxa"/>
          </w:tcPr>
          <w:p w14:paraId="4D39DC6E">
            <w:r>
              <w:rPr>
                <w:rFonts w:hint="eastAsia"/>
              </w:rPr>
              <w:t>医疗专用沙盒（内置自动脱密）+ 纯仿真攻防推演（零接触客户真实网络）</w:t>
            </w:r>
          </w:p>
        </w:tc>
      </w:tr>
    </w:tbl>
    <w:p w14:paraId="05B705F3">
      <w:pPr>
        <w:keepNext w:val="1"/>
        <w:keepLines w:val="1"/>
        <w:spacing w:before="100" w:beforeAutospacing="1" w:after="100" w:afterAutospacing="1"/>
        <w:outlineLvl w:val="1"/>
        <w:rPr>
          <w:sz w:val="32"/>
          <w:szCs w:val="32"/>
        </w:rPr>
      </w:pPr>
      <w:r>
        <w:rPr>
          <w:rFonts w:hint="eastAsia"/>
          <w:b w:val="1"/>
          <w:sz w:val="32"/>
        </w:rPr>
        <w:t>二、功能体系（三大功能 + 一个沙盒）</w:t>
      </w:r>
    </w:p>
    <w:p w14:paraId="077D90FB">
      <w:pPr>
        <w:keepNext w:val="1"/>
        <w:keepLines w:val="1"/>
        <w:spacing w:before="100" w:beforeAutospacing="1" w:after="100" w:afterAutospacing="1"/>
        <w:outlineLvl w:val="2"/>
        <w:rPr>
          <w:sz w:val="32"/>
          <w:szCs w:val="32"/>
        </w:rPr>
      </w:pPr>
      <w:r>
        <w:rPr>
          <w:rFonts w:hint="eastAsia"/>
          <w:b w:val="1"/>
          <w:sz w:val="32"/>
        </w:rPr>
        <w:t>2.1 数据自动分类分级（首发）</w:t>
      </w:r>
    </w:p>
    <w:p w14:paraId="6AB22CFB">
      <w:pPr>
        <w:numPr>
          <w:ilvl w:val="0"/>
          <w:numId w:val="1"/>
        </w:numPr>
      </w:pPr>
      <w:r>
        <w:rPr>
          <w:rFonts w:hint="eastAsia"/>
        </w:rPr>
        <w:t>输入：客户上传的数据字典（schema 级：表名/字段名/注释）</w:t>
      </w:r>
    </w:p>
    <w:p w14:paraId="6A7C6859">
      <w:pPr>
        <w:numPr>
          <w:ilvl w:val="0"/>
          <w:numId w:val="1"/>
        </w:numPr>
      </w:pPr>
      <w:r>
        <w:rPr>
          <w:rFonts w:hint="eastAsia"/>
        </w:rPr>
        <w:t>引擎：关键词规则 → GB/T 39725《健康医疗数据安全指南》五级定级（L1 可公开 → L5 极敏感：基因/生物识别/精卵胚胎/传染病）</w:t>
      </w:r>
    </w:p>
    <w:p w14:paraId="561D9A13">
      <w:pPr>
        <w:numPr>
          <w:ilvl w:val="0"/>
          <w:numId w:val="1"/>
        </w:numPr>
      </w:pPr>
      <w:r>
        <w:rPr>
          <w:rFonts w:hint="eastAsia"/>
        </w:rPr>
        <w:t>输出：逐字段定级 + 命中规则溯源 + 敏感级别分布统计</w:t>
      </w:r>
    </w:p>
    <w:p w14:paraId="1DD773FA">
      <w:pPr>
        <w:numPr>
          <w:ilvl w:val="0"/>
          <w:numId w:val="1"/>
        </w:numPr>
      </w:pPr>
      <w:r>
        <w:rPr>
          <w:rFonts w:hint="eastAsia"/>
        </w:rPr>
        <w:t>状态：v1 已实现并实测通过</w:t>
      </w:r>
    </w:p>
    <w:p w14:paraId="6B49D5B7">
      <w:pPr>
        <w:keepNext w:val="1"/>
        <w:keepLines w:val="1"/>
        <w:spacing w:before="100" w:beforeAutospacing="1" w:after="100" w:afterAutospacing="1"/>
        <w:outlineLvl w:val="2"/>
        <w:rPr>
          <w:sz w:val="32"/>
          <w:szCs w:val="32"/>
        </w:rPr>
      </w:pPr>
      <w:r>
        <w:rPr>
          <w:rFonts w:hint="eastAsia"/>
          <w:b w:val="1"/>
          <w:sz w:val="32"/>
        </w:rPr>
        <w:t>2.2 攻防推演 + 整改报告（核心差异化，二期迁移）</w:t>
      </w:r>
    </w:p>
    <w:p w14:paraId="3B161F89">
      <w:pPr>
        <w:numPr>
          <w:ilvl w:val="0"/>
          <w:numId w:val="1"/>
        </w:numPr>
      </w:pPr>
      <w:r>
        <w:rPr>
          <w:rFonts w:hint="eastAsia"/>
        </w:rPr>
        <w:t>纯数字仿真：基于脱密拓扑图建数字孪生，跑攻击路径/脆弱性传导/蒙特卡洛推演，输出整改报告</w:t>
      </w:r>
    </w:p>
    <w:p w14:paraId="0936FDA4">
      <w:pPr>
        <w:numPr>
          <w:ilvl w:val="0"/>
          <w:numId w:val="1"/>
        </w:numPr>
      </w:pPr>
      <w:r>
        <w:rPr>
          <w:rFonts w:hint="eastAsia"/>
        </w:rPr>
        <w:t>边界锁死：不做真实扫描、不做渗透，永不触碰客户生产网络</w:t>
      </w:r>
    </w:p>
    <w:p w14:paraId="656D5730">
      <w:pPr>
        <w:numPr>
          <w:ilvl w:val="0"/>
          <w:numId w:val="1"/>
        </w:numPr>
      </w:pPr>
      <w:r>
        <w:rPr>
          <w:rFonts w:hint="eastAsia"/>
        </w:rPr>
        <w:t>复用资产：沙盘项目 engine/（攻击图、对抗画像 LockBit 3.0/APT41、蒙特卡洛 95% CI、六步工作流）、18 个推演场景、CVE 库 47 条 + 合规条文库</w:t>
      </w:r>
    </w:p>
    <w:p w14:paraId="563F7C70">
      <w:pPr>
        <w:numPr>
          <w:ilvl w:val="0"/>
          <w:numId w:val="1"/>
        </w:numPr>
      </w:pPr>
      <w:r>
        <w:rPr>
          <w:rFonts w:hint="eastAsia"/>
        </w:rPr>
        <w:t>先例：BAS 类厂商（如 Invicti）均走仿真验证路线；医疗领域纯仿真推演尚无头部玩家（假设性预判，需正式竞品调研确认）</w:t>
      </w:r>
    </w:p>
    <w:p w14:paraId="6EEC72DE">
      <w:pPr>
        <w:keepNext w:val="1"/>
        <w:keepLines w:val="1"/>
        <w:spacing w:before="100" w:beforeAutospacing="1" w:after="100" w:afterAutospacing="1"/>
        <w:outlineLvl w:val="2"/>
        <w:rPr>
          <w:sz w:val="32"/>
          <w:szCs w:val="32"/>
        </w:rPr>
      </w:pPr>
      <w:r>
        <w:rPr>
          <w:rFonts w:hint="eastAsia"/>
          <w:b w:val="1"/>
          <w:sz w:val="32"/>
        </w:rPr>
        <w:t>2.3 网络与数据行为合规判断（二期殿后）</w:t>
      </w:r>
    </w:p>
    <w:p w14:paraId="03B72473">
      <w:pPr>
        <w:numPr>
          <w:ilvl w:val="0"/>
          <w:numId w:val="1"/>
        </w:numPr>
      </w:pPr>
      <w:r>
        <w:rPr>
          <w:rFonts w:hint="eastAsia"/>
        </w:rPr>
        <w:t>三件套锚点：等保 2.0（三级基线）+《医疗卫生机构网络安全管理办法》（行业专项）+ GB/T 39725（分类分级）</w:t>
      </w:r>
    </w:p>
    <w:p w14:paraId="28FDC845">
      <w:pPr>
        <w:numPr>
          <w:ilvl w:val="0"/>
          <w:numId w:val="1"/>
        </w:numPr>
      </w:pPr>
      <w:r>
        <w:rPr>
          <w:rFonts w:hint="eastAsia"/>
        </w:rPr>
        <w:t>明确不碰：商用密码应用评估（密评）——报告仅引导咨询密评机构</w:t>
      </w:r>
    </w:p>
    <w:p w14:paraId="6A92036A">
      <w:pPr>
        <w:numPr>
          <w:ilvl w:val="0"/>
          <w:numId w:val="1"/>
        </w:numPr>
      </w:pPr>
      <w:r>
        <w:rPr>
          <w:rFonts w:hint="eastAsia"/>
        </w:rPr>
        <w:t>依赖：一期分类分级产出的数据资产清单</w:t>
      </w:r>
    </w:p>
    <w:p w14:paraId="2DCE8D7A">
      <w:pPr>
        <w:keepNext w:val="1"/>
        <w:keepLines w:val="1"/>
        <w:spacing w:before="100" w:beforeAutospacing="1" w:after="100" w:afterAutospacing="1"/>
        <w:outlineLvl w:val="2"/>
        <w:rPr>
          <w:sz w:val="32"/>
          <w:szCs w:val="32"/>
        </w:rPr>
      </w:pPr>
      <w:r>
        <w:rPr>
          <w:rFonts w:hint="eastAsia"/>
          <w:b w:val="1"/>
          <w:sz w:val="32"/>
        </w:rPr>
        <w:t>2.4 医疗专用沙盒 + 自动脱密引擎（守门员，已实现 v1）</w:t>
      </w:r>
    </w:p>
    <w:p w14:paraId="114F2D65">
      <w:pPr>
        <w:numPr>
          <w:ilvl w:val="0"/>
          <w:numId w:val="1"/>
        </w:numPr>
      </w:pPr>
      <w:r>
        <w:rPr>
          <w:rFonts w:hint="eastAsia"/>
        </w:rPr>
        <w:t>唯一数据入口，所有上传必经脱密</w:t>
      </w:r>
    </w:p>
    <w:p w14:paraId="3F00AC9C">
      <w:pPr>
        <w:numPr>
          <w:ilvl w:val="0"/>
          <w:numId w:val="1"/>
        </w:numPr>
      </w:pPr>
      <w:r>
        <w:rPr>
          <w:rFonts w:hint="eastAsia"/>
        </w:rPr>
        <w:t>阻断策略：同一文件检出 ≥3 处证件号/手机号 → 判定原始医疗数据，整体拒绝入库（实测通过）</w:t>
      </w:r>
    </w:p>
    <w:p w14:paraId="1FF5A342">
      <w:pPr>
        <w:numPr>
          <w:ilvl w:val="0"/>
          <w:numId w:val="1"/>
        </w:numPr>
      </w:pPr>
      <w:r>
        <w:rPr>
          <w:rFonts w:hint="eastAsia"/>
        </w:rPr>
        <w:t xml:space="preserve">脱密策略：IP 地址假名化（保留连通关系）、机构名租户盐哈希假名化、零星 PII → </w:t>
      </w:r>
      <w:r>
        <w:rPr>
          <w:rFonts w:ascii="Consolas" w:hAnsi="Consolas" w:eastAsia="Consolas" w:cs="Consolas"/>
          <w:shd w:val="clear" w:fill="f5f5f5"/>
        </w:rPr>
        <w:t>&lt;REDACTED&gt;</w:t>
      </w:r>
    </w:p>
    <w:p w14:paraId="66F21111">
      <w:pPr>
        <w:numPr>
          <w:ilvl w:val="0"/>
          <w:numId w:val="1"/>
        </w:numPr>
      </w:pPr>
      <w:r>
        <w:rPr>
          <w:rFonts w:hint="eastAsia"/>
        </w:rPr>
        <w:t>输出：脱密后文本 + 脱密报告（动作明细 + 重识别风险标记）</w:t>
      </w:r>
    </w:p>
    <w:p w14:paraId="6FD9CE9F">
      <w:pPr>
        <w:keepNext w:val="1"/>
        <w:keepLines w:val="1"/>
        <w:spacing w:before="100" w:beforeAutospacing="1" w:after="100" w:afterAutospacing="1"/>
        <w:outlineLvl w:val="1"/>
        <w:rPr>
          <w:sz w:val="32"/>
          <w:szCs w:val="32"/>
        </w:rPr>
      </w:pPr>
      <w:r>
        <w:rPr>
          <w:rFonts w:hint="eastAsia"/>
          <w:b w:val="1"/>
          <w:sz w:val="32"/>
        </w:rPr>
        <w:t>三、数据红线（最高约束）</w:t>
      </w:r>
    </w:p>
    <w:p w14:paraId="49FD705D">
      <w:pPr>
        <w:numPr>
          <w:ilvl w:val="0"/>
          <w:numId w:val="2"/>
        </w:numPr>
      </w:pPr>
      <w:r>
        <w:rPr>
          <w:rFonts w:hint="eastAsia"/>
        </w:rPr>
        <w:t>原始医疗数据不出院：平台只接收数据字典（schema 级）与脱密后拓扑图</w:t>
      </w:r>
    </w:p>
    <w:p w14:paraId="60D9F9C3">
      <w:pPr>
        <w:numPr>
          <w:ilvl w:val="0"/>
          <w:numId w:val="2"/>
        </w:numPr>
      </w:pPr>
      <w:r>
        <w:rPr>
          <w:rFonts w:hint="eastAsia"/>
        </w:rPr>
        <w:t>不碰密评</w:t>
      </w:r>
    </w:p>
    <w:p w14:paraId="12A4CD76">
      <w:pPr>
        <w:numPr>
          <w:ilvl w:val="0"/>
          <w:numId w:val="2"/>
        </w:numPr>
      </w:pPr>
      <w:r>
        <w:rPr>
          <w:rFonts w:hint="eastAsia"/>
        </w:rPr>
        <w:t>不做真实扫描/渗透</w:t>
      </w:r>
    </w:p>
    <w:p w14:paraId="42CE892D">
      <w:pPr>
        <w:numPr>
          <w:ilvl w:val="0"/>
          <w:numId w:val="2"/>
        </w:numPr>
      </w:pPr>
      <w:r>
        <w:rPr>
          <w:rFonts w:hint="eastAsia"/>
        </w:rPr>
        <w:t>免费不等于免责模糊：登录强制签署免责声明（参考性建议，不构成测评结论，不替代等保测评）</w:t>
      </w:r>
    </w:p>
    <w:p w14:paraId="16778860">
      <w:pPr>
        <w:keepNext w:val="1"/>
        <w:keepLines w:val="1"/>
        <w:spacing w:before="100" w:beforeAutospacing="1" w:after="100" w:afterAutospacing="1"/>
        <w:outlineLvl w:val="1"/>
        <w:rPr>
          <w:sz w:val="32"/>
          <w:szCs w:val="32"/>
        </w:rPr>
      </w:pPr>
      <w:r>
        <w:rPr>
          <w:rFonts w:hint="eastAsia"/>
          <w:b w:val="1"/>
          <w:sz w:val="32"/>
        </w:rPr>
        <w:t>四、技术架构</w:t>
      </w:r>
    </w:p>
    <w:p w14:paraId="308FA521"/>
    <w:p w14:paraId="731FFA2C">
      <w:r>
        <w:drawing>
          <wp:inline distT="0" distB="0" distL="0" distR="0">
            <wp:extent cx="5760720" cy="5760720"/>
            <wp:effectExtent l="0" t="0" r="0" b="0"/>
            <wp:docPr id="2" name="文本框 t8rrtq"/>
            <a:graphic>
              <a:graphicData uri="http://schemas.microsoft.com/office/word/2010/wordprocessingShape">
                <wps:wsp>
                  <wps:cNvSpPr txBox="1"/>
                  <wps:spPr>
                    <a:xfrm>
                      <a:off x="0" y="0"/>
                      <a:ext cx="5760720" cy="5760720"/>
                    </a:xfrm>
                    <a:prstGeom prst="rect">
                      <a:avLst/>
                    </a:prstGeom>
                    <a:solidFill>
                      <a:srgbClr val="FAFAFA"/>
                    </a:solidFill>
                    <a:ln w="9525">
                      <a:solidFill>
                        <a:srgbClr val="000000">
                          <a:alpha val="10000"/>
                        </a:srgbClr>
                      </a:solidFill>
                    </a:ln>
                  </wps:spPr>
                  <wps:txbx>
                    <w:txbxContent>
                      <w:p w14:paraId="3992FE9D">
                        <w:pPr>
                          <w:jc w:val="left"/>
                        </w:pPr>
                        <w:r>
                          <w:rPr>
                            <w:rFonts w:hint="eastAsia"/>
                          </w:rPr>
                          <w:t>用户浏览器（卫健委/中小医院）</w:t>
                        </w:r>
                      </w:p>
                      <w:p w14:paraId="0749F594">
                        <w:pPr>
                          <w:jc w:val="left"/>
                        </w:pPr>
                        <w:r>
                          <w:rPr>
                            <w:rFonts w:hint="eastAsia"/>
                          </w:rPr>
                          <w:t xml:space="preserve">  → Web 入口层：Flask，登录认证 + 租户网关（tenant_id 全链路隔离）+ 免责声明</w:t>
                        </w:r>
                      </w:p>
                      <w:p w14:paraId="50F38870">
                        <w:pPr>
                          <w:jc w:val="left"/>
                        </w:pPr>
                        <w:r>
                          <w:rPr>
                            <w:rFonts w:hint="eastAsia"/>
                          </w:rPr>
                          <w:t xml:space="preserve">  → 自动脱密沙盒（唯一数据入口，红线拦截）</w:t>
                        </w:r>
                      </w:p>
                      <w:p w14:paraId="767E19D4">
                        <w:pPr>
                          <w:jc w:val="left"/>
                        </w:pPr>
                        <w:r>
                          <w:rPr>
                            <w:rFonts w:hint="eastAsia"/>
                          </w:rPr>
                          <w:t xml:space="preserve">  → 功能模块：分类分级引擎 / 攻防推演引擎 / 合规判断 / 报告中心</w:t>
                        </w:r>
                      </w:p>
                      <w:p w14:paraId="03257569">
                        <w:pPr>
                          <w:jc w:val="left"/>
                        </w:pPr>
                        <w:r>
                          <w:rPr>
                            <w:rFonts w:hint="eastAsia"/>
                          </w:rPr>
                          <w:t xml:space="preserve">  → 数据层：SQLAlchemy（SQLite 起步，预留 PostgreSQL），表级 tenant_id 隔离</w:t>
                        </w:r>
                      </w:p>
                    </w:txbxContent>
                  </wps:txbx>
                  <wps:bodyPr rot="0" spcFirstLastPara="0" vertOverflow="overflow" horzOverflow="overflow" vert="horz" wrap="square" lIns="400050" tIns="114300" rIns="114300" bIns="114300" numCol="1" spcCol="0" rtlCol="0" fromWordArt="0" anchor="t" anchorCtr="0" forceAA="0" compatLnSpc="1">
                    <a:prstTxWarp prst="textNoShape">
                      <a:avLst/>
                    </a:prstTxWarp>
                    <a:spAutoFit/>
                  </wps:bodyPr>
                </wps:wsp>
              </a:graphicData>
            </a:graphic>
          </wp:inline>
        </w:drawing>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trPr>
          <w:tblHeader w:val="1"/>
        </w:trPr>
        <w:tc>
          <w:tcPr>
            <w:tcW w:w="2768" w:type="dxa"/>
          </w:tcPr>
          <w:p w14:paraId="6BFF99EB">
            <w:pPr>
              <w:rPr>
                <w:b w:val="1"/>
                <w:bCs w:val="1"/>
              </w:rPr>
            </w:pPr>
            <w:r>
              <w:rPr>
                <w:rFonts w:hint="eastAsia"/>
                <w:b w:val="1"/>
              </w:rPr>
              <w:t>决策</w:t>
            </w:r>
          </w:p>
        </w:tc>
        <w:tc>
          <w:tcPr>
            <w:tcW w:w="2768" w:type="dxa"/>
          </w:tcPr>
          <w:p w14:paraId="62DF3631">
            <w:pPr>
              <w:rPr>
                <w:b w:val="1"/>
                <w:bCs w:val="1"/>
              </w:rPr>
            </w:pPr>
            <w:r>
              <w:rPr>
                <w:rFonts w:hint="eastAsia"/>
                <w:b w:val="1"/>
              </w:rPr>
              <w:t>定案</w:t>
            </w:r>
          </w:p>
        </w:tc>
        <w:tc>
          <w:tcPr>
            <w:tcW w:w="2768" w:type="dxa"/>
          </w:tcPr>
          <w:p w14:paraId="5980E477">
            <w:pPr>
              <w:rPr>
                <w:b w:val="1"/>
                <w:bCs w:val="1"/>
              </w:rPr>
            </w:pPr>
            <w:r>
              <w:rPr>
                <w:rFonts w:hint="eastAsia"/>
                <w:b w:val="1"/>
              </w:rPr>
              <w:t>理由</w:t>
            </w:r>
          </w:p>
        </w:tc>
      </w:tr>
      <w:tr>
        <w:trPr/>
        <w:tc>
          <w:tcPr>
            <w:tcW w:w="2768" w:type="dxa"/>
          </w:tcPr>
          <w:p w14:paraId="72956EC2">
            <w:r>
              <w:rPr>
                <w:rFonts w:hint="eastAsia"/>
              </w:rPr>
              <w:t>后端</w:t>
            </w:r>
          </w:p>
        </w:tc>
        <w:tc>
          <w:tcPr>
            <w:tcW w:w="2768" w:type="dxa"/>
          </w:tcPr>
          <w:p w14:paraId="35DAF7BD">
            <w:r>
              <w:rPr>
                <w:rFonts w:hint="eastAsia"/>
              </w:rPr>
              <w:t>Flask 扩展，不换框架</w:t>
            </w:r>
          </w:p>
        </w:tc>
        <w:tc>
          <w:tcPr>
            <w:tcW w:w="2768" w:type="dxa"/>
          </w:tcPr>
          <w:p w14:paraId="3CF3D077">
            <w:r>
              <w:rPr>
                <w:rFonts w:hint="eastAsia"/>
              </w:rPr>
              <w:t>沙盘种子代码复用最大化</w:t>
            </w:r>
          </w:p>
        </w:tc>
      </w:tr>
      <w:tr>
        <w:trPr/>
        <w:tc>
          <w:tcPr>
            <w:tcW w:w="2768" w:type="dxa"/>
          </w:tcPr>
          <w:p w14:paraId="762C3F12">
            <w:r>
              <w:rPr>
                <w:rFonts w:hint="eastAsia"/>
              </w:rPr>
              <w:t>数据库</w:t>
            </w:r>
          </w:p>
        </w:tc>
        <w:tc>
          <w:tcPr>
            <w:tcW w:w="2768" w:type="dxa"/>
          </w:tcPr>
          <w:p w14:paraId="15E7F8F8">
            <w:r>
              <w:rPr>
                <w:rFonts w:hint="eastAsia"/>
              </w:rPr>
              <w:t>SQLite + SQLAlchemy，预留 PostgreSQL</w:t>
            </w:r>
          </w:p>
        </w:tc>
        <w:tc>
          <w:tcPr>
            <w:tcW w:w="2768" w:type="dxa"/>
          </w:tcPr>
          <w:p w14:paraId="797673C0">
            <w:r>
              <w:rPr>
                <w:rFonts w:hint="eastAsia"/>
              </w:rPr>
              <w:t>本机开发零依赖，上云无缝迁移</w:t>
            </w:r>
          </w:p>
        </w:tc>
      </w:tr>
      <w:tr>
        <w:trPr/>
        <w:tc>
          <w:tcPr>
            <w:tcW w:w="2768" w:type="dxa"/>
          </w:tcPr>
          <w:p w14:paraId="2C35CB59">
            <w:r>
              <w:rPr>
                <w:rFonts w:hint="eastAsia"/>
              </w:rPr>
              <w:t>多租户</w:t>
            </w:r>
          </w:p>
        </w:tc>
        <w:tc>
          <w:tcPr>
            <w:tcW w:w="2768" w:type="dxa"/>
          </w:tcPr>
          <w:p w14:paraId="327B489D">
            <w:r>
              <w:rPr>
                <w:rFonts w:hint="eastAsia"/>
              </w:rPr>
              <w:t>表级 tenant_id 隔离</w:t>
            </w:r>
          </w:p>
        </w:tc>
        <w:tc>
          <w:tcPr>
            <w:tcW w:w="2768" w:type="dxa"/>
          </w:tcPr>
          <w:p w14:paraId="6C4A6D00">
            <w:r>
              <w:rPr>
                <w:rFonts w:hint="eastAsia"/>
              </w:rPr>
              <w:t>最简方案，不上 schema 隔离</w:t>
            </w:r>
          </w:p>
        </w:tc>
      </w:tr>
      <w:tr>
        <w:trPr/>
        <w:tc>
          <w:tcPr>
            <w:tcW w:w="2768" w:type="dxa"/>
          </w:tcPr>
          <w:p w14:paraId="0525E488">
            <w:r>
              <w:rPr>
                <w:rFonts w:hint="eastAsia"/>
              </w:rPr>
              <w:t>前端</w:t>
            </w:r>
          </w:p>
        </w:tc>
        <w:tc>
          <w:tcPr>
            <w:tcW w:w="2768" w:type="dxa"/>
          </w:tcPr>
          <w:p w14:paraId="580797B4">
            <w:r>
              <w:rPr>
                <w:rFonts w:hint="eastAsia"/>
              </w:rPr>
              <w:t>沿用沙盘 Canvas/SVG 拓扑渲染体系</w:t>
            </w:r>
          </w:p>
        </w:tc>
        <w:tc>
          <w:tcPr>
            <w:tcW w:w="2768" w:type="dxa"/>
          </w:tcPr>
          <w:p w14:paraId="459546C2">
            <w:r>
              <w:rPr>
                <w:rFonts w:hint="eastAsia"/>
              </w:rPr>
              <w:t>推演可视化是核心卖点</w:t>
            </w:r>
          </w:p>
        </w:tc>
      </w:tr>
      <w:tr>
        <w:trPr/>
        <w:tc>
          <w:tcPr>
            <w:tcW w:w="2768" w:type="dxa"/>
          </w:tcPr>
          <w:p w14:paraId="5EBD3C4A">
            <w:r>
              <w:rPr>
                <w:rFonts w:hint="eastAsia"/>
              </w:rPr>
              <w:t>部署</w:t>
            </w:r>
          </w:p>
        </w:tc>
        <w:tc>
          <w:tcPr>
            <w:tcW w:w="2768" w:type="dxa"/>
          </w:tcPr>
          <w:p w14:paraId="37B2540F">
            <w:r>
              <w:rPr>
                <w:rFonts w:hint="eastAsia"/>
              </w:rPr>
              <w:t>本机 Mac 开发；上云方案按"未来上云"预留（ORM 无关、密钥走环境变量）</w:t>
            </w:r>
          </w:p>
        </w:tc>
        <w:tc>
          <w:tcPr>
            <w:tcW w:w="2768" w:type="dxa"/>
          </w:tcPr>
          <w:p w14:paraId="6AC9D312">
            <w:r>
              <w:rPr>
                <w:rFonts w:hint="eastAsia"/>
              </w:rPr>
              <w:t>避免返工</w:t>
            </w:r>
          </w:p>
        </w:tc>
      </w:tr>
    </w:tbl>
    <w:p w14:paraId="71809AE6">
      <w:pPr>
        <w:keepNext w:val="1"/>
        <w:keepLines w:val="1"/>
        <w:spacing w:before="100" w:beforeAutospacing="1" w:after="100" w:afterAutospacing="1"/>
        <w:outlineLvl w:val="1"/>
        <w:rPr>
          <w:sz w:val="32"/>
          <w:szCs w:val="32"/>
        </w:rPr>
      </w:pPr>
      <w:r>
        <w:rPr>
          <w:rFonts w:hint="eastAsia"/>
          <w:b w:val="1"/>
          <w:sz w:val="32"/>
        </w:rPr>
        <w:t>五、开发组织与责任</w:t>
      </w:r>
    </w:p>
    <w:p w14:paraId="63E42838">
      <w:pPr>
        <w:numPr>
          <w:ilvl w:val="0"/>
          <w:numId w:val="1"/>
        </w:numPr>
      </w:pPr>
      <w:r>
        <w:rPr>
          <w:rFonts w:hint="eastAsia"/>
        </w:rPr>
        <w:t>开发力量：乐叔（领域规则：等保项翻译、分类分级规则、医院业务理解）+ LOLO（代码主力）</w:t>
      </w:r>
    </w:p>
    <w:p w14:paraId="606D112C">
      <w:pPr>
        <w:numPr>
          <w:ilvl w:val="0"/>
          <w:numId w:val="1"/>
        </w:numPr>
      </w:pPr>
      <w:r>
        <w:rPr>
          <w:rFonts w:hint="eastAsia"/>
        </w:rPr>
        <w:t>防单点机制：代码全量入 GitHub + 架构决策写 ADR 落库</w:t>
      </w:r>
    </w:p>
    <w:p w14:paraId="6573F811">
      <w:pPr>
        <w:numPr>
          <w:ilvl w:val="0"/>
          <w:numId w:val="1"/>
        </w:numPr>
      </w:pPr>
      <w:r>
        <w:rPr>
          <w:rFonts w:hint="eastAsia"/>
        </w:rPr>
        <w:t>责任兜底：开发结束后安排一次第三方渗透测试 + 代码审计作为信任状；脱密算法以「重识别攻击测试」为必测验收项</w:t>
      </w:r>
    </w:p>
    <w:p w14:paraId="1C641172">
      <w:pPr>
        <w:numPr>
          <w:ilvl w:val="0"/>
          <w:numId w:val="1"/>
        </w:numPr>
      </w:pPr>
      <w:r>
        <w:rPr>
          <w:rFonts w:hint="eastAsia"/>
        </w:rPr>
        <w:t>经费：平台自身等保合规预算从科研专项经费列支</w:t>
      </w:r>
    </w:p>
    <w:p w14:paraId="194AD5A0">
      <w:pPr>
        <w:numPr>
          <w:ilvl w:val="0"/>
          <w:numId w:val="1"/>
        </w:numPr>
      </w:pPr>
      <w:r>
        <w:rPr>
          <w:rFonts w:hint="eastAsia"/>
        </w:rPr>
        <w:t>运维：当前阶段本机运行不管运维；上线期底线为"工作日服务 + 云端托管 + 告警自动化"（暂缓实施）</w:t>
      </w:r>
    </w:p>
    <w:p w14:paraId="0B03999C">
      <w:pPr>
        <w:keepNext w:val="1"/>
        <w:keepLines w:val="1"/>
        <w:spacing w:before="100" w:beforeAutospacing="1" w:after="100" w:afterAutospacing="1"/>
        <w:outlineLvl w:val="1"/>
        <w:rPr>
          <w:sz w:val="32"/>
          <w:szCs w:val="32"/>
        </w:rPr>
      </w:pPr>
      <w:r>
        <w:rPr>
          <w:rFonts w:hint="eastAsia"/>
          <w:b w:val="1"/>
          <w:sz w:val="32"/>
        </w:rPr>
        <w:t>六、实施路线图</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trPr>
          <w:tblHeader w:val="1"/>
        </w:trPr>
        <w:tc>
          <w:tcPr>
            <w:tcW w:w="2768" w:type="dxa"/>
          </w:tcPr>
          <w:p w14:paraId="0C2BF59D">
            <w:pPr>
              <w:rPr>
                <w:b w:val="1"/>
                <w:bCs w:val="1"/>
              </w:rPr>
            </w:pPr>
            <w:r>
              <w:rPr>
                <w:rFonts w:hint="eastAsia"/>
                <w:b w:val="1"/>
              </w:rPr>
              <w:t>阶段</w:t>
            </w:r>
          </w:p>
        </w:tc>
        <w:tc>
          <w:tcPr>
            <w:tcW w:w="2768" w:type="dxa"/>
          </w:tcPr>
          <w:p w14:paraId="04CB649B">
            <w:pPr>
              <w:rPr>
                <w:b w:val="1"/>
                <w:bCs w:val="1"/>
              </w:rPr>
            </w:pPr>
            <w:r>
              <w:rPr>
                <w:rFonts w:hint="eastAsia"/>
                <w:b w:val="1"/>
              </w:rPr>
              <w:t>内容</w:t>
            </w:r>
          </w:p>
        </w:tc>
        <w:tc>
          <w:tcPr>
            <w:tcW w:w="2768" w:type="dxa"/>
          </w:tcPr>
          <w:p w14:paraId="7D933281">
            <w:pPr>
              <w:rPr>
                <w:b w:val="1"/>
                <w:bCs w:val="1"/>
              </w:rPr>
            </w:pPr>
            <w:r>
              <w:rPr>
                <w:rFonts w:hint="eastAsia"/>
                <w:b w:val="1"/>
              </w:rPr>
              <w:t>状态</w:t>
            </w:r>
          </w:p>
        </w:tc>
      </w:tr>
      <w:tr>
        <w:trPr/>
        <w:tc>
          <w:tcPr>
            <w:tcW w:w="2768" w:type="dxa"/>
          </w:tcPr>
          <w:p w14:paraId="23B9AB72">
            <w:r>
              <w:rPr>
                <w:rFonts w:hint="eastAsia"/>
              </w:rPr>
              <w:t>v0.1 骨架</w:t>
            </w:r>
          </w:p>
        </w:tc>
        <w:tc>
          <w:tcPr>
            <w:tcW w:w="2768" w:type="dxa"/>
          </w:tcPr>
          <w:p w14:paraId="3049D1AE">
            <w:r>
              <w:rPr>
                <w:rFonts w:hint="eastAsia"/>
              </w:rPr>
              <w:t>认证+免责声明 / 沙盒脱密 v1 / 分类分级 v1 / 占位模块 / ADR-0001</w:t>
            </w:r>
          </w:p>
        </w:tc>
        <w:tc>
          <w:tcPr>
            <w:tcW w:w="2768" w:type="dxa"/>
          </w:tcPr>
          <w:p w14:paraId="4883979B">
            <w:r>
              <w:rPr>
                <w:rFonts w:hint="eastAsia"/>
              </w:rPr>
              <w:t>✅ 2026-09-23 完成，冒烟全过</w:t>
            </w:r>
          </w:p>
        </w:tc>
      </w:tr>
      <w:tr>
        <w:trPr/>
        <w:tc>
          <w:tcPr>
            <w:tcW w:w="2768" w:type="dxa"/>
          </w:tcPr>
          <w:p w14:paraId="24008F0E">
            <w:r>
              <w:t>v0.2</w:t>
            </w:r>
          </w:p>
        </w:tc>
        <w:tc>
          <w:tcPr>
            <w:tcW w:w="2768" w:type="dxa"/>
          </w:tcPr>
          <w:p w14:paraId="275FF9DE">
            <w:r>
              <w:rPr>
                <w:rFonts w:hint="eastAsia"/>
              </w:rPr>
              <w:t>沙盘推演引擎迁移（engine/ + 18 场景接入脱密拓扑库）</w:t>
            </w:r>
          </w:p>
        </w:tc>
        <w:tc>
          <w:tcPr>
            <w:tcW w:w="2768" w:type="dxa"/>
          </w:tcPr>
          <w:p w14:paraId="5DAF6D41">
            <w:r>
              <w:rPr>
                <w:rFonts w:hint="eastAsia"/>
              </w:rPr>
              <w:t>下一迭代</w:t>
            </w:r>
          </w:p>
        </w:tc>
      </w:tr>
      <w:tr>
        <w:trPr/>
        <w:tc>
          <w:tcPr>
            <w:tcW w:w="2768" w:type="dxa"/>
          </w:tcPr>
          <w:p w14:paraId="283524C9">
            <w:r>
              <w:t>v0.3</w:t>
            </w:r>
          </w:p>
        </w:tc>
        <w:tc>
          <w:tcPr>
            <w:tcW w:w="2768" w:type="dxa"/>
          </w:tcPr>
          <w:p w14:paraId="3C6559B3">
            <w:r>
              <w:rPr>
                <w:rFonts w:hint="eastAsia"/>
              </w:rPr>
              <w:t>脱密引擎加固（schema 白名单制 + 漏检测试集）+ 分类分级前端结果页 + 报告导出</w:t>
            </w:r>
          </w:p>
        </w:tc>
        <w:tc>
          <w:tcPr>
            <w:tcW w:w="2768" w:type="dxa"/>
          </w:tcPr>
          <w:p w14:paraId="4B598DE9">
            <w:r>
              <w:rPr>
                <w:rFonts w:hint="eastAsia"/>
              </w:rPr>
              <w:t>待排期</w:t>
            </w:r>
          </w:p>
        </w:tc>
      </w:tr>
      <w:tr>
        <w:trPr/>
        <w:tc>
          <w:tcPr>
            <w:tcW w:w="2768" w:type="dxa"/>
          </w:tcPr>
          <w:p w14:paraId="27D8B57D">
            <w:r>
              <w:t>v1.0</w:t>
            </w:r>
          </w:p>
        </w:tc>
        <w:tc>
          <w:tcPr>
            <w:tcW w:w="2768" w:type="dxa"/>
          </w:tcPr>
          <w:p w14:paraId="0C59CE7E">
            <w:r>
              <w:rPr>
                <w:rFonts w:hint="eastAsia"/>
              </w:rPr>
              <w:t>合规判断模块（三件套规则库）+ 多租户打磨 + 第三方安全测试</w:t>
            </w:r>
          </w:p>
        </w:tc>
        <w:tc>
          <w:tcPr>
            <w:tcW w:w="2768" w:type="dxa"/>
          </w:tcPr>
          <w:p w14:paraId="58CA46E0">
            <w:r>
              <w:rPr>
                <w:rFonts w:hint="eastAsia"/>
              </w:rPr>
              <w:t>目标：上线</w:t>
            </w:r>
          </w:p>
        </w:tc>
      </w:tr>
      <w:tr>
        <w:trPr/>
        <w:tc>
          <w:tcPr>
            <w:tcW w:w="2768" w:type="dxa"/>
          </w:tcPr>
          <w:p w14:paraId="77FC08B8">
            <w:r>
              <w:rPr>
                <w:rFonts w:hint="eastAsia"/>
              </w:rPr>
              <w:t>后续</w:t>
            </w:r>
          </w:p>
        </w:tc>
        <w:tc>
          <w:tcPr>
            <w:tcW w:w="2768" w:type="dxa"/>
          </w:tcPr>
          <w:p w14:paraId="4C80AC8D">
            <w:r>
              <w:rPr>
                <w:rFonts w:hint="eastAsia"/>
              </w:rPr>
              <w:t>影响力运营（卫健委督查场景）→ 收费模式设计</w:t>
            </w:r>
          </w:p>
        </w:tc>
        <w:tc>
          <w:tcPr>
            <w:tcW w:w="2768" w:type="dxa"/>
          </w:tcPr>
          <w:p w14:paraId="102C0B27">
            <w:r>
              <w:rPr>
                <w:rFonts w:hint="eastAsia"/>
              </w:rPr>
              <w:t>待影响力达标后启动</w:t>
            </w:r>
          </w:p>
        </w:tc>
      </w:tr>
    </w:tbl>
    <w:p w14:paraId="297F3841">
      <w:pPr>
        <w:keepNext w:val="1"/>
        <w:keepLines w:val="1"/>
        <w:spacing w:before="100" w:beforeAutospacing="1" w:after="100" w:afterAutospacing="1"/>
        <w:outlineLvl w:val="1"/>
        <w:rPr>
          <w:sz w:val="32"/>
          <w:szCs w:val="32"/>
        </w:rPr>
      </w:pPr>
      <w:r>
        <w:rPr>
          <w:rFonts w:hint="eastAsia"/>
          <w:b w:val="1"/>
          <w:sz w:val="32"/>
        </w:rPr>
        <w:t>七、风险登记（假设性预判，未经证实）</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trPr>
          <w:tblHeader w:val="1"/>
        </w:trPr>
        <w:tc>
          <w:tcPr>
            <w:tcW w:w="2076" w:type="dxa"/>
          </w:tcPr>
          <w:p w14:paraId="0CC88AC3">
            <w:pPr>
              <w:rPr>
                <w:b w:val="1"/>
                <w:bCs w:val="1"/>
              </w:rPr>
            </w:pPr>
            <w:r>
              <w:rPr>
                <w:b w:val="1"/>
              </w:rPr>
              <w:t>#</w:t>
            </w:r>
          </w:p>
        </w:tc>
        <w:tc>
          <w:tcPr>
            <w:tcW w:w="2076" w:type="dxa"/>
          </w:tcPr>
          <w:p w14:paraId="05F6E8DA">
            <w:pPr>
              <w:rPr>
                <w:b w:val="1"/>
                <w:bCs w:val="1"/>
              </w:rPr>
            </w:pPr>
            <w:r>
              <w:rPr>
                <w:rFonts w:hint="eastAsia"/>
                <w:b w:val="1"/>
              </w:rPr>
              <w:t>风险</w:t>
            </w:r>
          </w:p>
        </w:tc>
        <w:tc>
          <w:tcPr>
            <w:tcW w:w="2076" w:type="dxa"/>
          </w:tcPr>
          <w:p w14:paraId="7D16A950">
            <w:pPr>
              <w:rPr>
                <w:b w:val="1"/>
                <w:bCs w:val="1"/>
              </w:rPr>
            </w:pPr>
            <w:r>
              <w:rPr>
                <w:rFonts w:hint="eastAsia"/>
                <w:b w:val="1"/>
              </w:rPr>
              <w:t>等级</w:t>
            </w:r>
          </w:p>
        </w:tc>
        <w:tc>
          <w:tcPr>
            <w:tcW w:w="2076" w:type="dxa"/>
          </w:tcPr>
          <w:p w14:paraId="76364556">
            <w:pPr>
              <w:rPr>
                <w:b w:val="1"/>
                <w:bCs w:val="1"/>
              </w:rPr>
            </w:pPr>
            <w:r>
              <w:rPr>
                <w:rFonts w:hint="eastAsia"/>
                <w:b w:val="1"/>
              </w:rPr>
              <w:t>对策</w:t>
            </w:r>
          </w:p>
        </w:tc>
      </w:tr>
      <w:tr>
        <w:trPr/>
        <w:tc>
          <w:tcPr>
            <w:tcW w:w="2076" w:type="dxa"/>
          </w:tcPr>
          <w:p w14:paraId="6EA5F524">
            <w:r>
              <w:t>1</w:t>
            </w:r>
          </w:p>
        </w:tc>
        <w:tc>
          <w:tcPr>
            <w:tcW w:w="2076" w:type="dxa"/>
          </w:tcPr>
          <w:p w14:paraId="55D89F92">
            <w:r>
              <w:rPr>
                <w:rFonts w:hint="eastAsia"/>
              </w:rPr>
              <w:t>脱密引擎正则驱动，变形写法（加空格证件号、繁体机构名）可能漏检</w:t>
            </w:r>
          </w:p>
        </w:tc>
        <w:tc>
          <w:tcPr>
            <w:tcW w:w="2076" w:type="dxa"/>
          </w:tcPr>
          <w:p w14:paraId="2E6C17F3">
            <w:r>
              <w:rPr>
                <w:rFonts w:hint="eastAsia"/>
              </w:rPr>
              <w:t>高</w:t>
            </w:r>
          </w:p>
        </w:tc>
        <w:tc>
          <w:tcPr>
            <w:tcW w:w="2076" w:type="dxa"/>
          </w:tcPr>
          <w:p w14:paraId="1BF78147">
            <w:r>
              <w:rPr>
                <w:rFonts w:hint="eastAsia"/>
              </w:rPr>
              <w:t>v0.3 改白名单制；第三方重识别攻击测试验证</w:t>
            </w:r>
          </w:p>
        </w:tc>
      </w:tr>
      <w:tr>
        <w:trPr/>
        <w:tc>
          <w:tcPr>
            <w:tcW w:w="2076" w:type="dxa"/>
          </w:tcPr>
          <w:p w14:paraId="129711C1">
            <w:r>
              <w:t>2</w:t>
            </w:r>
          </w:p>
        </w:tc>
        <w:tc>
          <w:tcPr>
            <w:tcW w:w="2076" w:type="dxa"/>
          </w:tcPr>
          <w:p w14:paraId="1E242A15">
            <w:r>
              <w:rPr>
                <w:rFonts w:hint="eastAsia"/>
              </w:rPr>
              <w:t>分类规则硬编码，真实医院字段命名多样，首月命中率可能不足 60%</w:t>
            </w:r>
          </w:p>
        </w:tc>
        <w:tc>
          <w:tcPr>
            <w:tcW w:w="2076" w:type="dxa"/>
          </w:tcPr>
          <w:p w14:paraId="70836BFB">
            <w:r>
              <w:rPr>
                <w:rFonts w:hint="eastAsia"/>
              </w:rPr>
              <w:t>中</w:t>
            </w:r>
          </w:p>
        </w:tc>
        <w:tc>
          <w:tcPr>
            <w:tcW w:w="2076" w:type="dxa"/>
          </w:tcPr>
          <w:p w14:paraId="20C9D127">
            <w:r>
              <w:rPr>
                <w:rFonts w:hint="eastAsia"/>
              </w:rPr>
              <w:t>预留"人工校正→规则回流"通道；规则库二期迁数据库</w:t>
            </w:r>
          </w:p>
        </w:tc>
      </w:tr>
      <w:tr>
        <w:trPr/>
        <w:tc>
          <w:tcPr>
            <w:tcW w:w="2076" w:type="dxa"/>
          </w:tcPr>
          <w:p w14:paraId="1B2D45D9">
            <w:r>
              <w:t>3</w:t>
            </w:r>
          </w:p>
        </w:tc>
        <w:tc>
          <w:tcPr>
            <w:tcW w:w="2076" w:type="dxa"/>
          </w:tcPr>
          <w:p w14:paraId="42565E36">
            <w:r>
              <w:rPr>
                <w:rFonts w:hint="eastAsia"/>
              </w:rPr>
              <w:t>SQLite 单文件在 50+ 租户并发上传时可能写锁竞争</w:t>
            </w:r>
          </w:p>
        </w:tc>
        <w:tc>
          <w:tcPr>
            <w:tcW w:w="2076" w:type="dxa"/>
          </w:tcPr>
          <w:p w14:paraId="24B1A7EA">
            <w:r>
              <w:rPr>
                <w:rFonts w:hint="eastAsia"/>
              </w:rPr>
              <w:t>中</w:t>
            </w:r>
          </w:p>
        </w:tc>
        <w:tc>
          <w:tcPr>
            <w:tcW w:w="2076" w:type="dxa"/>
          </w:tcPr>
          <w:p w14:paraId="3FEB4684">
            <w:r>
              <w:rPr>
                <w:rFonts w:hint="eastAsia"/>
              </w:rPr>
              <w:t>上云前切 PostgreSQL（已预留）</w:t>
            </w:r>
          </w:p>
        </w:tc>
      </w:tr>
      <w:tr>
        <w:trPr/>
        <w:tc>
          <w:tcPr>
            <w:tcW w:w="2076" w:type="dxa"/>
          </w:tcPr>
          <w:p w14:paraId="3603D186">
            <w:r>
              <w:t>4</w:t>
            </w:r>
          </w:p>
        </w:tc>
        <w:tc>
          <w:tcPr>
            <w:tcW w:w="2076" w:type="dxa"/>
          </w:tcPr>
          <w:p w14:paraId="1A48B332">
            <w:r>
              <w:rPr>
                <w:rFonts w:hint="eastAsia"/>
              </w:rPr>
              <w:t>阻断阈值=3 为经验值，真实场景 1 条身份证也应拒绝</w:t>
            </w:r>
          </w:p>
        </w:tc>
        <w:tc>
          <w:tcPr>
            <w:tcW w:w="2076" w:type="dxa"/>
          </w:tcPr>
          <w:p w14:paraId="7FE4E075">
            <w:r>
              <w:rPr>
                <w:rFonts w:hint="eastAsia"/>
              </w:rPr>
              <w:t>高</w:t>
            </w:r>
          </w:p>
        </w:tc>
        <w:tc>
          <w:tcPr>
            <w:tcW w:w="2076" w:type="dxa"/>
          </w:tcPr>
          <w:p w14:paraId="3F950216">
            <w:r>
              <w:rPr>
                <w:rFonts w:hint="eastAsia"/>
              </w:rPr>
              <w:t>v0.3 改"任何 PII 值出现即拒"（schema 白名单语境）</w:t>
            </w:r>
          </w:p>
        </w:tc>
      </w:tr>
      <w:tr>
        <w:trPr/>
        <w:tc>
          <w:tcPr>
            <w:tcW w:w="2076" w:type="dxa"/>
          </w:tcPr>
          <w:p w14:paraId="36B2AC10">
            <w:r>
              <w:t>5</w:t>
            </w:r>
          </w:p>
        </w:tc>
        <w:tc>
          <w:tcPr>
            <w:tcW w:w="2076" w:type="dxa"/>
          </w:tcPr>
          <w:p w14:paraId="67589769">
            <w:r>
              <w:rPr>
                <w:rFonts w:hint="eastAsia"/>
              </w:rPr>
              <w:t>集中存放多家医院数据字典+拓扑，平台自身成攻击目标</w:t>
            </w:r>
          </w:p>
        </w:tc>
        <w:tc>
          <w:tcPr>
            <w:tcW w:w="2076" w:type="dxa"/>
          </w:tcPr>
          <w:p w14:paraId="382C5F26">
            <w:r>
              <w:rPr>
                <w:rFonts w:hint="eastAsia"/>
              </w:rPr>
              <w:t>高</w:t>
            </w:r>
          </w:p>
        </w:tc>
        <w:tc>
          <w:tcPr>
            <w:tcW w:w="2076" w:type="dxa"/>
          </w:tcPr>
          <w:p w14:paraId="3537F53C">
            <w:r>
              <w:rPr>
                <w:rFonts w:hint="eastAsia"/>
              </w:rPr>
              <w:t>平台等保三级规划 + 专项经费 + 第三方测试</w:t>
            </w:r>
          </w:p>
        </w:tc>
      </w:tr>
      <w:tr>
        <w:trPr/>
        <w:tc>
          <w:tcPr>
            <w:tcW w:w="2076" w:type="dxa"/>
          </w:tcPr>
          <w:p w14:paraId="2C17057A">
            <w:r>
              <w:t>6</w:t>
            </w:r>
          </w:p>
        </w:tc>
        <w:tc>
          <w:tcPr>
            <w:tcW w:w="2076" w:type="dxa"/>
          </w:tcPr>
          <w:p w14:paraId="7AC86AEE">
            <w:r>
              <w:rPr>
                <w:rFonts w:hint="eastAsia"/>
              </w:rPr>
              <w:t>两人开发持续性风险（AI 会话制、乐叔精力）</w:t>
            </w:r>
          </w:p>
        </w:tc>
        <w:tc>
          <w:tcPr>
            <w:tcW w:w="2076" w:type="dxa"/>
          </w:tcPr>
          <w:p w14:paraId="5C6CDA9D">
            <w:r>
              <w:rPr>
                <w:rFonts w:hint="eastAsia"/>
              </w:rPr>
              <w:t>中</w:t>
            </w:r>
          </w:p>
        </w:tc>
        <w:tc>
          <w:tcPr>
            <w:tcW w:w="2076" w:type="dxa"/>
          </w:tcPr>
          <w:p w14:paraId="61DA22EF">
            <w:r>
              <w:rPr>
                <w:rFonts w:hint="eastAsia"/>
              </w:rPr>
              <w:t>GitHub + ADR + 本方案文档，任何接手方可续</w:t>
            </w:r>
          </w:p>
        </w:tc>
      </w:tr>
    </w:tbl>
    <w:p w14:paraId="17969A70">
      <w:pPr>
        <w:keepNext w:val="1"/>
        <w:keepLines w:val="1"/>
        <w:spacing w:before="100" w:beforeAutospacing="1" w:after="100" w:afterAutospacing="1"/>
        <w:outlineLvl w:val="1"/>
        <w:rPr>
          <w:sz w:val="32"/>
          <w:szCs w:val="32"/>
        </w:rPr>
      </w:pPr>
      <w:r>
        <w:rPr>
          <w:rFonts w:hint="eastAsia"/>
          <w:b w:val="1"/>
          <w:sz w:val="32"/>
        </w:rPr>
        <w:t>八、验收标准</w:t>
      </w:r>
    </w:p>
    <w:p w14:paraId="4D0147F7">
      <w:pPr>
        <w:numPr>
          <w:ilvl w:val="0"/>
          <w:numId w:val="2"/>
        </w:numPr>
      </w:pPr>
      <w:r>
        <w:rPr>
          <w:rFonts w:hint="eastAsia"/>
        </w:rPr>
        <w:t>功能：三大功能冒烟测试通过（分类定级可溯源、推演报告可生成、合规判断规则命中）</w:t>
      </w:r>
    </w:p>
    <w:p w14:paraId="36150DE7">
      <w:pPr>
        <w:numPr>
          <w:ilvl w:val="0"/>
          <w:numId w:val="2"/>
        </w:numPr>
      </w:pPr>
      <w:r>
        <w:rPr>
          <w:rFonts w:hint="eastAsia"/>
        </w:rPr>
        <w:t>安全：第三方渗透测试 + 代码审计通过；脱密算法经重识别攻击测试</w:t>
      </w:r>
    </w:p>
    <w:p w14:paraId="76362BD6">
      <w:pPr>
        <w:numPr>
          <w:ilvl w:val="0"/>
          <w:numId w:val="2"/>
        </w:numPr>
      </w:pPr>
      <w:r>
        <w:rPr>
          <w:rFonts w:hint="eastAsia"/>
        </w:rPr>
        <w:t>合规：免责声明签署率 100%；原始数据阻断机制有效（攻击样本测试集）</w:t>
      </w:r>
    </w:p>
    <w:p w14:paraId="6CCA328A">
      <w:pPr>
        <w:numPr>
          <w:ilvl w:val="0"/>
          <w:numId w:val="2"/>
        </w:numPr>
      </w:pPr>
      <w:r>
        <w:rPr>
          <w:rFonts w:hint="eastAsia"/>
        </w:rPr>
        <w:t>文档：ADR 持续更新；本方案随版本演进</w:t>
      </w:r>
    </w:p>
    <w:sectPr/>
  </w:body>
</w:document>
</file>

<file path=word/fontTable.xml><?xml version="1.0" encoding="utf-8"?>
<w:fonts xmlns:w="http://schemas.openxmlformats.org/wordprocessingml/2006/main">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0">
    <w:lvl w:ilvl="0">
      <w:start w:val="1"/>
      <w:numFmt w:val="bullet"/>
      <w:lvlText w:val=""/>
      <w:lvlJc w:val="left"/>
      <w:pPr>
        <w:ind w:left="420" w:hanging="420"/>
      </w:pPr>
      <w:rPr>
        <w:rFonts w:hint="default" w:ascii="Wingdings" w:hAnsi="Wingdings"/>
      </w:rPr>
    </w:lvl>
  </w:abstractNum>
  <w:abstractNum w:abstractNumId="1">
    <w:lvl w:ilvl="0">
      <w:start w:val="1"/>
      <w:numFmt w:val="decimal"/>
      <w:lvlText w:val="%1."/>
      <w:lvlJc w:val="left"/>
      <w:pPr>
        <w:ind w:left="420" w:hanging="420"/>
      </w:pPr>
    </w:lvl>
  </w:abstractNum>
  <w:abstractNum w:abstractNumId="2">
    <w:lvl w:ilvl="0">
      <w:start w:val="1"/>
      <w:numFmt w:val="decimal"/>
      <w:lvlText w:val="%1."/>
      <w:lvlJc w:val="left"/>
      <w:pPr>
        <w:ind w:left="420" w:hanging="420"/>
      </w:pPr>
    </w:lvl>
  </w:abstractNum>
  <w:abstractNum w:abstractNumId="3">
    <w:lvl w:ilvl="0">
      <w:start w:val="1"/>
      <w:numFmt w:val="bullet"/>
      <w:lvlText w:val=""/>
      <w:lvlJc w:val="left"/>
      <w:pPr>
        <w:ind w:left="420" w:hanging="420"/>
      </w:pPr>
      <w:rPr>
        <w:rFonts w:hint="default" w:ascii="Wingdings" w:hAnsi="Wingdings"/>
      </w:rPr>
    </w:lvl>
  </w:abstractNum>
  <w:num w:numId="2">
    <w:abstractNumId w:val="1"/>
  </w:num>
  <w:num w:numId="1">
    <w:abstractNumId w:val="0"/>
  </w:num>
</w:numbering>
</file>

<file path=word/settings.xml><?xml version="1.0" encoding="utf-8"?>
<w:settings xmlns:w="http://schemas.openxmlformats.org/wordprocessingml/2006/main">
  <w:zoom w:val="bestFit" w:percent="100"/>
  <w:defaultTabStop w:val="420"/>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1" Type="http://schemas.openxmlformats.org/officeDocument/2006/relationships/settings" Target="settings.xml" /><Relationship Id="rId0" Type="http://schemas.openxmlformats.org/officeDocument/2006/relationships/styles" Target="styles.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2026-09-23T20:07:07Z</dcterms:created>
  <dcterms:modified xsi:type="dcterms:W3CDTF">2026-09-23T20:07:07Z</dcterms:modified>
</cp:coreProperties>
</file>