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vMerge w:val="restart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4B5"/>
                <w:sz w:val="24"/>
                <w:szCs w:val="24"/>
              </w:rPr>
              <w:t xml:space="preserve">TEST DE CONNAISSANCES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4B5"/>
                <w:sz w:val="24"/>
                <w:szCs w:val="24"/>
              </w:rPr>
              <w:t xml:space="preserve">EN MATHÉMATIQUES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 :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</w:tcPr>
          <w:p/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 : ____________________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4B5"/>
                <w:sz w:val="28"/>
                <w:szCs w:val="28"/>
              </w:rPr>
              <w:t xml:space="preserve">SOLIDES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Signatures :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Prénom : ____________________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 :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          / 20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900"/>
        <w:gridCol w:w="900"/>
        <w:gridCol w:w="900"/>
        <w:gridCol w:w="90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Capacités attendues  —  Calculatrice interdite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Reconnaître et nommer les solides usuels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Identifier faces, arêtes et sommets d'un solide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Décrire un solide (nature des faces, dénombrement)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Lire et interpréter une représentation en perspective cavalière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Associer un patron à un solide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Exercice 1 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Reconnaître et nommer les solides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/ 4 points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Les figures ci-dessous représentent des solides. Classe-les dans le tableau.</w:t>
      </w:r>
    </w:p>
    <w:p>
      <w:pPr>
        <w:spacing w:after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(Fig. 1 : cube  •  Fig. 2 : cylindre  •  Fig. 3 : pyramide à base carrée  •  Fig. 4 : pavé droit  •  Fig. 5 : prisme droit  •  Fig. 6 : cône  •  Fig. 7 : sphère  •  Fig. 8 : pyramide  •  Fig. 9 : cylindre)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250"/>
        <w:gridCol w:w="1250"/>
        <w:gridCol w:w="1250"/>
        <w:gridCol w:w="1250"/>
        <w:gridCol w:w="1250"/>
        <w:gridCol w:w="950"/>
        <w:gridCol w:w="129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Solide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Cube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Pavé droit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Prisme droit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Cylindre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Pyramide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Cône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Sphère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Figure(s)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Exercice 2 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Vocabulaire des solides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/ 3 points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considère le parallélépipède rectangle ABCDEFGH ci-dessous.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[Espace pour schéma — reporter le solide ABCDEFGH de la mise en route 7]</w:t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Quelle est la nature de la face CDEH ?</w:t>
      </w:r>
    </w:p>
    <w:p>
      <w:pPr>
        <w:pBdr>
          <w:bottom w:val="single" w:color="999999" w:sz="2"/>
        </w:pBdr>
        <w:spacing w:before="240" w:after="0"/>
      </w:pPr>
      <w:r>
        <w:rPr>
          <w:sz w:val="22"/>
          <w:szCs w:val="22"/>
        </w:rPr>
        <w:t xml:space="preserve"> </w:t>
      </w:r>
    </w:p>
    <w:p>
      <w:r>
        <w:rPr>
          <w:sz w:val="10"/>
          <w:szCs w:val="10"/>
        </w:rPr>
        <w:t xml:space="preserve"/>
      </w:r>
    </w:p>
    <w:p>
      <w:pPr>
        <w:spacing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Nomme la face opposée à la face CDEH.</w:t>
      </w:r>
    </w:p>
    <w:p>
      <w:pPr>
        <w:pBdr>
          <w:bottom w:val="single" w:color="999999" w:sz="2"/>
        </w:pBdr>
        <w:spacing w:before="240" w:after="0"/>
      </w:pPr>
      <w:r>
        <w:rPr>
          <w:sz w:val="22"/>
          <w:szCs w:val="22"/>
        </w:rPr>
        <w:t xml:space="preserve"> </w:t>
      </w:r>
    </w:p>
    <w:p>
      <w:r>
        <w:rPr>
          <w:sz w:val="10"/>
          <w:szCs w:val="10"/>
        </w:rPr>
        <w:t xml:space="preserve"/>
      </w:r>
    </w:p>
    <w:p>
      <w:pPr>
        <w:spacing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Cite une arête perpendiculaire à l'arête [BC].</w:t>
      </w:r>
    </w:p>
    <w:p>
      <w:pPr>
        <w:pBdr>
          <w:bottom w:val="single" w:color="999999" w:sz="2"/>
        </w:pBdr>
        <w:spacing w:before="240" w:after="0"/>
      </w:pPr>
      <w:r>
        <w:rPr>
          <w:sz w:val="22"/>
          <w:szCs w:val="22"/>
        </w:rPr>
        <w:t xml:space="preserve"> </w:t>
      </w:r>
    </w:p>
    <w:p>
      <w:r>
        <w:rPr>
          <w:sz w:val="10"/>
          <w:szCs w:val="10"/>
        </w:rPr>
        <w:t xml:space="preserve"/>
      </w:r>
    </w:p>
    <w:p>
      <w:pPr>
        <w:spacing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Cite toutes les arêtes parallèles à l'arête [FG].</w:t>
      </w:r>
    </w:p>
    <w:p>
      <w:pPr>
        <w:pBdr>
          <w:bottom w:val="single" w:color="999999" w:sz="2"/>
        </w:pBdr>
        <w:spacing w:before="240" w:after="0"/>
      </w:pPr>
      <w:r>
        <w:rPr>
          <w:sz w:val="22"/>
          <w:szCs w:val="22"/>
        </w:rPr>
        <w:t xml:space="preserve"> </w:t>
      </w:r>
    </w:p>
    <w:p>
      <w:r>
        <w:rPr>
          <w:sz w:val="10"/>
          <w:szCs w:val="10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Exercice 3 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Décrire un solide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/ 3 points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considère le cube ABCDEFGH représenté ci-dessous.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[Espace pour schéma — reporter le cube ABCDEFGH de la mise en route 5]</w:t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Nature du solide :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Nombre de sommets :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Nombre d'arêtes :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Nombre de faces :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Nature des faces :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Noms de toutes les faces :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Exercice 4 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Polyèdres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/ 3 points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a. Donne la définition d'un polyèdre.</w:t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b. Parmi les solides suivants, entoure ceux qui sont des polyèdres 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cube  —  cylindre  —  pyramide  —  sphère  —  prisme droit  —  cône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c. Complète le tableau.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Polyèdre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Nb sommets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Nb arêtes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Nb faces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Nature des faces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Pavé droit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Pyramide à base carrée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Exercice 5 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Patrons de solides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/ 4 points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a. Parmi les figures ci-dessous, entoure les patrons de cubes.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[Reporter les figures a à m de la mise en route 16]</w:t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  <w:sz w:val="22"/>
          <w:szCs w:val="22"/>
        </w:rPr>
        <w:t xml:space="preserve">b. Associe chacun des patrons suivants au solide qui lui correspond.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[Reporter les patrons de la mise en route 15]</w:t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Solide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Cube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Pavé droit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Prisme droit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Cylindre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Cône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Figure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Exercice 6 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Représentation en perspective cavalière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/ 3 points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a. Parmi les figures suivantes, entoure les deux représentations correctes en perspective cavalière de parallélépipèdes rectangles.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[Reporter les figures de la mise en route 10]</w:t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b. Sur du papier pointillé ci-dessous, complète la représentation en perspective cavalière du parallélépipède rectangle.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[Reporter la figure b. ou c. de la mise en route 13]</w:t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2026-03-09T09:43:03.353Z</dcterms:created>
  <dcterms:modified xsi:type="dcterms:W3CDTF">2026-03-09T09:43:03.354Z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