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color w:val="C00000"/>
                <w:sz w:val="22"/>
                <w:szCs w:val="22"/>
              </w:rPr>
              <w:t xml:space="preserve">— CORRIGÉ —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POLYGONES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et utiliser le vocabulaire des quadrilatères et des triangles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les noms des polygones et leur nombre de côtés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et nommer les triangles particuliers (isocèle, équilatéral, rectangle)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Coder des figures simples (rectangle, carré, losange)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un triangle simple à partir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Décrire une figure complexe comme assemblage de figures simples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Vocabulaire d'un quadrilatère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les phrases suivantes en t'aidant du quadrilatère ci-dessous.</w:t>
      </w:r>
    </w:p>
    <w:p>
      <w:pPr>
        <w:jc w:val="center"/>
      </w:pPr>
      <w:r>
        <w:drawing>
          <wp:inline distT="0" distB="0" distL="0" distR="0">
            <wp:extent cx="2286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a. Les quatre sommets sont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A , B , C et D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Les quatre côtés sont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[AB] , [BC] , [CD] et [AD]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c. [AB] et [DC] sont deux côtés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opposés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d. [AB] et [BC] sont deux côtés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consécutifs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e. Le segment [AC] et le segment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[BD]</w:t>
            </w:r>
            <w:r>
              <w:rPr>
                <w:sz w:val="22"/>
                <w:szCs w:val="22"/>
              </w:rPr>
              <w:t xml:space="preserve"> sont les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diagonales</w:t>
            </w:r>
            <w:r>
              <w:rPr>
                <w:sz w:val="22"/>
                <w:szCs w:val="22"/>
              </w:rPr>
              <w:t xml:space="preserve"> du quadrilatère.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Vocabulaire d'un triangle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6123"/>
      </w:tblGrid>
      <w:tr>
        <w:tc>
          <w:tcPr>
            <w:tcW w:type="dxa" w:w="408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a. Les trois côtés sont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[XY] , [YZ] et [XZ]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Le côté opposé au sommet X est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[YZ]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c. Le sommet opposé au côté [YZ] est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X</w:t>
            </w:r>
            <w:r>
              <w:rPr>
                <w:sz w:val="22"/>
                <w:szCs w:val="22"/>
              </w:rPr>
              <w:t xml:space="preserve"> 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Polygones et nombre de côtés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 du polygone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Nombre de côtés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Triangle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Quadrilatère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Pentagone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Hexagone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Octogone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Classer les triangles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center"/>
      </w:pPr>
      <w:r>
        <w:drawing>
          <wp:inline distT="0" distB="0" distL="0" distR="0">
            <wp:extent cx="4000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Quelconque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Isocèle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Rectangle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Équilatéral</w:t>
            </w:r>
          </w:p>
        </w:tc>
      </w:tr>
      <w:tr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 ; 6</w:t>
            </w:r>
          </w:p>
        </w:tc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 ; 5</w:t>
            </w:r>
          </w:p>
        </w:tc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 ; 7</w:t>
            </w:r>
          </w:p>
        </w:tc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 ; 8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Coder les quadrilatères particuliers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i/>
          <w:iCs/>
          <w:sz w:val="22"/>
          <w:szCs w:val="22"/>
        </w:rPr>
        <w:t xml:space="preserve">Voici les codages attendus :</w:t>
      </w:r>
    </w:p>
    <w:p>
      <w:pPr>
        <w:jc w:val="center"/>
      </w:pPr>
      <w:r>
        <w:drawing>
          <wp:inline distT="0" distB="0" distL="0" distR="0">
            <wp:extent cx="4381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Rectangle</w:t>
            </w:r>
            <w:r>
              <w:rPr>
                <w:sz w:val="22"/>
                <w:szCs w:val="22"/>
              </w:rPr>
              <w:t xml:space="preserve"> : 4 angles droits + 2 paires de côtés opposés codés (longueurs égales).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Carré</w:t>
            </w:r>
            <w:r>
              <w:rPr>
                <w:sz w:val="22"/>
                <w:szCs w:val="22"/>
              </w:rPr>
              <w:t xml:space="preserve"> : 4 angles droits + 4 côtés codés à l'identique (tous égaux).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Losange</w:t>
            </w:r>
            <w:r>
              <w:rPr>
                <w:sz w:val="22"/>
                <w:szCs w:val="22"/>
              </w:rPr>
              <w:t xml:space="preserve"> : 4 côtés codés à l'identique + 2 paires d'angles opposés égaux.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Tracer un triangle isocèle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b/>
          <w:bCs/>
          <w:sz w:val="22"/>
          <w:szCs w:val="22"/>
        </w:rPr>
        <w:t xml:space="preserve">Méthode : </w:t>
      </w:r>
      <w:r>
        <w:rPr>
          <w:sz w:val="22"/>
          <w:szCs w:val="22"/>
        </w:rPr>
        <w:t xml:space="preserve">tracer le segment [BC] de 5 cm, puis avec le compas ouvert à 4 cm, tracer deux arcs de cercle (centre B et centre C). Le point A est à l'intersection des deux arcs.</w:t>
      </w:r>
    </w:p>
    <w:p>
      <w:pPr>
        <w:jc w:val="center"/>
      </w:pPr>
      <w:r>
        <w:drawing>
          <wp:inline distT="0" distB="0" distL="0" distR="0">
            <wp:extent cx="209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  <w:szCs w:val="22"/>
        </w:rPr>
        <w:t xml:space="preserve">Le codage fait apparaître les deux côtés égaux : </w:t>
      </w:r>
      <w:r>
        <w:rPr>
          <w:b/>
          <w:bCs/>
          <w:i w:val="false"/>
          <w:iCs w:val="false"/>
          <w:color w:val="1F4E79"/>
          <w:sz w:val="22"/>
          <w:szCs w:val="22"/>
        </w:rPr>
        <w:t xml:space="preserve">AB = AC = 4 cm</w:t>
      </w:r>
      <w:r>
        <w:rPr>
          <w:sz w:val="22"/>
          <w:szCs w:val="22"/>
        </w:rPr>
        <w:t xml:space="preserve"> (un trait sur chacun).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Figure complexe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center"/>
      </w:pPr>
      <w:r>
        <w:drawing>
          <wp:inline distT="0" distB="0" distL="0" distR="0">
            <wp:extent cx="1714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a. La figure est composée de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 figures simples</w:t>
            </w:r>
            <w:r>
              <w:rPr>
                <w:sz w:val="22"/>
                <w:szCs w:val="22"/>
              </w:rPr>
              <w:t xml:space="preserve"> 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On identifie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le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triangle isocèle</w:t>
            </w:r>
            <w:r>
              <w:rPr>
                <w:sz w:val="22"/>
                <w:szCs w:val="22"/>
              </w:rPr>
              <w:t xml:space="preserve"> (le toit) ;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le grand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rectangle</w:t>
            </w:r>
            <w:r>
              <w:rPr>
                <w:sz w:val="22"/>
                <w:szCs w:val="22"/>
              </w:rPr>
              <w:t xml:space="preserve"> (le corps de la maison) ;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le petit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rectangle</w:t>
            </w:r>
            <w:r>
              <w:rPr>
                <w:sz w:val="22"/>
                <w:szCs w:val="22"/>
              </w:rPr>
              <w:t xml:space="preserve"> (la porte) ;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le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carré</w:t>
            </w:r>
            <w:r>
              <w:rPr>
                <w:sz w:val="22"/>
                <w:szCs w:val="22"/>
              </w:rPr>
              <w:t xml:space="preserve"> (la fenêtre).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8 : </w:t>
      </w:r>
      <w:r>
        <w:rPr>
          <w:b/>
          <w:bCs/>
          <w:sz w:val="24"/>
          <w:szCs w:val="24"/>
        </w:rPr>
        <w:t xml:space="preserve">Vrai ou Faux ?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4"/>
        <w:gridCol w:w="1020"/>
        <w:gridCol w:w="2041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Affirmation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 / F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Un carré est un rectangle particulier.</w:t>
            </w:r>
          </w:p>
        </w:tc>
        <w:tc>
          <w:tcPr>
            <w:tcW w:type="dxa" w:w="10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 carré a 4 angles droits, c'est donc un rectangle (avec en plus 4 côtés égaux).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Un triangle équilatéral est aussi un triangle isocèle.</w:t>
            </w:r>
          </w:p>
        </w:tc>
        <w:tc>
          <w:tcPr>
            <w:tcW w:type="dxa" w:w="10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Il a 3 côtés égaux, donc 2 côtés égaux : c'est un cas particulier d'isocèle.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Les diagonales d'un rectangle sont toujours perpendiculaires.</w:t>
            </w:r>
          </w:p>
        </w:tc>
        <w:tc>
          <w:tcPr>
            <w:tcW w:type="dxa" w:w="10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F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Faux dans un rectangle quelconque (vrai seulement pour le carré).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Un losange a 4 côtés de même longueur.</w:t>
            </w:r>
          </w:p>
        </w:tc>
        <w:tc>
          <w:tcPr>
            <w:tcW w:type="dxa" w:w="10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C'est la propriété qui définit le losange.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Triangles dans un losange  ★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Les diagonales du losange sont perpendiculaires et se coupent au point I. On obtient donc 4 triangles rectangles en I, dont la réunion forme le losange entier :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MIN , NIO , OIP et PIM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(chacun de ces triangles est rectangle en I).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6792efb150f2ebd65acd60dc4f3628ccc836d5.png"/><Relationship Id="rId8" Type="http://schemas.openxmlformats.org/officeDocument/2006/relationships/image" Target="media/3bba99ea7d3d6ce243c3ffedaeb6cd7f714d52da.png"/><Relationship Id="rId9" Type="http://schemas.openxmlformats.org/officeDocument/2006/relationships/image" Target="media/7d85e0969171ddddfba272e5423d31dc15c1d845.png"/><Relationship Id="rId10" Type="http://schemas.openxmlformats.org/officeDocument/2006/relationships/image" Target="media/810eb4e4129c0614ec1f27d1e7bd24a18bf6f303.png"/><Relationship Id="rId11" Type="http://schemas.openxmlformats.org/officeDocument/2006/relationships/image" Target="media/678a9e6fc51c98484be890621882a6937c71134f.png"/><Relationship Id="rId12" Type="http://schemas.openxmlformats.org/officeDocument/2006/relationships/image" Target="media/681a6a469f749d86d65a0c5adf89c472aaeb5192.png"/><Relationship Id="rId13" Type="http://schemas.openxmlformats.org/officeDocument/2006/relationships/image" Target="media/59f1e5229d0f0e21dd3293fe74f4d760fa1e6ba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Polygones - Corrigé</dc:title>
  <dc:creator>Laurent</dc:creator>
  <cp:lastModifiedBy>Un-named</cp:lastModifiedBy>
  <cp:revision>1</cp:revision>
  <dcterms:created xsi:type="dcterms:W3CDTF">2026-05-03T20:53:03.840Z</dcterms:created>
  <dcterms:modified xsi:type="dcterms:W3CDTF">2026-05-03T20:53:03.840Z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